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EastAsia" w:hAnsiTheme="minorHAnsi" w:cs="Times New Roman"/>
          <w:color w:val="auto"/>
          <w:spacing w:val="0"/>
          <w:kern w:val="0"/>
          <w:sz w:val="22"/>
          <w:szCs w:val="20"/>
        </w:rPr>
        <w:id w:val="-2082364918"/>
        <w:docPartObj>
          <w:docPartGallery w:val="Cover Pages"/>
          <w:docPartUnique/>
        </w:docPartObj>
      </w:sdtPr>
      <w:sdtEndPr>
        <w:rPr>
          <w:noProof/>
        </w:rPr>
      </w:sdtEndPr>
      <w:sdtContent>
        <w:sdt>
          <w:sdtPr>
            <w:alias w:val="Title"/>
            <w:tag w:val=""/>
            <w:id w:val="534320162"/>
            <w:placeholder>
              <w:docPart w:val="BB4D73C11642475F911C1ABDDF787A6C"/>
            </w:placeholder>
            <w:dataBinding w:prefixMappings="xmlns:ns0='http://purl.org/dc/elements/1.1/' xmlns:ns1='http://schemas.openxmlformats.org/package/2006/metadata/core-properties' " w:xpath="/ns1:coreProperties[1]/ns0:title[1]" w:storeItemID="{6C3C8BC8-F283-45AE-878A-BAB7291924A1}"/>
            <w:text/>
          </w:sdtPr>
          <w:sdtEndPr/>
          <w:sdtContent>
            <w:p w14:paraId="506F41D8" w14:textId="4BE34E88" w:rsidR="00B96AFE" w:rsidRPr="00613AFF" w:rsidRDefault="00B96AFE" w:rsidP="0064061F">
              <w:pPr>
                <w:pStyle w:val="Title"/>
                <w:framePr w:wrap="around"/>
              </w:pPr>
              <w:r>
                <w:t>Consultation Paper: National Health (Privacy) Rules 2018 review</w:t>
              </w:r>
            </w:p>
          </w:sdtContent>
        </w:sdt>
        <w:p w14:paraId="7D7D0337" w14:textId="553D0418" w:rsidR="00B96AFE" w:rsidRPr="008A5A45" w:rsidRDefault="003B3CDF" w:rsidP="0064061F">
          <w:pPr>
            <w:pStyle w:val="Details"/>
            <w:framePr w:wrap="around"/>
          </w:pPr>
          <w:sdt>
            <w:sdtPr>
              <w:alias w:val="Publish Date"/>
              <w:tag w:val=""/>
              <w:id w:val="2103753168"/>
              <w:placeholder>
                <w:docPart w:val="F0AC80F0F8CB4A10A8B3ACE740C23355"/>
              </w:placeholder>
              <w:dataBinding w:prefixMappings="xmlns:ns0='http://schemas.microsoft.com/office/2006/coverPageProps' " w:xpath="/ns0:CoverPageProperties[1]/ns0:PublishDate[1]" w:storeItemID="{55AF091B-3C7A-41E3-B477-F2FDAA23CFDA}"/>
              <w:date w:fullDate="2020-05-05T00:00:00Z">
                <w:dateFormat w:val="d MMMM yyyy"/>
                <w:lid w:val="en-AU"/>
                <w:storeMappedDataAs w:val="dateTime"/>
                <w:calendar w:val="gregorian"/>
              </w:date>
            </w:sdtPr>
            <w:sdtEndPr/>
            <w:sdtContent>
              <w:r w:rsidR="00B96AFE">
                <w:t>5 May 2020</w:t>
              </w:r>
            </w:sdtContent>
          </w:sdt>
        </w:p>
        <w:p w14:paraId="3FF160A6" w14:textId="77777777" w:rsidR="00B96AFE" w:rsidRPr="008A5A45" w:rsidRDefault="00B96AFE" w:rsidP="0064061F">
          <w:pPr>
            <w:pStyle w:val="Details"/>
            <w:framePr w:wrap="around"/>
          </w:pPr>
        </w:p>
        <w:p w14:paraId="2A1589F6" w14:textId="77777777" w:rsidR="00B96AFE" w:rsidRDefault="00B96AFE" w:rsidP="0064061F">
          <w:pPr>
            <w:spacing w:after="0"/>
            <w:rPr>
              <w:noProof/>
            </w:rPr>
          </w:pPr>
        </w:p>
        <w:p w14:paraId="175A6B0D" w14:textId="77777777" w:rsidR="00B96AFE" w:rsidRDefault="00B96AFE" w:rsidP="0064061F">
          <w:pPr>
            <w:spacing w:after="0"/>
            <w:rPr>
              <w:rFonts w:asciiTheme="majorHAnsi" w:eastAsiaTheme="majorEastAsia" w:hAnsiTheme="majorHAnsi" w:cstheme="majorBidi"/>
              <w:color w:val="002A3A" w:themeColor="text2"/>
              <w:spacing w:val="5"/>
              <w:kern w:val="28"/>
              <w:sz w:val="48"/>
              <w:szCs w:val="52"/>
            </w:rPr>
          </w:pPr>
        </w:p>
        <w:p w14:paraId="02C98C8C" w14:textId="77777777" w:rsidR="00B96AFE" w:rsidRDefault="00B96AFE" w:rsidP="0064061F">
          <w:pPr>
            <w:spacing w:after="0"/>
            <w:rPr>
              <w:noProof/>
            </w:rPr>
          </w:pPr>
        </w:p>
        <w:p w14:paraId="09217A87" w14:textId="7B21923F" w:rsidR="00B96AFE" w:rsidRDefault="00B96AFE" w:rsidP="0064061F">
          <w:pPr>
            <w:spacing w:after="0"/>
            <w:rPr>
              <w:noProof/>
            </w:rPr>
          </w:pPr>
          <w:r>
            <w:rPr>
              <w:noProof/>
            </w:rPr>
            <w:drawing>
              <wp:anchor distT="0" distB="0" distL="114300" distR="114300" simplePos="0" relativeHeight="251659264" behindDoc="0" locked="0" layoutInCell="1" allowOverlap="1" wp14:anchorId="64665234" wp14:editId="446C7876">
                <wp:simplePos x="0" y="0"/>
                <wp:positionH relativeFrom="column">
                  <wp:posOffset>-529347</wp:posOffset>
                </wp:positionH>
                <wp:positionV relativeFrom="paragraph">
                  <wp:posOffset>2648585</wp:posOffset>
                </wp:positionV>
                <wp:extent cx="4828540" cy="280747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submission.png"/>
                        <pic:cNvPicPr/>
                      </pic:nvPicPr>
                      <pic:blipFill>
                        <a:blip r:embed="rId9"/>
                        <a:stretch>
                          <a:fillRect/>
                        </a:stretch>
                      </pic:blipFill>
                      <pic:spPr>
                        <a:xfrm>
                          <a:off x="0" y="0"/>
                          <a:ext cx="4828540" cy="2807476"/>
                        </a:xfrm>
                        <a:prstGeom prst="rect">
                          <a:avLst/>
                        </a:prstGeom>
                      </pic:spPr>
                    </pic:pic>
                  </a:graphicData>
                </a:graphic>
                <wp14:sizeRelH relativeFrom="margin">
                  <wp14:pctWidth>0</wp14:pctWidth>
                </wp14:sizeRelH>
                <wp14:sizeRelV relativeFrom="margin">
                  <wp14:pctHeight>0</wp14:pctHeight>
                </wp14:sizeRelV>
              </wp:anchor>
            </w:drawing>
          </w:r>
        </w:p>
      </w:sdtContent>
    </w:sdt>
    <w:p w14:paraId="7F05993C" w14:textId="77777777" w:rsidR="00B5396C" w:rsidRDefault="00B5396C" w:rsidP="00B5396C"/>
    <w:p w14:paraId="14D493D4" w14:textId="77777777" w:rsidR="00B5396C" w:rsidRDefault="00B5396C" w:rsidP="00B5396C"/>
    <w:p w14:paraId="3A37D766" w14:textId="77777777" w:rsidR="002543AD" w:rsidRDefault="00B5396C" w:rsidP="002543AD">
      <w:pPr>
        <w:pStyle w:val="TOCHeading"/>
      </w:pPr>
      <w:r>
        <w:br w:type="page"/>
      </w:r>
    </w:p>
    <w:sdt>
      <w:sdtPr>
        <w:rPr>
          <w:rFonts w:asciiTheme="minorHAnsi" w:eastAsiaTheme="minorEastAsia" w:hAnsiTheme="minorHAnsi"/>
          <w:color w:val="auto"/>
          <w:spacing w:val="0"/>
          <w:sz w:val="22"/>
          <w:szCs w:val="20"/>
          <w:lang w:eastAsia="ko-KR"/>
        </w:rPr>
        <w:id w:val="836046857"/>
        <w:docPartObj>
          <w:docPartGallery w:val="Table of Contents"/>
          <w:docPartUnique/>
        </w:docPartObj>
      </w:sdtPr>
      <w:sdtEndPr>
        <w:rPr>
          <w:b/>
          <w:bCs/>
          <w:noProof/>
          <w:lang w:eastAsia="en-US"/>
        </w:rPr>
      </w:sdtEndPr>
      <w:sdtContent>
        <w:p w14:paraId="0B4F446A" w14:textId="77777777" w:rsidR="002543AD" w:rsidRDefault="002543AD" w:rsidP="002543AD">
          <w:pPr>
            <w:pStyle w:val="TOCHeading"/>
            <w:rPr>
              <w:lang w:eastAsia="ko-KR"/>
            </w:rPr>
          </w:pPr>
        </w:p>
        <w:p w14:paraId="7B00609C" w14:textId="77777777" w:rsidR="002543AD" w:rsidRPr="008755B2" w:rsidRDefault="002543AD" w:rsidP="002543AD">
          <w:pPr>
            <w:pStyle w:val="TOCHeading"/>
          </w:pPr>
          <w:r w:rsidRPr="008755B2">
            <w:t>Contents</w:t>
          </w:r>
        </w:p>
        <w:p w14:paraId="3782801B" w14:textId="3EF4E943" w:rsidR="00117C07" w:rsidRDefault="002543AD">
          <w:pPr>
            <w:pStyle w:val="TOC1"/>
            <w:rPr>
              <w:rFonts w:cstheme="minorBidi"/>
              <w:noProof/>
              <w:sz w:val="22"/>
              <w:szCs w:val="22"/>
              <w:lang w:eastAsia="ko-KR"/>
            </w:rPr>
          </w:pPr>
          <w:r>
            <w:fldChar w:fldCharType="begin"/>
          </w:r>
          <w:r>
            <w:instrText xml:space="preserve"> TOC \o "1-3" \h \z \u </w:instrText>
          </w:r>
          <w:r>
            <w:fldChar w:fldCharType="separate"/>
          </w:r>
          <w:hyperlink w:anchor="_Toc71034688" w:history="1">
            <w:r w:rsidR="00117C07" w:rsidRPr="00DC283B">
              <w:rPr>
                <w:rStyle w:val="Hyperlink"/>
                <w:noProof/>
              </w:rPr>
              <w:t>About this review</w:t>
            </w:r>
            <w:r w:rsidR="00117C07">
              <w:rPr>
                <w:noProof/>
                <w:webHidden/>
              </w:rPr>
              <w:tab/>
            </w:r>
            <w:r w:rsidR="00117C07">
              <w:rPr>
                <w:noProof/>
                <w:webHidden/>
              </w:rPr>
              <w:fldChar w:fldCharType="begin"/>
            </w:r>
            <w:r w:rsidR="00117C07">
              <w:rPr>
                <w:noProof/>
                <w:webHidden/>
              </w:rPr>
              <w:instrText xml:space="preserve"> PAGEREF _Toc71034688 \h </w:instrText>
            </w:r>
            <w:r w:rsidR="00117C07">
              <w:rPr>
                <w:noProof/>
                <w:webHidden/>
              </w:rPr>
            </w:r>
            <w:r w:rsidR="00117C07">
              <w:rPr>
                <w:noProof/>
                <w:webHidden/>
              </w:rPr>
              <w:fldChar w:fldCharType="separate"/>
            </w:r>
            <w:r w:rsidR="00117C07">
              <w:rPr>
                <w:noProof/>
                <w:webHidden/>
              </w:rPr>
              <w:t>2</w:t>
            </w:r>
            <w:r w:rsidR="00117C07">
              <w:rPr>
                <w:noProof/>
                <w:webHidden/>
              </w:rPr>
              <w:fldChar w:fldCharType="end"/>
            </w:r>
          </w:hyperlink>
        </w:p>
        <w:p w14:paraId="24796DBE" w14:textId="1AB2DB41" w:rsidR="00117C07" w:rsidRDefault="003B3CDF">
          <w:pPr>
            <w:pStyle w:val="TOC3"/>
            <w:rPr>
              <w:rFonts w:cstheme="minorBidi"/>
              <w:noProof/>
              <w:szCs w:val="22"/>
              <w:lang w:eastAsia="ko-KR"/>
            </w:rPr>
          </w:pPr>
          <w:hyperlink w:anchor="_Toc71034689" w:history="1">
            <w:r w:rsidR="00117C07" w:rsidRPr="00DC283B">
              <w:rPr>
                <w:rStyle w:val="Hyperlink"/>
                <w:noProof/>
              </w:rPr>
              <w:t>This review</w:t>
            </w:r>
            <w:r w:rsidR="00117C07">
              <w:rPr>
                <w:noProof/>
                <w:webHidden/>
              </w:rPr>
              <w:tab/>
            </w:r>
            <w:r w:rsidR="00117C07">
              <w:rPr>
                <w:noProof/>
                <w:webHidden/>
              </w:rPr>
              <w:fldChar w:fldCharType="begin"/>
            </w:r>
            <w:r w:rsidR="00117C07">
              <w:rPr>
                <w:noProof/>
                <w:webHidden/>
              </w:rPr>
              <w:instrText xml:space="preserve"> PAGEREF _Toc71034689 \h </w:instrText>
            </w:r>
            <w:r w:rsidR="00117C07">
              <w:rPr>
                <w:noProof/>
                <w:webHidden/>
              </w:rPr>
            </w:r>
            <w:r w:rsidR="00117C07">
              <w:rPr>
                <w:noProof/>
                <w:webHidden/>
              </w:rPr>
              <w:fldChar w:fldCharType="separate"/>
            </w:r>
            <w:r w:rsidR="00117C07">
              <w:rPr>
                <w:noProof/>
                <w:webHidden/>
              </w:rPr>
              <w:t>2</w:t>
            </w:r>
            <w:r w:rsidR="00117C07">
              <w:rPr>
                <w:noProof/>
                <w:webHidden/>
              </w:rPr>
              <w:fldChar w:fldCharType="end"/>
            </w:r>
          </w:hyperlink>
        </w:p>
        <w:p w14:paraId="6173D502" w14:textId="5999C2E1" w:rsidR="00117C07" w:rsidRDefault="003B3CDF">
          <w:pPr>
            <w:pStyle w:val="TOC3"/>
            <w:rPr>
              <w:rFonts w:cstheme="minorBidi"/>
              <w:noProof/>
              <w:szCs w:val="22"/>
              <w:lang w:eastAsia="ko-KR"/>
            </w:rPr>
          </w:pPr>
          <w:hyperlink w:anchor="_Toc71034690" w:history="1">
            <w:r w:rsidR="00117C07" w:rsidRPr="00DC283B">
              <w:rPr>
                <w:rStyle w:val="Hyperlink"/>
                <w:noProof/>
              </w:rPr>
              <w:t>How to provide comments</w:t>
            </w:r>
            <w:r w:rsidR="00117C07">
              <w:rPr>
                <w:noProof/>
                <w:webHidden/>
              </w:rPr>
              <w:tab/>
            </w:r>
            <w:r w:rsidR="00117C07">
              <w:rPr>
                <w:noProof/>
                <w:webHidden/>
              </w:rPr>
              <w:fldChar w:fldCharType="begin"/>
            </w:r>
            <w:r w:rsidR="00117C07">
              <w:rPr>
                <w:noProof/>
                <w:webHidden/>
              </w:rPr>
              <w:instrText xml:space="preserve"> PAGEREF _Toc71034690 \h </w:instrText>
            </w:r>
            <w:r w:rsidR="00117C07">
              <w:rPr>
                <w:noProof/>
                <w:webHidden/>
              </w:rPr>
            </w:r>
            <w:r w:rsidR="00117C07">
              <w:rPr>
                <w:noProof/>
                <w:webHidden/>
              </w:rPr>
              <w:fldChar w:fldCharType="separate"/>
            </w:r>
            <w:r w:rsidR="00117C07">
              <w:rPr>
                <w:noProof/>
                <w:webHidden/>
              </w:rPr>
              <w:t>3</w:t>
            </w:r>
            <w:r w:rsidR="00117C07">
              <w:rPr>
                <w:noProof/>
                <w:webHidden/>
              </w:rPr>
              <w:fldChar w:fldCharType="end"/>
            </w:r>
          </w:hyperlink>
        </w:p>
        <w:p w14:paraId="33BF9667" w14:textId="2B011AEB" w:rsidR="00117C07" w:rsidRDefault="003B3CDF">
          <w:pPr>
            <w:pStyle w:val="TOC3"/>
            <w:rPr>
              <w:rFonts w:cstheme="minorBidi"/>
              <w:noProof/>
              <w:szCs w:val="22"/>
              <w:lang w:eastAsia="ko-KR"/>
            </w:rPr>
          </w:pPr>
          <w:hyperlink w:anchor="_Toc71034691" w:history="1">
            <w:r w:rsidR="00117C07" w:rsidRPr="00DC283B">
              <w:rPr>
                <w:rStyle w:val="Hyperlink"/>
                <w:noProof/>
              </w:rPr>
              <w:t>Privacy collection statement</w:t>
            </w:r>
            <w:r w:rsidR="00117C07">
              <w:rPr>
                <w:noProof/>
                <w:webHidden/>
              </w:rPr>
              <w:tab/>
            </w:r>
            <w:r w:rsidR="00117C07">
              <w:rPr>
                <w:noProof/>
                <w:webHidden/>
              </w:rPr>
              <w:fldChar w:fldCharType="begin"/>
            </w:r>
            <w:r w:rsidR="00117C07">
              <w:rPr>
                <w:noProof/>
                <w:webHidden/>
              </w:rPr>
              <w:instrText xml:space="preserve"> PAGEREF _Toc71034691 \h </w:instrText>
            </w:r>
            <w:r w:rsidR="00117C07">
              <w:rPr>
                <w:noProof/>
                <w:webHidden/>
              </w:rPr>
            </w:r>
            <w:r w:rsidR="00117C07">
              <w:rPr>
                <w:noProof/>
                <w:webHidden/>
              </w:rPr>
              <w:fldChar w:fldCharType="separate"/>
            </w:r>
            <w:r w:rsidR="00117C07">
              <w:rPr>
                <w:noProof/>
                <w:webHidden/>
              </w:rPr>
              <w:t>4</w:t>
            </w:r>
            <w:r w:rsidR="00117C07">
              <w:rPr>
                <w:noProof/>
                <w:webHidden/>
              </w:rPr>
              <w:fldChar w:fldCharType="end"/>
            </w:r>
          </w:hyperlink>
        </w:p>
        <w:p w14:paraId="57F9BDBD" w14:textId="54A84EB0" w:rsidR="00117C07" w:rsidRDefault="003B3CDF">
          <w:pPr>
            <w:pStyle w:val="TOC1"/>
            <w:rPr>
              <w:rFonts w:cstheme="minorBidi"/>
              <w:noProof/>
              <w:sz w:val="22"/>
              <w:szCs w:val="22"/>
              <w:lang w:eastAsia="ko-KR"/>
            </w:rPr>
          </w:pPr>
          <w:hyperlink w:anchor="_Toc71034692" w:history="1">
            <w:r w:rsidR="00117C07" w:rsidRPr="00DC283B">
              <w:rPr>
                <w:rStyle w:val="Hyperlink"/>
                <w:noProof/>
              </w:rPr>
              <w:t>About the Rules</w:t>
            </w:r>
            <w:r w:rsidR="00117C07">
              <w:rPr>
                <w:noProof/>
                <w:webHidden/>
              </w:rPr>
              <w:tab/>
            </w:r>
            <w:r w:rsidR="00117C07">
              <w:rPr>
                <w:noProof/>
                <w:webHidden/>
              </w:rPr>
              <w:fldChar w:fldCharType="begin"/>
            </w:r>
            <w:r w:rsidR="00117C07">
              <w:rPr>
                <w:noProof/>
                <w:webHidden/>
              </w:rPr>
              <w:instrText xml:space="preserve"> PAGEREF _Toc71034692 \h </w:instrText>
            </w:r>
            <w:r w:rsidR="00117C07">
              <w:rPr>
                <w:noProof/>
                <w:webHidden/>
              </w:rPr>
            </w:r>
            <w:r w:rsidR="00117C07">
              <w:rPr>
                <w:noProof/>
                <w:webHidden/>
              </w:rPr>
              <w:fldChar w:fldCharType="separate"/>
            </w:r>
            <w:r w:rsidR="00117C07">
              <w:rPr>
                <w:noProof/>
                <w:webHidden/>
              </w:rPr>
              <w:t>4</w:t>
            </w:r>
            <w:r w:rsidR="00117C07">
              <w:rPr>
                <w:noProof/>
                <w:webHidden/>
              </w:rPr>
              <w:fldChar w:fldCharType="end"/>
            </w:r>
          </w:hyperlink>
        </w:p>
        <w:p w14:paraId="22F0F113" w14:textId="60436BE9" w:rsidR="00117C07" w:rsidRDefault="003B3CDF">
          <w:pPr>
            <w:pStyle w:val="TOC3"/>
            <w:rPr>
              <w:rFonts w:cstheme="minorBidi"/>
              <w:noProof/>
              <w:szCs w:val="22"/>
              <w:lang w:eastAsia="ko-KR"/>
            </w:rPr>
          </w:pPr>
          <w:hyperlink w:anchor="_Toc71034693" w:history="1">
            <w:r w:rsidR="00117C07" w:rsidRPr="00DC283B">
              <w:rPr>
                <w:rStyle w:val="Hyperlink"/>
                <w:noProof/>
              </w:rPr>
              <w:t>The National Health (Privacy) Rules</w:t>
            </w:r>
            <w:r w:rsidR="00117C07">
              <w:rPr>
                <w:noProof/>
                <w:webHidden/>
              </w:rPr>
              <w:tab/>
            </w:r>
            <w:r w:rsidR="00117C07">
              <w:rPr>
                <w:noProof/>
                <w:webHidden/>
              </w:rPr>
              <w:fldChar w:fldCharType="begin"/>
            </w:r>
            <w:r w:rsidR="00117C07">
              <w:rPr>
                <w:noProof/>
                <w:webHidden/>
              </w:rPr>
              <w:instrText xml:space="preserve"> PAGEREF _Toc71034693 \h </w:instrText>
            </w:r>
            <w:r w:rsidR="00117C07">
              <w:rPr>
                <w:noProof/>
                <w:webHidden/>
              </w:rPr>
            </w:r>
            <w:r w:rsidR="00117C07">
              <w:rPr>
                <w:noProof/>
                <w:webHidden/>
              </w:rPr>
              <w:fldChar w:fldCharType="separate"/>
            </w:r>
            <w:r w:rsidR="00117C07">
              <w:rPr>
                <w:noProof/>
                <w:webHidden/>
              </w:rPr>
              <w:t>4</w:t>
            </w:r>
            <w:r w:rsidR="00117C07">
              <w:rPr>
                <w:noProof/>
                <w:webHidden/>
              </w:rPr>
              <w:fldChar w:fldCharType="end"/>
            </w:r>
          </w:hyperlink>
        </w:p>
        <w:p w14:paraId="105D3195" w14:textId="167A76D5" w:rsidR="00117C07" w:rsidRDefault="003B3CDF">
          <w:pPr>
            <w:pStyle w:val="TOC3"/>
            <w:rPr>
              <w:rFonts w:cstheme="minorBidi"/>
              <w:noProof/>
              <w:szCs w:val="22"/>
              <w:lang w:eastAsia="ko-KR"/>
            </w:rPr>
          </w:pPr>
          <w:hyperlink w:anchor="_Toc71034694" w:history="1">
            <w:r w:rsidR="00117C07" w:rsidRPr="00DC283B">
              <w:rPr>
                <w:rStyle w:val="Hyperlink"/>
                <w:noProof/>
              </w:rPr>
              <w:t>MBS and PBS claims information</w:t>
            </w:r>
            <w:r w:rsidR="00117C07">
              <w:rPr>
                <w:noProof/>
                <w:webHidden/>
              </w:rPr>
              <w:tab/>
            </w:r>
            <w:r w:rsidR="00117C07">
              <w:rPr>
                <w:noProof/>
                <w:webHidden/>
              </w:rPr>
              <w:fldChar w:fldCharType="begin"/>
            </w:r>
            <w:r w:rsidR="00117C07">
              <w:rPr>
                <w:noProof/>
                <w:webHidden/>
              </w:rPr>
              <w:instrText xml:space="preserve"> PAGEREF _Toc71034694 \h </w:instrText>
            </w:r>
            <w:r w:rsidR="00117C07">
              <w:rPr>
                <w:noProof/>
                <w:webHidden/>
              </w:rPr>
            </w:r>
            <w:r w:rsidR="00117C07">
              <w:rPr>
                <w:noProof/>
                <w:webHidden/>
              </w:rPr>
              <w:fldChar w:fldCharType="separate"/>
            </w:r>
            <w:r w:rsidR="00117C07">
              <w:rPr>
                <w:noProof/>
                <w:webHidden/>
              </w:rPr>
              <w:t>4</w:t>
            </w:r>
            <w:r w:rsidR="00117C07">
              <w:rPr>
                <w:noProof/>
                <w:webHidden/>
              </w:rPr>
              <w:fldChar w:fldCharType="end"/>
            </w:r>
          </w:hyperlink>
        </w:p>
        <w:p w14:paraId="6243E623" w14:textId="71E82996" w:rsidR="00117C07" w:rsidRDefault="003B3CDF">
          <w:pPr>
            <w:pStyle w:val="TOC3"/>
            <w:rPr>
              <w:rFonts w:cstheme="minorBidi"/>
              <w:noProof/>
              <w:szCs w:val="22"/>
              <w:lang w:eastAsia="ko-KR"/>
            </w:rPr>
          </w:pPr>
          <w:hyperlink w:anchor="_Toc71034695" w:history="1">
            <w:r w:rsidR="00117C07" w:rsidRPr="00DC283B">
              <w:rPr>
                <w:rStyle w:val="Hyperlink"/>
                <w:noProof/>
              </w:rPr>
              <w:t>The main provisions in the Rules</w:t>
            </w:r>
            <w:r w:rsidR="00117C07">
              <w:rPr>
                <w:noProof/>
                <w:webHidden/>
              </w:rPr>
              <w:tab/>
            </w:r>
            <w:r w:rsidR="00117C07">
              <w:rPr>
                <w:noProof/>
                <w:webHidden/>
              </w:rPr>
              <w:fldChar w:fldCharType="begin"/>
            </w:r>
            <w:r w:rsidR="00117C07">
              <w:rPr>
                <w:noProof/>
                <w:webHidden/>
              </w:rPr>
              <w:instrText xml:space="preserve"> PAGEREF _Toc71034695 \h </w:instrText>
            </w:r>
            <w:r w:rsidR="00117C07">
              <w:rPr>
                <w:noProof/>
                <w:webHidden/>
              </w:rPr>
            </w:r>
            <w:r w:rsidR="00117C07">
              <w:rPr>
                <w:noProof/>
                <w:webHidden/>
              </w:rPr>
              <w:fldChar w:fldCharType="separate"/>
            </w:r>
            <w:r w:rsidR="00117C07">
              <w:rPr>
                <w:noProof/>
                <w:webHidden/>
              </w:rPr>
              <w:t>5</w:t>
            </w:r>
            <w:r w:rsidR="00117C07">
              <w:rPr>
                <w:noProof/>
                <w:webHidden/>
              </w:rPr>
              <w:fldChar w:fldCharType="end"/>
            </w:r>
          </w:hyperlink>
        </w:p>
        <w:p w14:paraId="61E0B1B7" w14:textId="5BC590B6" w:rsidR="00117C07" w:rsidRDefault="003B3CDF">
          <w:pPr>
            <w:pStyle w:val="TOC3"/>
            <w:rPr>
              <w:rFonts w:cstheme="minorBidi"/>
              <w:noProof/>
              <w:szCs w:val="22"/>
              <w:lang w:eastAsia="ko-KR"/>
            </w:rPr>
          </w:pPr>
          <w:hyperlink w:anchor="_Toc71034696" w:history="1">
            <w:r w:rsidR="00117C07" w:rsidRPr="00DC283B">
              <w:rPr>
                <w:rStyle w:val="Hyperlink"/>
                <w:noProof/>
              </w:rPr>
              <w:t>Key agencies regulated by the Rules</w:t>
            </w:r>
            <w:r w:rsidR="00117C07">
              <w:rPr>
                <w:noProof/>
                <w:webHidden/>
              </w:rPr>
              <w:tab/>
            </w:r>
            <w:r w:rsidR="00117C07">
              <w:rPr>
                <w:noProof/>
                <w:webHidden/>
              </w:rPr>
              <w:fldChar w:fldCharType="begin"/>
            </w:r>
            <w:r w:rsidR="00117C07">
              <w:rPr>
                <w:noProof/>
                <w:webHidden/>
              </w:rPr>
              <w:instrText xml:space="preserve"> PAGEREF _Toc71034696 \h </w:instrText>
            </w:r>
            <w:r w:rsidR="00117C07">
              <w:rPr>
                <w:noProof/>
                <w:webHidden/>
              </w:rPr>
            </w:r>
            <w:r w:rsidR="00117C07">
              <w:rPr>
                <w:noProof/>
                <w:webHidden/>
              </w:rPr>
              <w:fldChar w:fldCharType="separate"/>
            </w:r>
            <w:r w:rsidR="00117C07">
              <w:rPr>
                <w:noProof/>
                <w:webHidden/>
              </w:rPr>
              <w:t>6</w:t>
            </w:r>
            <w:r w:rsidR="00117C07">
              <w:rPr>
                <w:noProof/>
                <w:webHidden/>
              </w:rPr>
              <w:fldChar w:fldCharType="end"/>
            </w:r>
          </w:hyperlink>
        </w:p>
        <w:p w14:paraId="040EB3FE" w14:textId="459C2DC8" w:rsidR="00117C07" w:rsidRDefault="003B3CDF">
          <w:pPr>
            <w:pStyle w:val="TOC3"/>
            <w:rPr>
              <w:rFonts w:cstheme="minorBidi"/>
              <w:noProof/>
              <w:szCs w:val="22"/>
              <w:lang w:eastAsia="ko-KR"/>
            </w:rPr>
          </w:pPr>
          <w:hyperlink w:anchor="_Toc71034697" w:history="1">
            <w:r w:rsidR="00117C07" w:rsidRPr="00DC283B">
              <w:rPr>
                <w:rStyle w:val="Hyperlink"/>
                <w:noProof/>
              </w:rPr>
              <w:t>Recent developments</w:t>
            </w:r>
            <w:r w:rsidR="00117C07">
              <w:rPr>
                <w:noProof/>
                <w:webHidden/>
              </w:rPr>
              <w:tab/>
            </w:r>
            <w:r w:rsidR="00117C07">
              <w:rPr>
                <w:noProof/>
                <w:webHidden/>
              </w:rPr>
              <w:fldChar w:fldCharType="begin"/>
            </w:r>
            <w:r w:rsidR="00117C07">
              <w:rPr>
                <w:noProof/>
                <w:webHidden/>
              </w:rPr>
              <w:instrText xml:space="preserve"> PAGEREF _Toc71034697 \h </w:instrText>
            </w:r>
            <w:r w:rsidR="00117C07">
              <w:rPr>
                <w:noProof/>
                <w:webHidden/>
              </w:rPr>
            </w:r>
            <w:r w:rsidR="00117C07">
              <w:rPr>
                <w:noProof/>
                <w:webHidden/>
              </w:rPr>
              <w:fldChar w:fldCharType="separate"/>
            </w:r>
            <w:r w:rsidR="00117C07">
              <w:rPr>
                <w:noProof/>
                <w:webHidden/>
              </w:rPr>
              <w:t>6</w:t>
            </w:r>
            <w:r w:rsidR="00117C07">
              <w:rPr>
                <w:noProof/>
                <w:webHidden/>
              </w:rPr>
              <w:fldChar w:fldCharType="end"/>
            </w:r>
          </w:hyperlink>
        </w:p>
        <w:p w14:paraId="431BCA13" w14:textId="413CFA57" w:rsidR="00117C07" w:rsidRDefault="003B3CDF">
          <w:pPr>
            <w:pStyle w:val="TOC1"/>
            <w:rPr>
              <w:rFonts w:cstheme="minorBidi"/>
              <w:noProof/>
              <w:sz w:val="22"/>
              <w:szCs w:val="22"/>
              <w:lang w:eastAsia="ko-KR"/>
            </w:rPr>
          </w:pPr>
          <w:hyperlink w:anchor="_Toc71034698" w:history="1">
            <w:r w:rsidR="00117C07" w:rsidRPr="00DC283B">
              <w:rPr>
                <w:rStyle w:val="Hyperlink"/>
                <w:noProof/>
              </w:rPr>
              <w:t>Key issues and general questions</w:t>
            </w:r>
            <w:r w:rsidR="00117C07">
              <w:rPr>
                <w:noProof/>
                <w:webHidden/>
              </w:rPr>
              <w:tab/>
            </w:r>
            <w:r w:rsidR="00117C07">
              <w:rPr>
                <w:noProof/>
                <w:webHidden/>
              </w:rPr>
              <w:fldChar w:fldCharType="begin"/>
            </w:r>
            <w:r w:rsidR="00117C07">
              <w:rPr>
                <w:noProof/>
                <w:webHidden/>
              </w:rPr>
              <w:instrText xml:space="preserve"> PAGEREF _Toc71034698 \h </w:instrText>
            </w:r>
            <w:r w:rsidR="00117C07">
              <w:rPr>
                <w:noProof/>
                <w:webHidden/>
              </w:rPr>
            </w:r>
            <w:r w:rsidR="00117C07">
              <w:rPr>
                <w:noProof/>
                <w:webHidden/>
              </w:rPr>
              <w:fldChar w:fldCharType="separate"/>
            </w:r>
            <w:r w:rsidR="00117C07">
              <w:rPr>
                <w:noProof/>
                <w:webHidden/>
              </w:rPr>
              <w:t>9</w:t>
            </w:r>
            <w:r w:rsidR="00117C07">
              <w:rPr>
                <w:noProof/>
                <w:webHidden/>
              </w:rPr>
              <w:fldChar w:fldCharType="end"/>
            </w:r>
          </w:hyperlink>
        </w:p>
        <w:p w14:paraId="1C241A97" w14:textId="6F3C458E" w:rsidR="00117C07" w:rsidRDefault="003B3CDF">
          <w:pPr>
            <w:pStyle w:val="TOC3"/>
            <w:rPr>
              <w:rFonts w:cstheme="minorBidi"/>
              <w:noProof/>
              <w:szCs w:val="22"/>
              <w:lang w:eastAsia="ko-KR"/>
            </w:rPr>
          </w:pPr>
          <w:hyperlink w:anchor="_Toc71034699" w:history="1">
            <w:r w:rsidR="00117C07" w:rsidRPr="00DC283B">
              <w:rPr>
                <w:rStyle w:val="Hyperlink"/>
                <w:noProof/>
              </w:rPr>
              <w:t>Key questions for this review</w:t>
            </w:r>
            <w:r w:rsidR="00117C07">
              <w:rPr>
                <w:noProof/>
                <w:webHidden/>
              </w:rPr>
              <w:tab/>
            </w:r>
            <w:r w:rsidR="00117C07">
              <w:rPr>
                <w:noProof/>
                <w:webHidden/>
              </w:rPr>
              <w:fldChar w:fldCharType="begin"/>
            </w:r>
            <w:r w:rsidR="00117C07">
              <w:rPr>
                <w:noProof/>
                <w:webHidden/>
              </w:rPr>
              <w:instrText xml:space="preserve"> PAGEREF _Toc71034699 \h </w:instrText>
            </w:r>
            <w:r w:rsidR="00117C07">
              <w:rPr>
                <w:noProof/>
                <w:webHidden/>
              </w:rPr>
            </w:r>
            <w:r w:rsidR="00117C07">
              <w:rPr>
                <w:noProof/>
                <w:webHidden/>
              </w:rPr>
              <w:fldChar w:fldCharType="separate"/>
            </w:r>
            <w:r w:rsidR="00117C07">
              <w:rPr>
                <w:noProof/>
                <w:webHidden/>
              </w:rPr>
              <w:t>9</w:t>
            </w:r>
            <w:r w:rsidR="00117C07">
              <w:rPr>
                <w:noProof/>
                <w:webHidden/>
              </w:rPr>
              <w:fldChar w:fldCharType="end"/>
            </w:r>
          </w:hyperlink>
        </w:p>
        <w:p w14:paraId="301CC49C" w14:textId="3E4317BF" w:rsidR="00117C07" w:rsidRDefault="003B3CDF">
          <w:pPr>
            <w:pStyle w:val="TOC3"/>
            <w:rPr>
              <w:rFonts w:cstheme="minorBidi"/>
              <w:noProof/>
              <w:szCs w:val="22"/>
              <w:lang w:eastAsia="ko-KR"/>
            </w:rPr>
          </w:pPr>
          <w:hyperlink w:anchor="_Toc71034700" w:history="1">
            <w:r w:rsidR="00117C07" w:rsidRPr="00DC283B">
              <w:rPr>
                <w:rStyle w:val="Hyperlink"/>
                <w:noProof/>
              </w:rPr>
              <w:t>Form and function of the Rules</w:t>
            </w:r>
            <w:r w:rsidR="00117C07">
              <w:rPr>
                <w:noProof/>
                <w:webHidden/>
              </w:rPr>
              <w:tab/>
            </w:r>
            <w:r w:rsidR="00117C07">
              <w:rPr>
                <w:noProof/>
                <w:webHidden/>
              </w:rPr>
              <w:fldChar w:fldCharType="begin"/>
            </w:r>
            <w:r w:rsidR="00117C07">
              <w:rPr>
                <w:noProof/>
                <w:webHidden/>
              </w:rPr>
              <w:instrText xml:space="preserve"> PAGEREF _Toc71034700 \h </w:instrText>
            </w:r>
            <w:r w:rsidR="00117C07">
              <w:rPr>
                <w:noProof/>
                <w:webHidden/>
              </w:rPr>
            </w:r>
            <w:r w:rsidR="00117C07">
              <w:rPr>
                <w:noProof/>
                <w:webHidden/>
              </w:rPr>
              <w:fldChar w:fldCharType="separate"/>
            </w:r>
            <w:r w:rsidR="00117C07">
              <w:rPr>
                <w:noProof/>
                <w:webHidden/>
              </w:rPr>
              <w:t>9</w:t>
            </w:r>
            <w:r w:rsidR="00117C07">
              <w:rPr>
                <w:noProof/>
                <w:webHidden/>
              </w:rPr>
              <w:fldChar w:fldCharType="end"/>
            </w:r>
          </w:hyperlink>
        </w:p>
        <w:p w14:paraId="5AAF5F86" w14:textId="22712C5C" w:rsidR="00117C07" w:rsidRDefault="003B3CDF">
          <w:pPr>
            <w:pStyle w:val="TOC3"/>
            <w:rPr>
              <w:rFonts w:cstheme="minorBidi"/>
              <w:noProof/>
              <w:szCs w:val="22"/>
              <w:lang w:eastAsia="ko-KR"/>
            </w:rPr>
          </w:pPr>
          <w:hyperlink w:anchor="_Toc71034701" w:history="1">
            <w:r w:rsidR="00117C07" w:rsidRPr="00DC283B">
              <w:rPr>
                <w:rStyle w:val="Hyperlink"/>
                <w:noProof/>
              </w:rPr>
              <w:t>The Rules in practice</w:t>
            </w:r>
            <w:r w:rsidR="00117C07">
              <w:rPr>
                <w:noProof/>
                <w:webHidden/>
              </w:rPr>
              <w:tab/>
            </w:r>
            <w:r w:rsidR="00117C07">
              <w:rPr>
                <w:noProof/>
                <w:webHidden/>
              </w:rPr>
              <w:fldChar w:fldCharType="begin"/>
            </w:r>
            <w:r w:rsidR="00117C07">
              <w:rPr>
                <w:noProof/>
                <w:webHidden/>
              </w:rPr>
              <w:instrText xml:space="preserve"> PAGEREF _Toc71034701 \h </w:instrText>
            </w:r>
            <w:r w:rsidR="00117C07">
              <w:rPr>
                <w:noProof/>
                <w:webHidden/>
              </w:rPr>
            </w:r>
            <w:r w:rsidR="00117C07">
              <w:rPr>
                <w:noProof/>
                <w:webHidden/>
              </w:rPr>
              <w:fldChar w:fldCharType="separate"/>
            </w:r>
            <w:r w:rsidR="00117C07">
              <w:rPr>
                <w:noProof/>
                <w:webHidden/>
              </w:rPr>
              <w:t>11</w:t>
            </w:r>
            <w:r w:rsidR="00117C07">
              <w:rPr>
                <w:noProof/>
                <w:webHidden/>
              </w:rPr>
              <w:fldChar w:fldCharType="end"/>
            </w:r>
          </w:hyperlink>
        </w:p>
        <w:p w14:paraId="14F08321" w14:textId="648C0B57" w:rsidR="00117C07" w:rsidRDefault="003B3CDF">
          <w:pPr>
            <w:pStyle w:val="TOC1"/>
            <w:rPr>
              <w:rFonts w:cstheme="minorBidi"/>
              <w:noProof/>
              <w:sz w:val="22"/>
              <w:szCs w:val="22"/>
              <w:lang w:eastAsia="ko-KR"/>
            </w:rPr>
          </w:pPr>
          <w:hyperlink w:anchor="_Toc71034702" w:history="1">
            <w:r w:rsidR="00117C07" w:rsidRPr="00DC283B">
              <w:rPr>
                <w:rStyle w:val="Hyperlink"/>
                <w:noProof/>
              </w:rPr>
              <w:t>Specific questions about the Rules</w:t>
            </w:r>
            <w:r w:rsidR="00117C07">
              <w:rPr>
                <w:noProof/>
                <w:webHidden/>
              </w:rPr>
              <w:tab/>
            </w:r>
            <w:r w:rsidR="00117C07">
              <w:rPr>
                <w:noProof/>
                <w:webHidden/>
              </w:rPr>
              <w:fldChar w:fldCharType="begin"/>
            </w:r>
            <w:r w:rsidR="00117C07">
              <w:rPr>
                <w:noProof/>
                <w:webHidden/>
              </w:rPr>
              <w:instrText xml:space="preserve"> PAGEREF _Toc71034702 \h </w:instrText>
            </w:r>
            <w:r w:rsidR="00117C07">
              <w:rPr>
                <w:noProof/>
                <w:webHidden/>
              </w:rPr>
            </w:r>
            <w:r w:rsidR="00117C07">
              <w:rPr>
                <w:noProof/>
                <w:webHidden/>
              </w:rPr>
              <w:fldChar w:fldCharType="separate"/>
            </w:r>
            <w:r w:rsidR="00117C07">
              <w:rPr>
                <w:noProof/>
                <w:webHidden/>
              </w:rPr>
              <w:t>12</w:t>
            </w:r>
            <w:r w:rsidR="00117C07">
              <w:rPr>
                <w:noProof/>
                <w:webHidden/>
              </w:rPr>
              <w:fldChar w:fldCharType="end"/>
            </w:r>
          </w:hyperlink>
        </w:p>
        <w:p w14:paraId="69E34E98" w14:textId="37870C5E" w:rsidR="00117C07" w:rsidRDefault="003B3CDF">
          <w:pPr>
            <w:pStyle w:val="TOC3"/>
            <w:rPr>
              <w:rFonts w:cstheme="minorBidi"/>
              <w:noProof/>
              <w:szCs w:val="22"/>
              <w:lang w:eastAsia="ko-KR"/>
            </w:rPr>
          </w:pPr>
          <w:hyperlink w:anchor="_Toc71034703" w:history="1">
            <w:r w:rsidR="00117C07" w:rsidRPr="00DC283B">
              <w:rPr>
                <w:rStyle w:val="Hyperlink"/>
                <w:noProof/>
              </w:rPr>
              <w:t>Storing claims information in separate databases</w:t>
            </w:r>
            <w:r w:rsidR="00117C07">
              <w:rPr>
                <w:noProof/>
                <w:webHidden/>
              </w:rPr>
              <w:tab/>
            </w:r>
            <w:r w:rsidR="00117C07">
              <w:rPr>
                <w:noProof/>
                <w:webHidden/>
              </w:rPr>
              <w:fldChar w:fldCharType="begin"/>
            </w:r>
            <w:r w:rsidR="00117C07">
              <w:rPr>
                <w:noProof/>
                <w:webHidden/>
              </w:rPr>
              <w:instrText xml:space="preserve"> PAGEREF _Toc71034703 \h </w:instrText>
            </w:r>
            <w:r w:rsidR="00117C07">
              <w:rPr>
                <w:noProof/>
                <w:webHidden/>
              </w:rPr>
            </w:r>
            <w:r w:rsidR="00117C07">
              <w:rPr>
                <w:noProof/>
                <w:webHidden/>
              </w:rPr>
              <w:fldChar w:fldCharType="separate"/>
            </w:r>
            <w:r w:rsidR="00117C07">
              <w:rPr>
                <w:noProof/>
                <w:webHidden/>
              </w:rPr>
              <w:t>12</w:t>
            </w:r>
            <w:r w:rsidR="00117C07">
              <w:rPr>
                <w:noProof/>
                <w:webHidden/>
              </w:rPr>
              <w:fldChar w:fldCharType="end"/>
            </w:r>
          </w:hyperlink>
        </w:p>
        <w:p w14:paraId="504B139B" w14:textId="02731E47" w:rsidR="00117C07" w:rsidRDefault="003B3CDF">
          <w:pPr>
            <w:pStyle w:val="TOC3"/>
            <w:rPr>
              <w:rFonts w:cstheme="minorBidi"/>
              <w:noProof/>
              <w:szCs w:val="22"/>
              <w:lang w:eastAsia="ko-KR"/>
            </w:rPr>
          </w:pPr>
          <w:hyperlink w:anchor="_Toc71034704" w:history="1">
            <w:r w:rsidR="00117C07" w:rsidRPr="00DC283B">
              <w:rPr>
                <w:rStyle w:val="Hyperlink"/>
                <w:noProof/>
              </w:rPr>
              <w:t>Management of claims information by Services Australia</w:t>
            </w:r>
            <w:r w:rsidR="00117C07">
              <w:rPr>
                <w:noProof/>
                <w:webHidden/>
              </w:rPr>
              <w:tab/>
            </w:r>
            <w:r w:rsidR="00117C07">
              <w:rPr>
                <w:noProof/>
                <w:webHidden/>
              </w:rPr>
              <w:fldChar w:fldCharType="begin"/>
            </w:r>
            <w:r w:rsidR="00117C07">
              <w:rPr>
                <w:noProof/>
                <w:webHidden/>
              </w:rPr>
              <w:instrText xml:space="preserve"> PAGEREF _Toc71034704 \h </w:instrText>
            </w:r>
            <w:r w:rsidR="00117C07">
              <w:rPr>
                <w:noProof/>
                <w:webHidden/>
              </w:rPr>
            </w:r>
            <w:r w:rsidR="00117C07">
              <w:rPr>
                <w:noProof/>
                <w:webHidden/>
              </w:rPr>
              <w:fldChar w:fldCharType="separate"/>
            </w:r>
            <w:r w:rsidR="00117C07">
              <w:rPr>
                <w:noProof/>
                <w:webHidden/>
              </w:rPr>
              <w:t>13</w:t>
            </w:r>
            <w:r w:rsidR="00117C07">
              <w:rPr>
                <w:noProof/>
                <w:webHidden/>
              </w:rPr>
              <w:fldChar w:fldCharType="end"/>
            </w:r>
          </w:hyperlink>
        </w:p>
        <w:p w14:paraId="6B3BFAD8" w14:textId="3D8E88E0" w:rsidR="00117C07" w:rsidRDefault="003B3CDF">
          <w:pPr>
            <w:pStyle w:val="TOC3"/>
            <w:rPr>
              <w:rFonts w:cstheme="minorBidi"/>
              <w:noProof/>
              <w:szCs w:val="22"/>
              <w:lang w:eastAsia="ko-KR"/>
            </w:rPr>
          </w:pPr>
          <w:hyperlink w:anchor="_Toc71034705" w:history="1">
            <w:r w:rsidR="00117C07" w:rsidRPr="00DC283B">
              <w:rPr>
                <w:rStyle w:val="Hyperlink"/>
                <w:noProof/>
              </w:rPr>
              <w:t>Requirement for Services Australia to maintain technical standards</w:t>
            </w:r>
            <w:r w:rsidR="00117C07">
              <w:rPr>
                <w:noProof/>
                <w:webHidden/>
              </w:rPr>
              <w:tab/>
            </w:r>
            <w:r w:rsidR="00117C07">
              <w:rPr>
                <w:noProof/>
                <w:webHidden/>
              </w:rPr>
              <w:fldChar w:fldCharType="begin"/>
            </w:r>
            <w:r w:rsidR="00117C07">
              <w:rPr>
                <w:noProof/>
                <w:webHidden/>
              </w:rPr>
              <w:instrText xml:space="preserve"> PAGEREF _Toc71034705 \h </w:instrText>
            </w:r>
            <w:r w:rsidR="00117C07">
              <w:rPr>
                <w:noProof/>
                <w:webHidden/>
              </w:rPr>
            </w:r>
            <w:r w:rsidR="00117C07">
              <w:rPr>
                <w:noProof/>
                <w:webHidden/>
              </w:rPr>
              <w:fldChar w:fldCharType="separate"/>
            </w:r>
            <w:r w:rsidR="00117C07">
              <w:rPr>
                <w:noProof/>
                <w:webHidden/>
              </w:rPr>
              <w:t>13</w:t>
            </w:r>
            <w:r w:rsidR="00117C07">
              <w:rPr>
                <w:noProof/>
                <w:webHidden/>
              </w:rPr>
              <w:fldChar w:fldCharType="end"/>
            </w:r>
          </w:hyperlink>
        </w:p>
        <w:p w14:paraId="771332FE" w14:textId="0717BA78" w:rsidR="00117C07" w:rsidRDefault="003B3CDF">
          <w:pPr>
            <w:pStyle w:val="TOC3"/>
            <w:rPr>
              <w:rFonts w:cstheme="minorBidi"/>
              <w:noProof/>
              <w:szCs w:val="22"/>
              <w:lang w:eastAsia="ko-KR"/>
            </w:rPr>
          </w:pPr>
          <w:hyperlink w:anchor="_Toc71034706" w:history="1">
            <w:r w:rsidR="00117C07" w:rsidRPr="00DC283B">
              <w:rPr>
                <w:rStyle w:val="Hyperlink"/>
                <w:noProof/>
              </w:rPr>
              <w:t>Medicare PINs</w:t>
            </w:r>
            <w:r w:rsidR="00117C07">
              <w:rPr>
                <w:noProof/>
                <w:webHidden/>
              </w:rPr>
              <w:tab/>
            </w:r>
            <w:r w:rsidR="00117C07">
              <w:rPr>
                <w:noProof/>
                <w:webHidden/>
              </w:rPr>
              <w:fldChar w:fldCharType="begin"/>
            </w:r>
            <w:r w:rsidR="00117C07">
              <w:rPr>
                <w:noProof/>
                <w:webHidden/>
              </w:rPr>
              <w:instrText xml:space="preserve"> PAGEREF _Toc71034706 \h </w:instrText>
            </w:r>
            <w:r w:rsidR="00117C07">
              <w:rPr>
                <w:noProof/>
                <w:webHidden/>
              </w:rPr>
            </w:r>
            <w:r w:rsidR="00117C07">
              <w:rPr>
                <w:noProof/>
                <w:webHidden/>
              </w:rPr>
              <w:fldChar w:fldCharType="separate"/>
            </w:r>
            <w:r w:rsidR="00117C07">
              <w:rPr>
                <w:noProof/>
                <w:webHidden/>
              </w:rPr>
              <w:t>14</w:t>
            </w:r>
            <w:r w:rsidR="00117C07">
              <w:rPr>
                <w:noProof/>
                <w:webHidden/>
              </w:rPr>
              <w:fldChar w:fldCharType="end"/>
            </w:r>
          </w:hyperlink>
        </w:p>
        <w:p w14:paraId="3698244C" w14:textId="65F91A12" w:rsidR="00117C07" w:rsidRDefault="003B3CDF">
          <w:pPr>
            <w:pStyle w:val="TOC3"/>
            <w:rPr>
              <w:rFonts w:cstheme="minorBidi"/>
              <w:noProof/>
              <w:szCs w:val="22"/>
              <w:lang w:eastAsia="ko-KR"/>
            </w:rPr>
          </w:pPr>
          <w:hyperlink w:anchor="_Toc71034707" w:history="1">
            <w:r w:rsidR="00117C07" w:rsidRPr="00DC283B">
              <w:rPr>
                <w:rStyle w:val="Hyperlink"/>
                <w:noProof/>
              </w:rPr>
              <w:t>Disclosure to the Department of Health</w:t>
            </w:r>
            <w:r w:rsidR="00117C07">
              <w:rPr>
                <w:noProof/>
                <w:webHidden/>
              </w:rPr>
              <w:tab/>
            </w:r>
            <w:r w:rsidR="00117C07">
              <w:rPr>
                <w:noProof/>
                <w:webHidden/>
              </w:rPr>
              <w:fldChar w:fldCharType="begin"/>
            </w:r>
            <w:r w:rsidR="00117C07">
              <w:rPr>
                <w:noProof/>
                <w:webHidden/>
              </w:rPr>
              <w:instrText xml:space="preserve"> PAGEREF _Toc71034707 \h </w:instrText>
            </w:r>
            <w:r w:rsidR="00117C07">
              <w:rPr>
                <w:noProof/>
                <w:webHidden/>
              </w:rPr>
            </w:r>
            <w:r w:rsidR="00117C07">
              <w:rPr>
                <w:noProof/>
                <w:webHidden/>
              </w:rPr>
              <w:fldChar w:fldCharType="separate"/>
            </w:r>
            <w:r w:rsidR="00117C07">
              <w:rPr>
                <w:noProof/>
                <w:webHidden/>
              </w:rPr>
              <w:t>15</w:t>
            </w:r>
            <w:r w:rsidR="00117C07">
              <w:rPr>
                <w:noProof/>
                <w:webHidden/>
              </w:rPr>
              <w:fldChar w:fldCharType="end"/>
            </w:r>
          </w:hyperlink>
        </w:p>
        <w:p w14:paraId="05B5525A" w14:textId="222348ED" w:rsidR="00117C07" w:rsidRDefault="003B3CDF">
          <w:pPr>
            <w:pStyle w:val="TOC3"/>
            <w:rPr>
              <w:rFonts w:cstheme="minorBidi"/>
              <w:noProof/>
              <w:szCs w:val="22"/>
              <w:lang w:eastAsia="ko-KR"/>
            </w:rPr>
          </w:pPr>
          <w:hyperlink w:anchor="_Toc71034708" w:history="1">
            <w:r w:rsidR="00117C07" w:rsidRPr="00DC283B">
              <w:rPr>
                <w:rStyle w:val="Hyperlink"/>
                <w:noProof/>
              </w:rPr>
              <w:t>Linkage of claims information</w:t>
            </w:r>
            <w:r w:rsidR="00117C07">
              <w:rPr>
                <w:noProof/>
                <w:webHidden/>
              </w:rPr>
              <w:tab/>
            </w:r>
            <w:r w:rsidR="00117C07">
              <w:rPr>
                <w:noProof/>
                <w:webHidden/>
              </w:rPr>
              <w:fldChar w:fldCharType="begin"/>
            </w:r>
            <w:r w:rsidR="00117C07">
              <w:rPr>
                <w:noProof/>
                <w:webHidden/>
              </w:rPr>
              <w:instrText xml:space="preserve"> PAGEREF _Toc71034708 \h </w:instrText>
            </w:r>
            <w:r w:rsidR="00117C07">
              <w:rPr>
                <w:noProof/>
                <w:webHidden/>
              </w:rPr>
            </w:r>
            <w:r w:rsidR="00117C07">
              <w:rPr>
                <w:noProof/>
                <w:webHidden/>
              </w:rPr>
              <w:fldChar w:fldCharType="separate"/>
            </w:r>
            <w:r w:rsidR="00117C07">
              <w:rPr>
                <w:noProof/>
                <w:webHidden/>
              </w:rPr>
              <w:t>16</w:t>
            </w:r>
            <w:r w:rsidR="00117C07">
              <w:rPr>
                <w:noProof/>
                <w:webHidden/>
              </w:rPr>
              <w:fldChar w:fldCharType="end"/>
            </w:r>
          </w:hyperlink>
        </w:p>
        <w:p w14:paraId="1824F8E6" w14:textId="6E53061D" w:rsidR="00117C07" w:rsidRDefault="003B3CDF">
          <w:pPr>
            <w:pStyle w:val="TOC3"/>
            <w:rPr>
              <w:rFonts w:cstheme="minorBidi"/>
              <w:noProof/>
              <w:szCs w:val="22"/>
              <w:lang w:eastAsia="ko-KR"/>
            </w:rPr>
          </w:pPr>
          <w:hyperlink w:anchor="_Toc71034709" w:history="1">
            <w:r w:rsidR="00117C07" w:rsidRPr="00DC283B">
              <w:rPr>
                <w:rStyle w:val="Hyperlink"/>
                <w:noProof/>
              </w:rPr>
              <w:t>Retention and reporting of linked claims information</w:t>
            </w:r>
            <w:r w:rsidR="00117C07">
              <w:rPr>
                <w:noProof/>
                <w:webHidden/>
              </w:rPr>
              <w:tab/>
            </w:r>
            <w:r w:rsidR="00117C07">
              <w:rPr>
                <w:noProof/>
                <w:webHidden/>
              </w:rPr>
              <w:fldChar w:fldCharType="begin"/>
            </w:r>
            <w:r w:rsidR="00117C07">
              <w:rPr>
                <w:noProof/>
                <w:webHidden/>
              </w:rPr>
              <w:instrText xml:space="preserve"> PAGEREF _Toc71034709 \h </w:instrText>
            </w:r>
            <w:r w:rsidR="00117C07">
              <w:rPr>
                <w:noProof/>
                <w:webHidden/>
              </w:rPr>
            </w:r>
            <w:r w:rsidR="00117C07">
              <w:rPr>
                <w:noProof/>
                <w:webHidden/>
              </w:rPr>
              <w:fldChar w:fldCharType="separate"/>
            </w:r>
            <w:r w:rsidR="00117C07">
              <w:rPr>
                <w:noProof/>
                <w:webHidden/>
              </w:rPr>
              <w:t>17</w:t>
            </w:r>
            <w:r w:rsidR="00117C07">
              <w:rPr>
                <w:noProof/>
                <w:webHidden/>
              </w:rPr>
              <w:fldChar w:fldCharType="end"/>
            </w:r>
          </w:hyperlink>
        </w:p>
        <w:p w14:paraId="5D6D5DDA" w14:textId="54337535" w:rsidR="00117C07" w:rsidRDefault="003B3CDF">
          <w:pPr>
            <w:pStyle w:val="TOC3"/>
            <w:rPr>
              <w:rFonts w:cstheme="minorBidi"/>
              <w:noProof/>
              <w:szCs w:val="22"/>
              <w:lang w:eastAsia="ko-KR"/>
            </w:rPr>
          </w:pPr>
          <w:hyperlink w:anchor="_Toc71034710" w:history="1">
            <w:r w:rsidR="00117C07" w:rsidRPr="00DC283B">
              <w:rPr>
                <w:rStyle w:val="Hyperlink"/>
                <w:noProof/>
              </w:rPr>
              <w:t>Old information</w:t>
            </w:r>
            <w:r w:rsidR="00117C07">
              <w:rPr>
                <w:noProof/>
                <w:webHidden/>
              </w:rPr>
              <w:tab/>
            </w:r>
            <w:r w:rsidR="00117C07">
              <w:rPr>
                <w:noProof/>
                <w:webHidden/>
              </w:rPr>
              <w:fldChar w:fldCharType="begin"/>
            </w:r>
            <w:r w:rsidR="00117C07">
              <w:rPr>
                <w:noProof/>
                <w:webHidden/>
              </w:rPr>
              <w:instrText xml:space="preserve"> PAGEREF _Toc71034710 \h </w:instrText>
            </w:r>
            <w:r w:rsidR="00117C07">
              <w:rPr>
                <w:noProof/>
                <w:webHidden/>
              </w:rPr>
            </w:r>
            <w:r w:rsidR="00117C07">
              <w:rPr>
                <w:noProof/>
                <w:webHidden/>
              </w:rPr>
              <w:fldChar w:fldCharType="separate"/>
            </w:r>
            <w:r w:rsidR="00117C07">
              <w:rPr>
                <w:noProof/>
                <w:webHidden/>
              </w:rPr>
              <w:t>17</w:t>
            </w:r>
            <w:r w:rsidR="00117C07">
              <w:rPr>
                <w:noProof/>
                <w:webHidden/>
              </w:rPr>
              <w:fldChar w:fldCharType="end"/>
            </w:r>
          </w:hyperlink>
        </w:p>
        <w:p w14:paraId="47B66D47" w14:textId="72A5793C" w:rsidR="00117C07" w:rsidRDefault="003B3CDF">
          <w:pPr>
            <w:pStyle w:val="TOC3"/>
            <w:rPr>
              <w:rFonts w:cstheme="minorBidi"/>
              <w:noProof/>
              <w:szCs w:val="22"/>
              <w:lang w:eastAsia="ko-KR"/>
            </w:rPr>
          </w:pPr>
          <w:hyperlink w:anchor="_Toc71034711" w:history="1">
            <w:r w:rsidR="00117C07" w:rsidRPr="00DC283B">
              <w:rPr>
                <w:rStyle w:val="Hyperlink"/>
                <w:noProof/>
              </w:rPr>
              <w:t>Disclosure of claims information for medical research</w:t>
            </w:r>
            <w:r w:rsidR="00117C07">
              <w:rPr>
                <w:noProof/>
                <w:webHidden/>
              </w:rPr>
              <w:tab/>
            </w:r>
            <w:r w:rsidR="00117C07">
              <w:rPr>
                <w:noProof/>
                <w:webHidden/>
              </w:rPr>
              <w:fldChar w:fldCharType="begin"/>
            </w:r>
            <w:r w:rsidR="00117C07">
              <w:rPr>
                <w:noProof/>
                <w:webHidden/>
              </w:rPr>
              <w:instrText xml:space="preserve"> PAGEREF _Toc71034711 \h </w:instrText>
            </w:r>
            <w:r w:rsidR="00117C07">
              <w:rPr>
                <w:noProof/>
                <w:webHidden/>
              </w:rPr>
            </w:r>
            <w:r w:rsidR="00117C07">
              <w:rPr>
                <w:noProof/>
                <w:webHidden/>
              </w:rPr>
              <w:fldChar w:fldCharType="separate"/>
            </w:r>
            <w:r w:rsidR="00117C07">
              <w:rPr>
                <w:noProof/>
                <w:webHidden/>
              </w:rPr>
              <w:t>18</w:t>
            </w:r>
            <w:r w:rsidR="00117C07">
              <w:rPr>
                <w:noProof/>
                <w:webHidden/>
              </w:rPr>
              <w:fldChar w:fldCharType="end"/>
            </w:r>
          </w:hyperlink>
        </w:p>
        <w:p w14:paraId="3C8B2B03" w14:textId="5904FD2C" w:rsidR="00117C07" w:rsidRDefault="003B3CDF">
          <w:pPr>
            <w:pStyle w:val="TOC3"/>
            <w:rPr>
              <w:rFonts w:cstheme="minorBidi"/>
              <w:noProof/>
              <w:szCs w:val="22"/>
              <w:lang w:eastAsia="ko-KR"/>
            </w:rPr>
          </w:pPr>
          <w:hyperlink w:anchor="_Toc71034712" w:history="1">
            <w:r w:rsidR="00117C07" w:rsidRPr="00DC283B">
              <w:rPr>
                <w:rStyle w:val="Hyperlink"/>
                <w:noProof/>
              </w:rPr>
              <w:t>Use of claims information</w:t>
            </w:r>
            <w:r w:rsidR="00117C07">
              <w:rPr>
                <w:noProof/>
                <w:webHidden/>
              </w:rPr>
              <w:tab/>
            </w:r>
            <w:r w:rsidR="00117C07">
              <w:rPr>
                <w:noProof/>
                <w:webHidden/>
              </w:rPr>
              <w:fldChar w:fldCharType="begin"/>
            </w:r>
            <w:r w:rsidR="00117C07">
              <w:rPr>
                <w:noProof/>
                <w:webHidden/>
              </w:rPr>
              <w:instrText xml:space="preserve"> PAGEREF _Toc71034712 \h </w:instrText>
            </w:r>
            <w:r w:rsidR="00117C07">
              <w:rPr>
                <w:noProof/>
                <w:webHidden/>
              </w:rPr>
            </w:r>
            <w:r w:rsidR="00117C07">
              <w:rPr>
                <w:noProof/>
                <w:webHidden/>
              </w:rPr>
              <w:fldChar w:fldCharType="separate"/>
            </w:r>
            <w:r w:rsidR="00117C07">
              <w:rPr>
                <w:noProof/>
                <w:webHidden/>
              </w:rPr>
              <w:t>18</w:t>
            </w:r>
            <w:r w:rsidR="00117C07">
              <w:rPr>
                <w:noProof/>
                <w:webHidden/>
              </w:rPr>
              <w:fldChar w:fldCharType="end"/>
            </w:r>
          </w:hyperlink>
        </w:p>
        <w:p w14:paraId="41FDF359" w14:textId="260DC765" w:rsidR="00117C07" w:rsidRDefault="003B3CDF">
          <w:pPr>
            <w:pStyle w:val="TOC3"/>
            <w:rPr>
              <w:rFonts w:cstheme="minorBidi"/>
              <w:noProof/>
              <w:szCs w:val="22"/>
              <w:lang w:eastAsia="ko-KR"/>
            </w:rPr>
          </w:pPr>
          <w:hyperlink w:anchor="_Toc71034713" w:history="1">
            <w:r w:rsidR="00117C07" w:rsidRPr="00DC283B">
              <w:rPr>
                <w:rStyle w:val="Hyperlink"/>
                <w:noProof/>
              </w:rPr>
              <w:t>Name linkage</w:t>
            </w:r>
            <w:r w:rsidR="00117C07">
              <w:rPr>
                <w:noProof/>
                <w:webHidden/>
              </w:rPr>
              <w:tab/>
            </w:r>
            <w:r w:rsidR="00117C07">
              <w:rPr>
                <w:noProof/>
                <w:webHidden/>
              </w:rPr>
              <w:fldChar w:fldCharType="begin"/>
            </w:r>
            <w:r w:rsidR="00117C07">
              <w:rPr>
                <w:noProof/>
                <w:webHidden/>
              </w:rPr>
              <w:instrText xml:space="preserve"> PAGEREF _Toc71034713 \h </w:instrText>
            </w:r>
            <w:r w:rsidR="00117C07">
              <w:rPr>
                <w:noProof/>
                <w:webHidden/>
              </w:rPr>
            </w:r>
            <w:r w:rsidR="00117C07">
              <w:rPr>
                <w:noProof/>
                <w:webHidden/>
              </w:rPr>
              <w:fldChar w:fldCharType="separate"/>
            </w:r>
            <w:r w:rsidR="00117C07">
              <w:rPr>
                <w:noProof/>
                <w:webHidden/>
              </w:rPr>
              <w:t>19</w:t>
            </w:r>
            <w:r w:rsidR="00117C07">
              <w:rPr>
                <w:noProof/>
                <w:webHidden/>
              </w:rPr>
              <w:fldChar w:fldCharType="end"/>
            </w:r>
          </w:hyperlink>
        </w:p>
        <w:p w14:paraId="466D6E54" w14:textId="7F2ADD5C" w:rsidR="00117C07" w:rsidRDefault="003B3CDF">
          <w:pPr>
            <w:pStyle w:val="TOC3"/>
            <w:rPr>
              <w:rFonts w:cstheme="minorBidi"/>
              <w:noProof/>
              <w:szCs w:val="22"/>
              <w:lang w:eastAsia="ko-KR"/>
            </w:rPr>
          </w:pPr>
          <w:hyperlink w:anchor="_Toc71034714" w:history="1">
            <w:r w:rsidR="00117C07" w:rsidRPr="00DC283B">
              <w:rPr>
                <w:rStyle w:val="Hyperlink"/>
                <w:noProof/>
              </w:rPr>
              <w:t>Other matters including management of paper copies</w:t>
            </w:r>
            <w:r w:rsidR="00117C07">
              <w:rPr>
                <w:noProof/>
                <w:webHidden/>
              </w:rPr>
              <w:tab/>
            </w:r>
            <w:r w:rsidR="00117C07">
              <w:rPr>
                <w:noProof/>
                <w:webHidden/>
              </w:rPr>
              <w:fldChar w:fldCharType="begin"/>
            </w:r>
            <w:r w:rsidR="00117C07">
              <w:rPr>
                <w:noProof/>
                <w:webHidden/>
              </w:rPr>
              <w:instrText xml:space="preserve"> PAGEREF _Toc71034714 \h </w:instrText>
            </w:r>
            <w:r w:rsidR="00117C07">
              <w:rPr>
                <w:noProof/>
                <w:webHidden/>
              </w:rPr>
            </w:r>
            <w:r w:rsidR="00117C07">
              <w:rPr>
                <w:noProof/>
                <w:webHidden/>
              </w:rPr>
              <w:fldChar w:fldCharType="separate"/>
            </w:r>
            <w:r w:rsidR="00117C07">
              <w:rPr>
                <w:noProof/>
                <w:webHidden/>
              </w:rPr>
              <w:t>20</w:t>
            </w:r>
            <w:r w:rsidR="00117C07">
              <w:rPr>
                <w:noProof/>
                <w:webHidden/>
              </w:rPr>
              <w:fldChar w:fldCharType="end"/>
            </w:r>
          </w:hyperlink>
        </w:p>
        <w:p w14:paraId="45653945" w14:textId="6F2E73EA" w:rsidR="002543AD" w:rsidRDefault="002543AD" w:rsidP="002543AD">
          <w:r>
            <w:rPr>
              <w:rFonts w:asciiTheme="majorHAnsi" w:hAnsiTheme="majorHAnsi"/>
              <w:sz w:val="26"/>
            </w:rPr>
            <w:lastRenderedPageBreak/>
            <w:fldChar w:fldCharType="end"/>
          </w:r>
        </w:p>
      </w:sdtContent>
    </w:sdt>
    <w:p w14:paraId="5752DBA4" w14:textId="77777777" w:rsidR="002543AD" w:rsidRPr="00BA5180" w:rsidRDefault="002543AD" w:rsidP="002543AD">
      <w:r w:rsidRPr="006A6016">
        <w:br w:type="page"/>
      </w:r>
    </w:p>
    <w:p w14:paraId="6426F0A8" w14:textId="7A0191A9" w:rsidR="00CB0482" w:rsidRDefault="00CB0482" w:rsidP="005F5077">
      <w:pPr>
        <w:pStyle w:val="Heading1"/>
      </w:pPr>
      <w:bookmarkStart w:id="0" w:name="_Toc70438292"/>
      <w:bookmarkStart w:id="1" w:name="_Toc71034688"/>
      <w:r>
        <w:lastRenderedPageBreak/>
        <w:t xml:space="preserve">About </w:t>
      </w:r>
      <w:r w:rsidRPr="0089721F">
        <w:t>this</w:t>
      </w:r>
      <w:r>
        <w:t xml:space="preserve"> review</w:t>
      </w:r>
      <w:bookmarkEnd w:id="0"/>
      <w:bookmarkEnd w:id="1"/>
      <w:r>
        <w:t xml:space="preserve"> </w:t>
      </w:r>
    </w:p>
    <w:p w14:paraId="44EB4242" w14:textId="77777777" w:rsidR="00CB0482" w:rsidRDefault="00CB0482" w:rsidP="00CB0482">
      <w:r>
        <w:t>In this section you can find:</w:t>
      </w:r>
    </w:p>
    <w:p w14:paraId="1059C707" w14:textId="77777777" w:rsidR="00CB0482" w:rsidRPr="003F3624" w:rsidRDefault="00CB0482" w:rsidP="00CB0482">
      <w:pPr>
        <w:pStyle w:val="ListBullet"/>
        <w:ind w:left="511" w:hanging="454"/>
        <w:rPr>
          <w:i/>
          <w:iCs/>
        </w:rPr>
      </w:pPr>
      <w:r w:rsidRPr="003F3624">
        <w:rPr>
          <w:i/>
          <w:iCs/>
        </w:rPr>
        <w:t>Information about the scope and purpose of this review</w:t>
      </w:r>
    </w:p>
    <w:p w14:paraId="5F352458" w14:textId="77777777" w:rsidR="00CB0482" w:rsidRPr="003F3624" w:rsidRDefault="00CB0482" w:rsidP="00CB0482">
      <w:pPr>
        <w:pStyle w:val="ListBullet"/>
        <w:ind w:left="511" w:hanging="454"/>
        <w:rPr>
          <w:i/>
          <w:iCs/>
        </w:rPr>
      </w:pPr>
      <w:r w:rsidRPr="003F3624">
        <w:rPr>
          <w:i/>
          <w:iCs/>
        </w:rPr>
        <w:t>Directions on how to provide comments.</w:t>
      </w:r>
    </w:p>
    <w:p w14:paraId="14C024C7" w14:textId="192413AE" w:rsidR="00CB0482" w:rsidRPr="004A6DDF" w:rsidRDefault="00CB0482" w:rsidP="005F5077">
      <w:pPr>
        <w:pStyle w:val="Heading3"/>
        <w:numPr>
          <w:ilvl w:val="0"/>
          <w:numId w:val="0"/>
        </w:numPr>
      </w:pPr>
      <w:bookmarkStart w:id="2" w:name="_Toc70395715"/>
      <w:bookmarkStart w:id="3" w:name="_Toc70438293"/>
      <w:bookmarkStart w:id="4" w:name="_Toc71034689"/>
      <w:r w:rsidRPr="004A6DDF">
        <w:t>This review</w:t>
      </w:r>
      <w:bookmarkEnd w:id="2"/>
      <w:bookmarkEnd w:id="3"/>
      <w:bookmarkEnd w:id="4"/>
    </w:p>
    <w:p w14:paraId="2B3B3DFC" w14:textId="77777777" w:rsidR="0064061F" w:rsidRDefault="0064061F" w:rsidP="0064061F">
      <w:r>
        <w:t>The Office of the Australian Information Commissioner (OAIC) is reviewing the National Health Privacy Rules 2018 (Rules) to decide whether and how they need to be updated. This Consultation Paper is aimed at eliciting feedback on the Rules to find out what is working well and what can be improved.</w:t>
      </w:r>
    </w:p>
    <w:p w14:paraId="1AC5B741" w14:textId="77777777" w:rsidR="0064061F" w:rsidRPr="004A6DDF" w:rsidRDefault="0064061F" w:rsidP="0064061F">
      <w:r>
        <w:t xml:space="preserve">The Rules are a legislative instrument issued by the Information Commissioner under section 135AA of the </w:t>
      </w:r>
      <w:hyperlink r:id="rId10" w:history="1">
        <w:r w:rsidRPr="004A6DDF">
          <w:rPr>
            <w:rStyle w:val="Hyperlink"/>
            <w:i/>
            <w:iCs/>
            <w:lang w:val="en-GB"/>
          </w:rPr>
          <w:t>National Health Act</w:t>
        </w:r>
        <w:r>
          <w:rPr>
            <w:rStyle w:val="Hyperlink"/>
            <w:i/>
            <w:iCs/>
            <w:lang w:val="en-GB"/>
          </w:rPr>
          <w:t xml:space="preserve"> </w:t>
        </w:r>
        <w:r w:rsidRPr="004A6DDF">
          <w:rPr>
            <w:rStyle w:val="Hyperlink"/>
            <w:i/>
            <w:iCs/>
            <w:lang w:val="en-GB"/>
          </w:rPr>
          <w:t>1953</w:t>
        </w:r>
      </w:hyperlink>
      <w:r>
        <w:t xml:space="preserve">. They apply to </w:t>
      </w:r>
      <w:r w:rsidRPr="004A6DDF">
        <w:t xml:space="preserve">Medicare Benefits Schedule (MBS) </w:t>
      </w:r>
      <w:r>
        <w:t>and Pharmaceutical Benefits Schedule (PBS) claims information. P</w:t>
      </w:r>
      <w:r w:rsidRPr="004A6DDF">
        <w:t xml:space="preserve">eople make claims under the </w:t>
      </w:r>
      <w:r>
        <w:t>MBS and PBS</w:t>
      </w:r>
      <w:r w:rsidRPr="004A6DDF">
        <w:t xml:space="preserve"> for health services in Australia. </w:t>
      </w:r>
      <w:r>
        <w:t>To enable this,</w:t>
      </w:r>
      <w:r w:rsidRPr="004A6DDF">
        <w:t> </w:t>
      </w:r>
      <w:r>
        <w:rPr>
          <w:bdr w:val="none" w:sz="0" w:space="0" w:color="auto" w:frame="1"/>
        </w:rPr>
        <w:t>Services Australia and the Department of Health</w:t>
      </w:r>
      <w:r w:rsidRPr="004A6DDF">
        <w:t xml:space="preserve"> process </w:t>
      </w:r>
      <w:r>
        <w:t>and store information about MBS and PBS</w:t>
      </w:r>
      <w:r w:rsidRPr="004A6DDF">
        <w:t xml:space="preserve"> claims. </w:t>
      </w:r>
    </w:p>
    <w:p w14:paraId="2E13EFC3" w14:textId="77777777" w:rsidR="0064061F" w:rsidRPr="004A6DDF" w:rsidRDefault="0064061F" w:rsidP="0064061F">
      <w:r w:rsidRPr="004A6DDF">
        <w:t xml:space="preserve">The </w:t>
      </w:r>
      <w:r>
        <w:t>Rules apply to</w:t>
      </w:r>
      <w:r w:rsidRPr="004A6DDF">
        <w:t xml:space="preserve"> Australian Government agencies </w:t>
      </w:r>
      <w:r>
        <w:t>that</w:t>
      </w:r>
      <w:r w:rsidRPr="004A6DDF">
        <w:t xml:space="preserve"> handle MBS and PBS information </w:t>
      </w:r>
      <w:r>
        <w:t>with</w:t>
      </w:r>
      <w:r w:rsidRPr="004A6DDF">
        <w:t xml:space="preserve"> particular</w:t>
      </w:r>
      <w:r>
        <w:t xml:space="preserve"> focus on</w:t>
      </w:r>
      <w:r w:rsidRPr="004A6DDF">
        <w:t xml:space="preserve"> Services Australia and the </w:t>
      </w:r>
      <w:r w:rsidRPr="004A6DDF">
        <w:rPr>
          <w:bdr w:val="none" w:sz="0" w:space="0" w:color="auto" w:frame="1"/>
        </w:rPr>
        <w:t>Department of Health</w:t>
      </w:r>
      <w:r w:rsidRPr="004A6DDF">
        <w:t>. In brief, the Rules:</w:t>
      </w:r>
    </w:p>
    <w:p w14:paraId="4DE1D9B1" w14:textId="77777777" w:rsidR="0064061F" w:rsidRPr="004A6DDF" w:rsidRDefault="0064061F" w:rsidP="0064061F">
      <w:pPr>
        <w:pStyle w:val="ListBullet"/>
        <w:ind w:left="511" w:hanging="454"/>
      </w:pPr>
      <w:r>
        <w:t>R</w:t>
      </w:r>
      <w:r w:rsidRPr="004A6DDF">
        <w:t>equire that information obtained from the MBS and PBS not</w:t>
      </w:r>
      <w:r>
        <w:t xml:space="preserve"> be</w:t>
      </w:r>
      <w:r w:rsidRPr="004A6DDF">
        <w:t xml:space="preserve"> stored in the same database</w:t>
      </w:r>
    </w:p>
    <w:p w14:paraId="6C692A93" w14:textId="77777777" w:rsidR="0064061F" w:rsidRPr="004A6DDF" w:rsidRDefault="0064061F" w:rsidP="0064061F">
      <w:pPr>
        <w:pStyle w:val="ListBullet"/>
        <w:ind w:left="511" w:hanging="454"/>
      </w:pPr>
      <w:r>
        <w:t>S</w:t>
      </w:r>
      <w:r w:rsidRPr="004A6DDF">
        <w:t>pecify when claims information from the two programs may be linked</w:t>
      </w:r>
    </w:p>
    <w:p w14:paraId="199329FD" w14:textId="77777777" w:rsidR="0064061F" w:rsidRPr="004A6DDF" w:rsidRDefault="0064061F" w:rsidP="0064061F">
      <w:pPr>
        <w:pStyle w:val="ListBullet"/>
        <w:ind w:left="511" w:hanging="454"/>
      </w:pPr>
      <w:r>
        <w:t>P</w:t>
      </w:r>
      <w:r w:rsidRPr="004A6DDF">
        <w:t>rohibit claims information over five years old</w:t>
      </w:r>
      <w:r>
        <w:t xml:space="preserve"> (i.e., old information)</w:t>
      </w:r>
      <w:r w:rsidRPr="004A6DDF">
        <w:t xml:space="preserve"> from including information that could identify an individual, and</w:t>
      </w:r>
    </w:p>
    <w:p w14:paraId="3E0C6C54" w14:textId="70A96526" w:rsidR="0064061F" w:rsidRPr="003E15F2" w:rsidRDefault="0064061F" w:rsidP="0064061F">
      <w:pPr>
        <w:pStyle w:val="ListBullet"/>
        <w:ind w:left="511" w:hanging="454"/>
      </w:pPr>
      <w:r>
        <w:t>S</w:t>
      </w:r>
      <w:r w:rsidRPr="004A6DDF">
        <w:t>pecify the circumstances in which old information may be re-linked</w:t>
      </w:r>
      <w:r>
        <w:t xml:space="preserve"> with identifiers</w:t>
      </w:r>
      <w:r w:rsidRPr="004A6DDF">
        <w:t>.</w:t>
      </w:r>
    </w:p>
    <w:p w14:paraId="5BBAA6E1" w14:textId="38A70195" w:rsidR="00CB0482" w:rsidRPr="004A6DDF" w:rsidRDefault="00CB0482" w:rsidP="005F5077">
      <w:pPr>
        <w:pStyle w:val="Heading4"/>
        <w:numPr>
          <w:ilvl w:val="0"/>
          <w:numId w:val="0"/>
        </w:numPr>
      </w:pPr>
      <w:bookmarkStart w:id="5" w:name="_Toc70395716"/>
      <w:bookmarkStart w:id="6" w:name="_Toc70438294"/>
      <w:r w:rsidRPr="004A6DDF">
        <w:t xml:space="preserve">Why have a </w:t>
      </w:r>
      <w:r>
        <w:t>r</w:t>
      </w:r>
      <w:r w:rsidRPr="004A6DDF">
        <w:t>eview?</w:t>
      </w:r>
      <w:bookmarkEnd w:id="5"/>
      <w:bookmarkEnd w:id="6"/>
    </w:p>
    <w:p w14:paraId="2CDE320D" w14:textId="77777777" w:rsidR="0064061F" w:rsidRPr="004A6DDF" w:rsidRDefault="0064061F" w:rsidP="0064061F">
      <w:pPr>
        <w:rPr>
          <w:lang w:val="en-GB"/>
        </w:rPr>
      </w:pPr>
      <w:r>
        <w:t xml:space="preserve">The Rules are due to sunset on 1 April 2022. The OAIC is therefore consulting stakeholders on the Rules to enable revision and remaking of the Rules before that date. Other </w:t>
      </w:r>
      <w:r w:rsidRPr="004A6DDF">
        <w:rPr>
          <w:lang w:val="en-GB"/>
        </w:rPr>
        <w:t xml:space="preserve">factors </w:t>
      </w:r>
      <w:r>
        <w:rPr>
          <w:lang w:val="en-GB"/>
        </w:rPr>
        <w:t xml:space="preserve">that </w:t>
      </w:r>
      <w:r w:rsidRPr="004A6DDF">
        <w:rPr>
          <w:lang w:val="en-GB"/>
        </w:rPr>
        <w:t>indicate that a review is timely includ</w:t>
      </w:r>
      <w:r>
        <w:rPr>
          <w:lang w:val="en-GB"/>
        </w:rPr>
        <w:t>e</w:t>
      </w:r>
      <w:r w:rsidRPr="004A6DDF">
        <w:rPr>
          <w:lang w:val="en-GB"/>
        </w:rPr>
        <w:t>:</w:t>
      </w:r>
    </w:p>
    <w:p w14:paraId="6332EA46" w14:textId="77777777" w:rsidR="0064061F" w:rsidRPr="004A6DDF" w:rsidRDefault="0064061F" w:rsidP="0064061F">
      <w:pPr>
        <w:pStyle w:val="ListBullet"/>
        <w:ind w:left="511" w:hanging="454"/>
      </w:pPr>
      <w:r w:rsidRPr="004A6DDF">
        <w:t>Developments in information technology since 2008</w:t>
      </w:r>
      <w:r>
        <w:t>,</w:t>
      </w:r>
      <w:r w:rsidRPr="004A6DDF">
        <w:t xml:space="preserve"> which is when the contents of the Rules were last </w:t>
      </w:r>
      <w:r>
        <w:t>examined</w:t>
      </w:r>
      <w:r w:rsidRPr="004A6DDF">
        <w:t xml:space="preserve"> in depth</w:t>
      </w:r>
    </w:p>
    <w:p w14:paraId="33525932" w14:textId="77777777" w:rsidR="0064061F" w:rsidRPr="004A6DDF" w:rsidRDefault="0064061F" w:rsidP="0064061F">
      <w:pPr>
        <w:pStyle w:val="ListBullet"/>
        <w:ind w:left="511" w:hanging="454"/>
      </w:pPr>
      <w:r>
        <w:t xml:space="preserve">The introduction of </w:t>
      </w:r>
      <w:r w:rsidRPr="004A6DDF">
        <w:t xml:space="preserve">the Australian Privacy Principles (APPs) </w:t>
      </w:r>
      <w:r>
        <w:t>which may have changed baseline regulatory protections otherwise afforded to claims information</w:t>
      </w:r>
    </w:p>
    <w:p w14:paraId="79349DDD" w14:textId="77777777" w:rsidR="0064061F" w:rsidRPr="004A6DDF" w:rsidRDefault="0064061F" w:rsidP="0064061F">
      <w:pPr>
        <w:pStyle w:val="ListBullet"/>
        <w:ind w:left="511" w:hanging="454"/>
      </w:pPr>
      <w:r w:rsidRPr="004A6DDF">
        <w:t>The regularity</w:t>
      </w:r>
      <w:r>
        <w:t xml:space="preserve"> and increased scale</w:t>
      </w:r>
      <w:r w:rsidRPr="004A6DDF">
        <w:t xml:space="preserve"> of use of information technology in the planning and provision of health services </w:t>
      </w:r>
    </w:p>
    <w:p w14:paraId="72992B28" w14:textId="77777777" w:rsidR="0064061F" w:rsidRPr="004A6DDF" w:rsidRDefault="0064061F" w:rsidP="0064061F">
      <w:pPr>
        <w:pStyle w:val="ListBullet"/>
        <w:ind w:left="511" w:hanging="454"/>
      </w:pPr>
      <w:r w:rsidRPr="004A6DDF">
        <w:lastRenderedPageBreak/>
        <w:t>Public policy approaches favouring data use and re-use in research, evidence-based decision-making and the provision of government services generally</w:t>
      </w:r>
    </w:p>
    <w:p w14:paraId="791991BE" w14:textId="77777777" w:rsidR="0064061F" w:rsidRPr="003E15F2" w:rsidRDefault="0064061F" w:rsidP="0064061F">
      <w:pPr>
        <w:pStyle w:val="ListBullet"/>
        <w:ind w:left="511" w:hanging="454"/>
      </w:pPr>
      <w:r w:rsidRPr="004A6DDF">
        <w:t>Community attitudes and expectations regarding the handling of their personal information; in particular, certain health information.</w:t>
      </w:r>
    </w:p>
    <w:p w14:paraId="7B9F6477" w14:textId="6D11DC3E" w:rsidR="0064061F" w:rsidRPr="004A6DDF" w:rsidRDefault="0064061F" w:rsidP="00CB0482">
      <w:pPr>
        <w:autoSpaceDE w:val="0"/>
        <w:autoSpaceDN w:val="0"/>
        <w:adjustRightInd w:val="0"/>
        <w:rPr>
          <w:lang w:val="en-GB"/>
        </w:rPr>
      </w:pPr>
      <w:r w:rsidRPr="004A6DDF">
        <w:rPr>
          <w:lang w:val="en-GB"/>
        </w:rPr>
        <w:t>Submissions to the review will help the Commissioner to assess the need for revisions or amendments to the Rules.</w:t>
      </w:r>
    </w:p>
    <w:p w14:paraId="2EDDC9C9" w14:textId="5CD70FA6" w:rsidR="00CB0482" w:rsidRPr="004A6DDF" w:rsidRDefault="0022295A" w:rsidP="005F5077">
      <w:pPr>
        <w:pStyle w:val="Heading4"/>
        <w:numPr>
          <w:ilvl w:val="0"/>
          <w:numId w:val="0"/>
        </w:numPr>
      </w:pPr>
      <w:r>
        <w:t>Scope of the review</w:t>
      </w:r>
    </w:p>
    <w:p w14:paraId="3E1BB153" w14:textId="77777777" w:rsidR="0022295A" w:rsidRPr="004A6DDF" w:rsidRDefault="0022295A" w:rsidP="0022295A">
      <w:pPr>
        <w:rPr>
          <w:lang w:val="en-GB"/>
        </w:rPr>
      </w:pPr>
      <w:r w:rsidRPr="004A6DDF">
        <w:rPr>
          <w:lang w:val="en-GB"/>
        </w:rPr>
        <w:t xml:space="preserve">The </w:t>
      </w:r>
      <w:r>
        <w:rPr>
          <w:lang w:val="en-GB"/>
        </w:rPr>
        <w:t>r</w:t>
      </w:r>
      <w:r w:rsidRPr="004A6DDF">
        <w:rPr>
          <w:lang w:val="en-GB"/>
        </w:rPr>
        <w:t>eview is a general review of all the provisions of the Rules. As with previous reviews, the Commissioner’s purpose is to ensure that the Rules, in their current form, achieve the intent of section 135AA of the National Health Act and are easy to read, understand and apply in practice.</w:t>
      </w:r>
    </w:p>
    <w:p w14:paraId="476E9B0A" w14:textId="77777777" w:rsidR="0022295A" w:rsidRPr="004A6DDF" w:rsidRDefault="0022295A" w:rsidP="0022295A">
      <w:pPr>
        <w:rPr>
          <w:lang w:val="en-GB"/>
        </w:rPr>
      </w:pPr>
      <w:r w:rsidRPr="004A6DDF">
        <w:rPr>
          <w:lang w:val="en-GB"/>
        </w:rPr>
        <w:t>This Paper sets out information about the review process, including:</w:t>
      </w:r>
    </w:p>
    <w:p w14:paraId="793E98F5" w14:textId="77777777" w:rsidR="0022295A" w:rsidRPr="004A6DDF" w:rsidRDefault="0022295A" w:rsidP="0022295A">
      <w:pPr>
        <w:pStyle w:val="ListBullet"/>
        <w:ind w:left="511" w:hanging="454"/>
      </w:pPr>
      <w:r>
        <w:t>How to provide comments</w:t>
      </w:r>
    </w:p>
    <w:p w14:paraId="717EF666" w14:textId="77777777" w:rsidR="0022295A" w:rsidRPr="004A6DDF" w:rsidRDefault="0022295A" w:rsidP="0022295A">
      <w:pPr>
        <w:pStyle w:val="ListBullet"/>
        <w:ind w:left="511" w:hanging="454"/>
      </w:pPr>
      <w:r>
        <w:t>Information about the Rules and relevant recent developments</w:t>
      </w:r>
    </w:p>
    <w:p w14:paraId="2EBF8996" w14:textId="77777777" w:rsidR="0022295A" w:rsidRDefault="0022295A" w:rsidP="0022295A">
      <w:pPr>
        <w:pStyle w:val="ListBullet"/>
        <w:ind w:left="511" w:hanging="454"/>
      </w:pPr>
      <w:r>
        <w:t>General questions and issues for consideration</w:t>
      </w:r>
    </w:p>
    <w:p w14:paraId="050E13F1" w14:textId="77777777" w:rsidR="0022295A" w:rsidRPr="003E15F2" w:rsidRDefault="0022295A" w:rsidP="0022295A">
      <w:pPr>
        <w:pStyle w:val="ListBullet"/>
        <w:ind w:left="511" w:hanging="454"/>
      </w:pPr>
      <w:r>
        <w:t>Specific questions about each of the main provisions contained in the Rules.</w:t>
      </w:r>
    </w:p>
    <w:p w14:paraId="081FACDE" w14:textId="77777777" w:rsidR="0022295A" w:rsidRPr="004A6DDF" w:rsidRDefault="0022295A" w:rsidP="0022295A">
      <w:pPr>
        <w:rPr>
          <w:lang w:val="en-GB"/>
        </w:rPr>
      </w:pPr>
      <w:r w:rsidRPr="004A6DDF">
        <w:rPr>
          <w:lang w:val="en-GB"/>
        </w:rPr>
        <w:t xml:space="preserve">The </w:t>
      </w:r>
      <w:r>
        <w:rPr>
          <w:lang w:val="en-GB"/>
        </w:rPr>
        <w:t>OAIC</w:t>
      </w:r>
      <w:r w:rsidRPr="004A6DDF">
        <w:rPr>
          <w:lang w:val="en-GB"/>
        </w:rPr>
        <w:t xml:space="preserve"> invites comment from interested individuals, agencies and</w:t>
      </w:r>
      <w:r>
        <w:rPr>
          <w:lang w:val="en-GB"/>
        </w:rPr>
        <w:t xml:space="preserve"> </w:t>
      </w:r>
      <w:r w:rsidRPr="004A6DDF">
        <w:rPr>
          <w:lang w:val="en-GB"/>
        </w:rPr>
        <w:t>organisations on all elements and aspects of the Rules, including but not limited to their effect on individuals</w:t>
      </w:r>
      <w:r>
        <w:rPr>
          <w:lang w:val="en-GB"/>
        </w:rPr>
        <w:t>,</w:t>
      </w:r>
      <w:r w:rsidRPr="004A6DDF">
        <w:rPr>
          <w:lang w:val="en-GB"/>
        </w:rPr>
        <w:t xml:space="preserve"> the operation of </w:t>
      </w:r>
      <w:r w:rsidRPr="004A6DDF">
        <w:t>MBS and PBS processes, public sector operations</w:t>
      </w:r>
      <w:r>
        <w:t xml:space="preserve"> and policy development</w:t>
      </w:r>
      <w:r w:rsidRPr="004A6DDF">
        <w:t>, open data and associated research initiatives</w:t>
      </w:r>
      <w:r w:rsidRPr="004A6DDF">
        <w:rPr>
          <w:lang w:val="en-GB"/>
        </w:rPr>
        <w:t>.</w:t>
      </w:r>
    </w:p>
    <w:p w14:paraId="4237697C" w14:textId="77777777" w:rsidR="0022295A" w:rsidRDefault="0022295A" w:rsidP="0022295A">
      <w:pPr>
        <w:rPr>
          <w:color w:val="222222"/>
        </w:rPr>
      </w:pPr>
      <w:r w:rsidRPr="00520C38">
        <w:rPr>
          <w:color w:val="222222"/>
        </w:rPr>
        <w:t>Questions have been included in the Consultation Paper to help guide your feedback.</w:t>
      </w:r>
      <w:r>
        <w:rPr>
          <w:color w:val="222222"/>
        </w:rPr>
        <w:t xml:space="preserve"> </w:t>
      </w:r>
      <w:r w:rsidRPr="00520C38">
        <w:rPr>
          <w:color w:val="222222"/>
        </w:rPr>
        <w:t xml:space="preserve">It is not necessary to respond to every topic or question raised in the Paper. Nor should you feel restricted to the topics or questions we have raised. When commenting, we encourage you to provide evidence to support your feedback, including examples, case studies, statistics or other information. </w:t>
      </w:r>
    </w:p>
    <w:p w14:paraId="5D2E0230" w14:textId="40B4C970" w:rsidR="0022295A" w:rsidRPr="0022295A" w:rsidRDefault="0022295A" w:rsidP="00CB0482">
      <w:pPr>
        <w:rPr>
          <w:color w:val="000000"/>
          <w:lang w:val="en-GB"/>
        </w:rPr>
      </w:pPr>
      <w:r w:rsidRPr="004A6DDF">
        <w:rPr>
          <w:color w:val="000000"/>
          <w:lang w:val="en-GB"/>
        </w:rPr>
        <w:t xml:space="preserve">While submissions may include </w:t>
      </w:r>
      <w:r>
        <w:rPr>
          <w:color w:val="000000"/>
          <w:lang w:val="en-GB"/>
        </w:rPr>
        <w:t xml:space="preserve">perspectives and </w:t>
      </w:r>
      <w:r w:rsidRPr="004A6DDF">
        <w:rPr>
          <w:color w:val="000000"/>
          <w:lang w:val="en-GB"/>
        </w:rPr>
        <w:t xml:space="preserve">commentary on the Rules, </w:t>
      </w:r>
      <w:r w:rsidRPr="004A6DDF">
        <w:rPr>
          <w:lang w:val="en-GB"/>
        </w:rPr>
        <w:t xml:space="preserve">the Commissioner will not consider comments on unrelated areas of the </w:t>
      </w:r>
      <w:r w:rsidRPr="007B1401">
        <w:rPr>
          <w:i/>
          <w:iCs/>
          <w:lang w:val="en-GB"/>
        </w:rPr>
        <w:t>Privacy Act 1988</w:t>
      </w:r>
      <w:r w:rsidRPr="004A6DDF">
        <w:rPr>
          <w:lang w:val="en-GB"/>
        </w:rPr>
        <w:t xml:space="preserve"> or other legislation.</w:t>
      </w:r>
      <w:r w:rsidRPr="004A6DDF">
        <w:rPr>
          <w:color w:val="000000"/>
          <w:lang w:val="en-GB"/>
        </w:rPr>
        <w:t xml:space="preserve"> </w:t>
      </w:r>
      <w:r w:rsidRPr="004A6DDF">
        <w:rPr>
          <w:lang w:val="en-GB"/>
        </w:rPr>
        <w:t>It is also relevant to note that this is a review of the Rules and not of section 135AA of</w:t>
      </w:r>
      <w:r w:rsidRPr="004A6DDF">
        <w:rPr>
          <w:color w:val="000000"/>
          <w:lang w:val="en-GB"/>
        </w:rPr>
        <w:t xml:space="preserve"> t</w:t>
      </w:r>
      <w:r w:rsidRPr="004A6DDF">
        <w:rPr>
          <w:lang w:val="en-GB"/>
        </w:rPr>
        <w:t xml:space="preserve">he National Health Act. It is not within the scope of this review or the Commissioner’s functions to canvas amendments to the National Health Act. Any such review would occur as a separate process led by the Department of Health. </w:t>
      </w:r>
    </w:p>
    <w:p w14:paraId="4F0EB3BE" w14:textId="6E9E92B4" w:rsidR="00315D13" w:rsidRDefault="00315D13" w:rsidP="005F5077">
      <w:pPr>
        <w:pStyle w:val="Heading3"/>
        <w:numPr>
          <w:ilvl w:val="0"/>
          <w:numId w:val="0"/>
        </w:numPr>
      </w:pPr>
      <w:bookmarkStart w:id="7" w:name="_Toc70438296"/>
      <w:bookmarkStart w:id="8" w:name="_Toc71034690"/>
      <w:r>
        <w:t>How to provide comments</w:t>
      </w:r>
      <w:bookmarkEnd w:id="7"/>
      <w:bookmarkEnd w:id="8"/>
    </w:p>
    <w:p w14:paraId="02125A17" w14:textId="77777777" w:rsidR="00315D13" w:rsidRDefault="00315D13" w:rsidP="00315D13">
      <w:r>
        <w:t>Submissions can be made by:</w:t>
      </w:r>
    </w:p>
    <w:tbl>
      <w:tblPr>
        <w:tblStyle w:val="TableGrid"/>
        <w:tblW w:w="9067" w:type="dxa"/>
        <w:tblLook w:val="04A0" w:firstRow="1" w:lastRow="0" w:firstColumn="1" w:lastColumn="0" w:noHBand="0" w:noVBand="1"/>
      </w:tblPr>
      <w:tblGrid>
        <w:gridCol w:w="769"/>
        <w:gridCol w:w="8298"/>
      </w:tblGrid>
      <w:tr w:rsidR="00315D13" w14:paraId="2DC9AC87" w14:textId="77777777" w:rsidTr="0022295A">
        <w:tc>
          <w:tcPr>
            <w:tcW w:w="0" w:type="auto"/>
            <w:hideMark/>
          </w:tcPr>
          <w:p w14:paraId="1516E492" w14:textId="77777777" w:rsidR="00315D13" w:rsidRDefault="00315D13" w:rsidP="0064061F">
            <w:pPr>
              <w:rPr>
                <w:b/>
                <w:bCs/>
              </w:rPr>
            </w:pPr>
            <w:r>
              <w:rPr>
                <w:b/>
                <w:bCs/>
              </w:rPr>
              <w:lastRenderedPageBreak/>
              <w:t>Email</w:t>
            </w:r>
          </w:p>
        </w:tc>
        <w:tc>
          <w:tcPr>
            <w:tcW w:w="8302" w:type="dxa"/>
            <w:hideMark/>
          </w:tcPr>
          <w:p w14:paraId="2A4B8212" w14:textId="19447752" w:rsidR="00315D13" w:rsidRDefault="003B3CDF" w:rsidP="0064061F">
            <w:hyperlink r:id="rId11" w:history="1">
              <w:r w:rsidR="0022295A" w:rsidRPr="00C30788">
                <w:rPr>
                  <w:rStyle w:val="Hyperlink"/>
                </w:rPr>
                <w:t>privacy.rules@oaic.gov.au</w:t>
              </w:r>
            </w:hyperlink>
            <w:r w:rsidR="0022295A">
              <w:t xml:space="preserve"> </w:t>
            </w:r>
          </w:p>
        </w:tc>
      </w:tr>
      <w:tr w:rsidR="00315D13" w14:paraId="7A34CD89" w14:textId="77777777" w:rsidTr="0022295A">
        <w:tc>
          <w:tcPr>
            <w:tcW w:w="0" w:type="auto"/>
            <w:hideMark/>
          </w:tcPr>
          <w:p w14:paraId="2CEC9587" w14:textId="77777777" w:rsidR="00315D13" w:rsidRDefault="00315D13" w:rsidP="0064061F">
            <w:pPr>
              <w:rPr>
                <w:b/>
                <w:bCs/>
              </w:rPr>
            </w:pPr>
            <w:r>
              <w:rPr>
                <w:b/>
                <w:bCs/>
              </w:rPr>
              <w:t>Post</w:t>
            </w:r>
          </w:p>
        </w:tc>
        <w:tc>
          <w:tcPr>
            <w:tcW w:w="8302" w:type="dxa"/>
            <w:hideMark/>
          </w:tcPr>
          <w:p w14:paraId="0B3137C2" w14:textId="77777777" w:rsidR="00315D13" w:rsidRDefault="00315D13" w:rsidP="0064061F">
            <w:r>
              <w:t>GPO Box 5218</w:t>
            </w:r>
            <w:r>
              <w:br/>
              <w:t>Sydney NSW 2001</w:t>
            </w:r>
          </w:p>
        </w:tc>
      </w:tr>
    </w:tbl>
    <w:p w14:paraId="14EC16BB" w14:textId="0CFEF48A" w:rsidR="0022295A" w:rsidRPr="00726E7F" w:rsidRDefault="0022295A" w:rsidP="00726E7F">
      <w:pPr>
        <w:spacing w:after="0"/>
        <w:rPr>
          <w:rFonts w:ascii="Times New Roman" w:eastAsia="Times New Roman" w:hAnsi="Times New Roman"/>
          <w:sz w:val="24"/>
          <w:szCs w:val="24"/>
          <w:lang w:eastAsia="en-GB"/>
        </w:rPr>
      </w:pPr>
      <w:r>
        <w:br/>
        <w:t xml:space="preserve">The closing date for comments is </w:t>
      </w:r>
      <w:r w:rsidR="00726E7F" w:rsidRPr="00726E7F">
        <w:rPr>
          <w:rFonts w:ascii="Calibri" w:eastAsia="Times New Roman" w:hAnsi="Calibri" w:cs="Calibri"/>
          <w:b/>
          <w:bCs/>
          <w:color w:val="201F1E"/>
          <w:szCs w:val="22"/>
          <w:lang w:eastAsia="en-GB"/>
        </w:rPr>
        <w:t>5pm Friday 4 June 2021</w:t>
      </w:r>
      <w:r>
        <w:t>.</w:t>
      </w:r>
    </w:p>
    <w:p w14:paraId="63A57FB6" w14:textId="77777777" w:rsidR="0022295A" w:rsidRDefault="0022295A" w:rsidP="0022295A">
      <w:bookmarkStart w:id="9" w:name="_Toc70438297"/>
      <w:r>
        <w:t xml:space="preserve">We intend to make all submissions publicly available. Please indicate when making your submission if it contains confidential </w:t>
      </w:r>
      <w:proofErr w:type="gramStart"/>
      <w:r>
        <w:t>information</w:t>
      </w:r>
      <w:proofErr w:type="gramEnd"/>
      <w:r>
        <w:t xml:space="preserve"> you don’t want made public and why it should not be published. Requests for access to confidential comments will be determined in accordance with the FOI Act.</w:t>
      </w:r>
    </w:p>
    <w:p w14:paraId="5F21541D" w14:textId="77777777" w:rsidR="0022295A" w:rsidRDefault="0022295A" w:rsidP="0022295A">
      <w:r>
        <w:t>Although you may lodge submissions by email or post, email is preferred. To help us meet our accessibility obligations, we would appreciate you providing your submission in a web accessible format or, alternatively, in a format that will allow us to easily convert it to HTML code — for example Rich Text Format (.rtf) or Microsoft Word (.doc or .docx) format.</w:t>
      </w:r>
    </w:p>
    <w:p w14:paraId="4DA22BAC" w14:textId="77777777" w:rsidR="00315D13" w:rsidRDefault="00315D13" w:rsidP="00541BE4">
      <w:pPr>
        <w:pStyle w:val="Heading3"/>
        <w:numPr>
          <w:ilvl w:val="0"/>
          <w:numId w:val="0"/>
        </w:numPr>
      </w:pPr>
      <w:bookmarkStart w:id="10" w:name="_Toc71034691"/>
      <w:r>
        <w:t>Privacy collection statement</w:t>
      </w:r>
      <w:bookmarkEnd w:id="9"/>
      <w:bookmarkEnd w:id="10"/>
    </w:p>
    <w:p w14:paraId="61724F95" w14:textId="77777777" w:rsidR="00315D13" w:rsidRPr="00BD7520" w:rsidRDefault="00315D13" w:rsidP="00315D13">
      <w:r w:rsidRPr="00BD7520">
        <w:t>The OAIC will only use the personal information it collects during this consultation for the purpose of considering the issues raised in the discussion paper. This will include sharing submissions with Information Integrity Solutions – a privacy consultancy that is assisting OAIC with this review.</w:t>
      </w:r>
    </w:p>
    <w:p w14:paraId="28FA06AE" w14:textId="77777777" w:rsidR="00315D13" w:rsidRDefault="00315D13" w:rsidP="00541BE4">
      <w:pPr>
        <w:pStyle w:val="Heading1"/>
      </w:pPr>
      <w:bookmarkStart w:id="11" w:name="_Toc70438298"/>
      <w:bookmarkStart w:id="12" w:name="_Toc71034692"/>
      <w:r>
        <w:t>About the Rules</w:t>
      </w:r>
      <w:bookmarkEnd w:id="11"/>
      <w:bookmarkEnd w:id="12"/>
    </w:p>
    <w:p w14:paraId="1ADF052C" w14:textId="77777777" w:rsidR="00315D13" w:rsidRPr="00212226" w:rsidRDefault="00315D13" w:rsidP="00315D13">
      <w:r>
        <w:t>In this section you can find:</w:t>
      </w:r>
    </w:p>
    <w:p w14:paraId="78D63928" w14:textId="77777777" w:rsidR="00315D13" w:rsidRDefault="00315D13" w:rsidP="00DD439C">
      <w:pPr>
        <w:pStyle w:val="ListBullet"/>
        <w:ind w:left="511" w:hanging="454"/>
      </w:pPr>
      <w:r w:rsidRPr="00DF126C">
        <w:rPr>
          <w:i/>
          <w:iCs/>
        </w:rPr>
        <w:t>Explanatory information about the Rules</w:t>
      </w:r>
      <w:r>
        <w:t xml:space="preserve"> </w:t>
      </w:r>
      <w:r>
        <w:br/>
        <w:t>Including their purpose, the activities they cover and their main provisions.</w:t>
      </w:r>
    </w:p>
    <w:p w14:paraId="4D5B9B02" w14:textId="77777777" w:rsidR="00315D13" w:rsidRDefault="00315D13" w:rsidP="00DD439C">
      <w:pPr>
        <w:pStyle w:val="ListBullet"/>
        <w:ind w:left="511" w:hanging="454"/>
      </w:pPr>
      <w:r w:rsidRPr="0046638E">
        <w:rPr>
          <w:i/>
          <w:iCs/>
        </w:rPr>
        <w:t>Contextual information</w:t>
      </w:r>
      <w:r w:rsidRPr="00DD439C">
        <w:br/>
      </w:r>
      <w:r>
        <w:t>Including other relevant reviews, government policies and legislative reform.</w:t>
      </w:r>
    </w:p>
    <w:p w14:paraId="4E566FB8" w14:textId="77777777" w:rsidR="00315D13" w:rsidRDefault="00315D13" w:rsidP="00541BE4">
      <w:pPr>
        <w:pStyle w:val="Heading3"/>
        <w:numPr>
          <w:ilvl w:val="0"/>
          <w:numId w:val="0"/>
        </w:numPr>
      </w:pPr>
      <w:bookmarkStart w:id="13" w:name="_Toc70438299"/>
      <w:bookmarkStart w:id="14" w:name="_Toc71034693"/>
      <w:r>
        <w:t>The National Health (Privacy) Rules</w:t>
      </w:r>
      <w:bookmarkEnd w:id="13"/>
      <w:bookmarkEnd w:id="14"/>
    </w:p>
    <w:p w14:paraId="6508D76F" w14:textId="77777777" w:rsidR="00315D13" w:rsidRDefault="00315D13" w:rsidP="00315D13">
      <w:r>
        <w:t xml:space="preserve">The Rules are a legislative instrument issued by the Australian Information Commissioner. They are binding which means the public sector agencies covered by the Rules must follow them. </w:t>
      </w:r>
    </w:p>
    <w:p w14:paraId="1F3DA541" w14:textId="77777777" w:rsidR="00315D13" w:rsidRDefault="00315D13" w:rsidP="00315D13">
      <w:r>
        <w:t xml:space="preserve">The Commissioner issues the Rules under section 135AA of the </w:t>
      </w:r>
      <w:r w:rsidRPr="007B1401">
        <w:t>National Health Act</w:t>
      </w:r>
      <w:r>
        <w:t xml:space="preserve">. Section 135AA says that the Commissioner must issue privacy rules about how public sector agencies handle </w:t>
      </w:r>
      <w:hyperlink w:anchor="_MBS_and_PBS" w:history="1">
        <w:r w:rsidRPr="00272A21">
          <w:rPr>
            <w:rStyle w:val="Hyperlink"/>
          </w:rPr>
          <w:t>MBS and PBS claims information</w:t>
        </w:r>
      </w:hyperlink>
      <w:r>
        <w:t>. Section 135AA also lists matters that the rules must cover. When revising the Rules, the Commissioner can change requirements in the Rules but cannot change the matters that section 135AA says the rules must cover.</w:t>
      </w:r>
    </w:p>
    <w:p w14:paraId="1AF95F9E" w14:textId="77777777" w:rsidR="00315D13" w:rsidRDefault="00315D13" w:rsidP="00315D13">
      <w:r>
        <w:lastRenderedPageBreak/>
        <w:t>Section 135AA was added to the National Health Act in 1991 in recognition of the special sensitivity of MBS and PBS claims information. Over the years, the Rules have been revised a number of times. The last time was in 2018.</w:t>
      </w:r>
    </w:p>
    <w:p w14:paraId="6BD6024B" w14:textId="77777777" w:rsidR="00315D13" w:rsidRDefault="00315D13" w:rsidP="00541BE4">
      <w:pPr>
        <w:pStyle w:val="Heading3"/>
        <w:numPr>
          <w:ilvl w:val="0"/>
          <w:numId w:val="0"/>
        </w:numPr>
      </w:pPr>
      <w:bookmarkStart w:id="15" w:name="_MBS_and_PBS"/>
      <w:bookmarkStart w:id="16" w:name="_Toc70438300"/>
      <w:bookmarkStart w:id="17" w:name="_Toc71034694"/>
      <w:bookmarkEnd w:id="15"/>
      <w:r>
        <w:t>MBS and PBS claims information</w:t>
      </w:r>
      <w:bookmarkEnd w:id="16"/>
      <w:bookmarkEnd w:id="17"/>
    </w:p>
    <w:p w14:paraId="1DCA7EFF" w14:textId="77777777" w:rsidR="00BD7520" w:rsidRDefault="00BD7520" w:rsidP="00BD7520">
      <w:bookmarkStart w:id="18" w:name="_Toc70438301"/>
      <w:r>
        <w:t>The Rules set out requirements for how public sector agencies handle MBS and PBS claims information. MBS means Medicare Benefits Schedule and PBS means Pharmaceutical Benefits Schedule. This is information that government agencies collect and use to enable payment of benefits for medical care and medicines. It is sensitive because it reveals health information about individuals and covers most of the Australian population.</w:t>
      </w:r>
    </w:p>
    <w:p w14:paraId="31CCC75C" w14:textId="77777777" w:rsidR="00315D13" w:rsidRDefault="00315D13" w:rsidP="00541BE4">
      <w:pPr>
        <w:pStyle w:val="Heading3"/>
        <w:numPr>
          <w:ilvl w:val="0"/>
          <w:numId w:val="0"/>
        </w:numPr>
      </w:pPr>
      <w:bookmarkStart w:id="19" w:name="_Toc71034695"/>
      <w:r>
        <w:t>The main provisions in the Rules</w:t>
      </w:r>
      <w:bookmarkEnd w:id="18"/>
      <w:bookmarkEnd w:id="19"/>
    </w:p>
    <w:p w14:paraId="5A2B8A6A" w14:textId="77777777" w:rsidR="00BD7520" w:rsidRDefault="00BD7520" w:rsidP="00BD7520">
      <w:bookmarkStart w:id="20" w:name="_Toc70438302"/>
      <w:r>
        <w:t>The Rules explain how agencies may use, store, disclose and link MBS and PBS claims information. Although some provisions in the Rules apply to all agencies, most of the Rules just apply to Services Australia and the Department of Health as they are the two main agencies that handle MBS and PBS claims information.</w:t>
      </w:r>
    </w:p>
    <w:p w14:paraId="5369E371" w14:textId="77777777" w:rsidR="00BD7520" w:rsidRDefault="00BD7520" w:rsidP="00BD7520">
      <w:r>
        <w:t>Key provisions in the Rules include:</w:t>
      </w:r>
    </w:p>
    <w:p w14:paraId="20474536" w14:textId="77777777" w:rsidR="00BD7520" w:rsidRPr="00BD7520" w:rsidRDefault="00BD7520" w:rsidP="00BD7520">
      <w:pPr>
        <w:pStyle w:val="ListBullet"/>
        <w:ind w:left="511" w:hanging="454"/>
      </w:pPr>
      <w:r>
        <w:rPr>
          <w:i/>
          <w:iCs/>
        </w:rPr>
        <w:t xml:space="preserve">Separate storage </w:t>
      </w:r>
      <w:r w:rsidRPr="00BD7520">
        <w:rPr>
          <w:i/>
          <w:iCs/>
        </w:rPr>
        <w:t xml:space="preserve">– </w:t>
      </w:r>
      <w:r w:rsidRPr="00BD7520">
        <w:t>MBS and PBS claims information must be stored in separate databases.</w:t>
      </w:r>
    </w:p>
    <w:p w14:paraId="6936F651" w14:textId="77777777" w:rsidR="00BD7520" w:rsidRPr="00BD7520" w:rsidRDefault="00BD7520" w:rsidP="00BD7520">
      <w:pPr>
        <w:pStyle w:val="ListBullet"/>
        <w:ind w:left="511" w:hanging="454"/>
        <w:rPr>
          <w:i/>
          <w:iCs/>
        </w:rPr>
      </w:pPr>
      <w:r>
        <w:rPr>
          <w:i/>
          <w:iCs/>
        </w:rPr>
        <w:t xml:space="preserve">Storage without identifiers – </w:t>
      </w:r>
      <w:r w:rsidRPr="00BD7520">
        <w:t>MBS and PBS claims information must be stored without personal identification components</w:t>
      </w:r>
      <w:r w:rsidRPr="00BD7520">
        <w:rPr>
          <w:vertAlign w:val="superscript"/>
        </w:rPr>
        <w:footnoteReference w:id="1"/>
      </w:r>
      <w:r w:rsidRPr="00BD7520">
        <w:t xml:space="preserve"> and must be stored separately from enrolment and entitlements information.</w:t>
      </w:r>
    </w:p>
    <w:p w14:paraId="7C946920" w14:textId="77777777" w:rsidR="00BD7520" w:rsidRPr="00BD7520" w:rsidRDefault="00BD7520" w:rsidP="00BD7520">
      <w:pPr>
        <w:pStyle w:val="ListBullet"/>
        <w:ind w:left="511" w:hanging="454"/>
        <w:rPr>
          <w:i/>
          <w:iCs/>
        </w:rPr>
      </w:pPr>
      <w:r w:rsidRPr="006242ED">
        <w:rPr>
          <w:i/>
          <w:iCs/>
        </w:rPr>
        <w:t xml:space="preserve">Disclosure to the Department of Health </w:t>
      </w:r>
      <w:r>
        <w:rPr>
          <w:i/>
          <w:iCs/>
        </w:rPr>
        <w:t xml:space="preserve">– </w:t>
      </w:r>
      <w:r w:rsidRPr="00BD7520">
        <w:t xml:space="preserve">Services Australia may disclose claims information to the Department of Health to enable Medicare to perform ‘health provider compliance </w:t>
      </w:r>
      <w:proofErr w:type="gramStart"/>
      <w:r w:rsidRPr="00BD7520">
        <w:t>functions’</w:t>
      </w:r>
      <w:proofErr w:type="gramEnd"/>
      <w:r w:rsidRPr="00BD7520">
        <w:t xml:space="preserve">. Services Australia may disclose claims information to the Department of Health in other circumstances but generally such information must not include ‘personal identification </w:t>
      </w:r>
      <w:proofErr w:type="gramStart"/>
      <w:r w:rsidRPr="00BD7520">
        <w:t>components’</w:t>
      </w:r>
      <w:proofErr w:type="gramEnd"/>
      <w:r w:rsidRPr="00BD7520">
        <w:t>.</w:t>
      </w:r>
    </w:p>
    <w:p w14:paraId="6491D973" w14:textId="77777777" w:rsidR="00BD7520" w:rsidRPr="00BD7520" w:rsidRDefault="00BD7520" w:rsidP="00BD7520">
      <w:pPr>
        <w:pStyle w:val="ListBullet"/>
        <w:ind w:left="511" w:hanging="454"/>
        <w:rPr>
          <w:i/>
          <w:iCs/>
        </w:rPr>
      </w:pPr>
      <w:r>
        <w:rPr>
          <w:i/>
          <w:iCs/>
        </w:rPr>
        <w:t xml:space="preserve">Linkage of claims information </w:t>
      </w:r>
      <w:r w:rsidRPr="00BD7520">
        <w:rPr>
          <w:i/>
          <w:iCs/>
        </w:rPr>
        <w:t xml:space="preserve">– </w:t>
      </w:r>
      <w:r w:rsidRPr="00BD7520">
        <w:t>Services Australia and the Department of Health may link claims information held in the MBS and PBS databases but only in limited circumstances.</w:t>
      </w:r>
    </w:p>
    <w:p w14:paraId="4A4FEF1D" w14:textId="77777777" w:rsidR="00BD7520" w:rsidRPr="00BD7520" w:rsidRDefault="00BD7520" w:rsidP="00BD7520">
      <w:pPr>
        <w:pStyle w:val="ListBullet"/>
        <w:ind w:left="511" w:hanging="454"/>
        <w:rPr>
          <w:i/>
          <w:iCs/>
        </w:rPr>
      </w:pPr>
      <w:r>
        <w:rPr>
          <w:i/>
          <w:iCs/>
        </w:rPr>
        <w:t xml:space="preserve">Retention of linked claims information </w:t>
      </w:r>
      <w:r w:rsidRPr="00BD7520">
        <w:rPr>
          <w:i/>
          <w:iCs/>
        </w:rPr>
        <w:t xml:space="preserve">– </w:t>
      </w:r>
      <w:r w:rsidRPr="00BD7520">
        <w:t>Services Australia and the Department of Health must destroy linked claims information as soon as practicable after meeting the purpose for which it was linked.</w:t>
      </w:r>
    </w:p>
    <w:p w14:paraId="7794F94F" w14:textId="77777777" w:rsidR="00BD7520" w:rsidRPr="00BD7520" w:rsidRDefault="00BD7520" w:rsidP="00BD7520">
      <w:pPr>
        <w:pStyle w:val="ListBullet"/>
        <w:ind w:left="511" w:hanging="454"/>
        <w:rPr>
          <w:i/>
          <w:iCs/>
        </w:rPr>
      </w:pPr>
      <w:r w:rsidRPr="0046167B">
        <w:rPr>
          <w:i/>
          <w:iCs/>
        </w:rPr>
        <w:lastRenderedPageBreak/>
        <w:t>Old information</w:t>
      </w:r>
      <w:r w:rsidRPr="00BD7520">
        <w:rPr>
          <w:i/>
          <w:iCs/>
        </w:rPr>
        <w:t xml:space="preserve"> – </w:t>
      </w:r>
      <w:proofErr w:type="gramStart"/>
      <w:r w:rsidRPr="00BD7520">
        <w:t>Claims</w:t>
      </w:r>
      <w:proofErr w:type="gramEnd"/>
      <w:r w:rsidRPr="00BD7520">
        <w:t xml:space="preserve"> information that is five or more years old must be stored separately from other claims information and with personal identification components removed. Old information may only be re-linked with personal identification components in certain circumstances.</w:t>
      </w:r>
    </w:p>
    <w:p w14:paraId="292D3A5F" w14:textId="77777777" w:rsidR="00BD7520" w:rsidRPr="00BD7520" w:rsidRDefault="00BD7520" w:rsidP="00BD7520">
      <w:pPr>
        <w:pStyle w:val="ListBullet"/>
        <w:ind w:left="511" w:hanging="454"/>
      </w:pPr>
      <w:r>
        <w:rPr>
          <w:i/>
          <w:iCs/>
        </w:rPr>
        <w:t xml:space="preserve">Disclosure of claims information for medical research </w:t>
      </w:r>
      <w:r w:rsidRPr="00BD7520">
        <w:rPr>
          <w:i/>
          <w:iCs/>
        </w:rPr>
        <w:t xml:space="preserve">– </w:t>
      </w:r>
      <w:r w:rsidRPr="00BD7520">
        <w:t xml:space="preserve">Services Australia may disclose identifiable claims information to researchers for the purpose of medical research if the subjects of the information consent or the research follows the </w:t>
      </w:r>
      <w:hyperlink r:id="rId12" w:history="1">
        <w:r w:rsidRPr="00BD7520">
          <w:t>NHMRC guidelines</w:t>
        </w:r>
      </w:hyperlink>
      <w:r w:rsidRPr="00BD7520">
        <w:t>.</w:t>
      </w:r>
    </w:p>
    <w:p w14:paraId="47250CED" w14:textId="77777777" w:rsidR="00BD7520" w:rsidRPr="00BD7520" w:rsidRDefault="00BD7520" w:rsidP="00BD7520">
      <w:pPr>
        <w:pStyle w:val="ListBullet"/>
        <w:ind w:left="511" w:hanging="454"/>
        <w:rPr>
          <w:i/>
          <w:iCs/>
        </w:rPr>
      </w:pPr>
      <w:r>
        <w:rPr>
          <w:i/>
          <w:iCs/>
        </w:rPr>
        <w:t>Use of claims information by the Department of Health –</w:t>
      </w:r>
      <w:r w:rsidRPr="00BD7520">
        <w:rPr>
          <w:i/>
          <w:iCs/>
        </w:rPr>
        <w:t xml:space="preserve"> </w:t>
      </w:r>
      <w:r w:rsidRPr="00BD7520">
        <w:t>The Department may store claims information indefinitely as long as personal identification components are removed. The Secretary of the Department may authorise other uses of MBS and PBS information but a use involving linkage is subject to certain conditions.</w:t>
      </w:r>
    </w:p>
    <w:p w14:paraId="736DC5B3" w14:textId="77777777" w:rsidR="00BD7520" w:rsidRPr="007B1401" w:rsidRDefault="00BD7520" w:rsidP="00BD7520">
      <w:pPr>
        <w:pStyle w:val="ListBullet"/>
        <w:ind w:left="511" w:hanging="454"/>
        <w:rPr>
          <w:i/>
          <w:iCs/>
        </w:rPr>
      </w:pPr>
      <w:r w:rsidRPr="00775779">
        <w:rPr>
          <w:i/>
          <w:iCs/>
        </w:rPr>
        <w:t xml:space="preserve">Name linkage </w:t>
      </w:r>
      <w:r w:rsidRPr="00BD7520">
        <w:rPr>
          <w:i/>
          <w:iCs/>
        </w:rPr>
        <w:t xml:space="preserve">– </w:t>
      </w:r>
      <w:r w:rsidRPr="00BD7520">
        <w:t>The Department of Health may obtain the personal identification components that belong to a particular Medicare PIN from Services Australia in certain limited circumstances specified in the Rules.</w:t>
      </w:r>
    </w:p>
    <w:p w14:paraId="2E6AD826" w14:textId="77777777" w:rsidR="00315D13" w:rsidRDefault="00315D13" w:rsidP="00541BE4">
      <w:pPr>
        <w:pStyle w:val="Heading3"/>
        <w:numPr>
          <w:ilvl w:val="0"/>
          <w:numId w:val="0"/>
        </w:numPr>
      </w:pPr>
      <w:bookmarkStart w:id="21" w:name="_Toc71034696"/>
      <w:r>
        <w:t>Key agencies regulated by the Rules</w:t>
      </w:r>
      <w:bookmarkEnd w:id="20"/>
      <w:bookmarkEnd w:id="21"/>
    </w:p>
    <w:p w14:paraId="3C5651D4" w14:textId="77777777" w:rsidR="00BD7520" w:rsidRPr="003E15F2" w:rsidRDefault="00BD7520" w:rsidP="00BD7520">
      <w:bookmarkStart w:id="22" w:name="_Toc70395724"/>
      <w:bookmarkStart w:id="23" w:name="_Toc70438303"/>
      <w:r w:rsidRPr="004A6DDF">
        <w:t>The Rules address, in the main, Services Australia and the Department of Health</w:t>
      </w:r>
      <w:r>
        <w:t>.</w:t>
      </w:r>
      <w:r w:rsidRPr="004A6DDF">
        <w:t xml:space="preserve"> </w:t>
      </w:r>
      <w:r>
        <w:t>H</w:t>
      </w:r>
      <w:r w:rsidRPr="004A6DDF">
        <w:t xml:space="preserve">owever, other government agencies are also captured in the context of holding MBS and PBS information. </w:t>
      </w:r>
    </w:p>
    <w:p w14:paraId="2A86DDA5" w14:textId="76E562FC" w:rsidR="00315D13" w:rsidRPr="004A6DDF" w:rsidRDefault="00315D13" w:rsidP="00D7069E">
      <w:pPr>
        <w:pStyle w:val="Heading4"/>
        <w:numPr>
          <w:ilvl w:val="0"/>
          <w:numId w:val="0"/>
        </w:numPr>
      </w:pPr>
      <w:r w:rsidRPr="004A6DDF">
        <w:t>Services Australia</w:t>
      </w:r>
      <w:bookmarkEnd w:id="22"/>
      <w:bookmarkEnd w:id="23"/>
    </w:p>
    <w:p w14:paraId="26646105" w14:textId="77777777" w:rsidR="00BD7520" w:rsidRDefault="00BD7520" w:rsidP="00BD7520">
      <w:pPr>
        <w:rPr>
          <w:lang w:eastAsia="en-NZ"/>
        </w:rPr>
      </w:pPr>
      <w:bookmarkStart w:id="24" w:name="_Toc70395725"/>
      <w:bookmarkStart w:id="25" w:name="_Toc70438304"/>
      <w:r w:rsidRPr="004A6DDF">
        <w:rPr>
          <w:lang w:eastAsia="en-NZ"/>
        </w:rPr>
        <w:t xml:space="preserve">In 2019, a machinery of government change saw the creation of Services Australia (formerly, the Department of Human Services under the Rules). </w:t>
      </w:r>
      <w:r>
        <w:rPr>
          <w:lang w:eastAsia="en-NZ"/>
        </w:rPr>
        <w:t xml:space="preserve">Services Australia is responsible for the delivery of advice and a range of health, social and welfare payments and services. </w:t>
      </w:r>
      <w:r w:rsidRPr="004A6DDF">
        <w:rPr>
          <w:lang w:eastAsia="en-NZ"/>
        </w:rPr>
        <w:t xml:space="preserve">Services Australia </w:t>
      </w:r>
      <w:r>
        <w:rPr>
          <w:lang w:eastAsia="en-NZ"/>
        </w:rPr>
        <w:t>delivers</w:t>
      </w:r>
      <w:r w:rsidRPr="004A6DDF">
        <w:rPr>
          <w:lang w:eastAsia="en-NZ"/>
        </w:rPr>
        <w:t xml:space="preserve"> Medicare</w:t>
      </w:r>
      <w:r>
        <w:rPr>
          <w:lang w:eastAsia="en-NZ"/>
        </w:rPr>
        <w:t xml:space="preserve"> and related</w:t>
      </w:r>
      <w:r w:rsidRPr="004A6DDF">
        <w:rPr>
          <w:lang w:eastAsia="en-NZ"/>
        </w:rPr>
        <w:t xml:space="preserve"> programs</w:t>
      </w:r>
      <w:r>
        <w:rPr>
          <w:lang w:eastAsia="en-NZ"/>
        </w:rPr>
        <w:t xml:space="preserve"> on behalf of the Department of Health,</w:t>
      </w:r>
      <w:r w:rsidRPr="004A6DDF">
        <w:rPr>
          <w:lang w:eastAsia="en-NZ"/>
        </w:rPr>
        <w:t xml:space="preserve"> including the PBS, Australian Immunisation Register and Australian Organ Donor Register.</w:t>
      </w:r>
    </w:p>
    <w:p w14:paraId="73EABBC1" w14:textId="77777777" w:rsidR="00BD7520" w:rsidRPr="004A6DDF" w:rsidRDefault="00BD7520" w:rsidP="00BD7520">
      <w:pPr>
        <w:rPr>
          <w:lang w:eastAsia="en-NZ"/>
        </w:rPr>
      </w:pPr>
      <w:r>
        <w:rPr>
          <w:lang w:eastAsia="en-NZ"/>
        </w:rPr>
        <w:t xml:space="preserve">Services Australia uses MBS and PBS claims information to administer the respective programs (such as paying benefits), as well as for internal operational and reporting purposes. </w:t>
      </w:r>
    </w:p>
    <w:p w14:paraId="4601D749" w14:textId="77777777" w:rsidR="00315D13" w:rsidRPr="004A6DDF" w:rsidRDefault="00315D13" w:rsidP="00D7069E">
      <w:pPr>
        <w:pStyle w:val="Heading4"/>
        <w:numPr>
          <w:ilvl w:val="0"/>
          <w:numId w:val="0"/>
        </w:numPr>
      </w:pPr>
      <w:r w:rsidRPr="004A6DDF">
        <w:t>Department of Health</w:t>
      </w:r>
      <w:bookmarkEnd w:id="24"/>
      <w:bookmarkEnd w:id="25"/>
      <w:r w:rsidRPr="004A6DDF">
        <w:t xml:space="preserve"> </w:t>
      </w:r>
    </w:p>
    <w:p w14:paraId="00B5058B" w14:textId="77777777" w:rsidR="00F31C2D" w:rsidRDefault="00F31C2D" w:rsidP="00F31C2D">
      <w:pPr>
        <w:rPr>
          <w:lang w:eastAsia="en-NZ"/>
        </w:rPr>
      </w:pPr>
      <w:bookmarkStart w:id="26" w:name="_Toc70395726"/>
      <w:bookmarkStart w:id="27" w:name="_Toc70438305"/>
      <w:r w:rsidRPr="004A6DDF">
        <w:rPr>
          <w:lang w:eastAsia="en-NZ"/>
        </w:rPr>
        <w:t xml:space="preserve">The functions of the Department of Health include providing health services and, following machinery of government changes in 2015, undertaking compliance functions in accordance with various portfolio legislation. Officers of the Department are, for example, responsible for compliance functions in accordance with the </w:t>
      </w:r>
      <w:r w:rsidRPr="007B1401">
        <w:rPr>
          <w:i/>
          <w:iCs/>
          <w:lang w:eastAsia="en-NZ"/>
        </w:rPr>
        <w:t>Human Services (Medicare) Act 1973</w:t>
      </w:r>
      <w:r w:rsidRPr="004A6DDF">
        <w:rPr>
          <w:lang w:eastAsia="en-NZ"/>
        </w:rPr>
        <w:t xml:space="preserve">. Administratively, a practical arrangement exists whereby officers employed by the Department perform health provider compliance functions under delegated powers of the Chief Executive of Medicare (Services Australia). </w:t>
      </w:r>
    </w:p>
    <w:p w14:paraId="3BA25168" w14:textId="77777777" w:rsidR="00F31C2D" w:rsidRPr="004A6DDF" w:rsidRDefault="00F31C2D" w:rsidP="00F31C2D">
      <w:pPr>
        <w:rPr>
          <w:lang w:eastAsia="en-NZ"/>
        </w:rPr>
      </w:pPr>
      <w:r>
        <w:rPr>
          <w:lang w:eastAsia="en-NZ"/>
        </w:rPr>
        <w:lastRenderedPageBreak/>
        <w:t>The Department of Health uses MBS and PBS claims information for a wide range of purposes including program administration, compliance and audit, policy development and review, statistical analysis, and reporting.</w:t>
      </w:r>
    </w:p>
    <w:p w14:paraId="32B33803" w14:textId="77777777" w:rsidR="00315D13" w:rsidRPr="004A6DDF" w:rsidRDefault="00315D13" w:rsidP="0094368C">
      <w:pPr>
        <w:pStyle w:val="Heading4"/>
        <w:numPr>
          <w:ilvl w:val="0"/>
          <w:numId w:val="0"/>
        </w:numPr>
      </w:pPr>
      <w:r>
        <w:t>Australian</w:t>
      </w:r>
      <w:r w:rsidRPr="004A6DDF">
        <w:t xml:space="preserve"> government agencies</w:t>
      </w:r>
      <w:bookmarkEnd w:id="26"/>
      <w:bookmarkEnd w:id="27"/>
    </w:p>
    <w:p w14:paraId="71CF0A5A" w14:textId="77777777" w:rsidR="00F31C2D" w:rsidRPr="004A6DDF" w:rsidRDefault="00F31C2D" w:rsidP="00F31C2D">
      <w:pPr>
        <w:rPr>
          <w:lang w:eastAsia="en-NZ"/>
        </w:rPr>
      </w:pPr>
      <w:bookmarkStart w:id="28" w:name="_Toc70438306"/>
      <w:r w:rsidRPr="004A6DDF">
        <w:rPr>
          <w:lang w:eastAsia="en-NZ"/>
        </w:rPr>
        <w:t>In addition to specifying Services Australia and the Department of Health, the Rules pertain to any</w:t>
      </w:r>
      <w:r>
        <w:rPr>
          <w:lang w:eastAsia="en-NZ"/>
        </w:rPr>
        <w:t xml:space="preserve"> Australian</w:t>
      </w:r>
      <w:r w:rsidRPr="004A6DDF">
        <w:rPr>
          <w:lang w:eastAsia="en-NZ"/>
        </w:rPr>
        <w:t xml:space="preserve"> government agency</w:t>
      </w:r>
      <w:r>
        <w:rPr>
          <w:lang w:eastAsia="en-NZ"/>
        </w:rPr>
        <w:t xml:space="preserve"> covered by the Privacy Act</w:t>
      </w:r>
      <w:r w:rsidRPr="004A6DDF">
        <w:rPr>
          <w:lang w:eastAsia="en-NZ"/>
        </w:rPr>
        <w:t xml:space="preserve"> holding information that was obtained in connection with a claim for payment or benefit under the MBS or PBS.</w:t>
      </w:r>
      <w:r>
        <w:rPr>
          <w:lang w:eastAsia="en-NZ"/>
        </w:rPr>
        <w:t xml:space="preserve"> </w:t>
      </w:r>
    </w:p>
    <w:p w14:paraId="505624E1" w14:textId="1FB4129B" w:rsidR="00315D13" w:rsidRPr="00775779" w:rsidRDefault="00315D13" w:rsidP="0094368C">
      <w:pPr>
        <w:pStyle w:val="Heading3"/>
        <w:numPr>
          <w:ilvl w:val="0"/>
          <w:numId w:val="0"/>
        </w:numPr>
      </w:pPr>
      <w:bookmarkStart w:id="29" w:name="_Toc71034697"/>
      <w:r>
        <w:t>Recent developments</w:t>
      </w:r>
      <w:bookmarkEnd w:id="28"/>
      <w:bookmarkEnd w:id="29"/>
    </w:p>
    <w:p w14:paraId="13D1BE3B" w14:textId="77777777" w:rsidR="00315D13" w:rsidRPr="004A6DDF" w:rsidRDefault="00315D13" w:rsidP="00315D13">
      <w:r w:rsidRPr="004A6DDF">
        <w:t xml:space="preserve">A number of developments </w:t>
      </w:r>
      <w:r>
        <w:t>provide</w:t>
      </w:r>
      <w:r w:rsidRPr="004A6DDF">
        <w:t xml:space="preserve"> relevant</w:t>
      </w:r>
      <w:r>
        <w:t xml:space="preserve"> background context</w:t>
      </w:r>
      <w:r w:rsidRPr="004A6DDF">
        <w:t xml:space="preserve"> to this review, such as significant changes to public policy in relation to data sharing for public purposes, changes to privacy regulation and, significantly, the burgeoning digital and data economies. </w:t>
      </w:r>
    </w:p>
    <w:p w14:paraId="707BA5E3" w14:textId="77777777" w:rsidR="00315D13" w:rsidRPr="004A6DDF" w:rsidRDefault="00315D13" w:rsidP="00632CE4">
      <w:pPr>
        <w:pStyle w:val="Heading4"/>
        <w:numPr>
          <w:ilvl w:val="0"/>
          <w:numId w:val="0"/>
        </w:numPr>
      </w:pPr>
      <w:bookmarkStart w:id="30" w:name="_Toc70395728"/>
      <w:bookmarkStart w:id="31" w:name="_Toc70438307"/>
      <w:r w:rsidRPr="004A6DDF">
        <w:t>Recent amendments to the National Health Act</w:t>
      </w:r>
      <w:bookmarkEnd w:id="30"/>
      <w:bookmarkEnd w:id="31"/>
    </w:p>
    <w:p w14:paraId="710FE2C4" w14:textId="77777777" w:rsidR="00F31C2D" w:rsidRDefault="00F31C2D" w:rsidP="00F31C2D">
      <w:bookmarkStart w:id="32" w:name="_Toc70438308"/>
      <w:r w:rsidRPr="007B1401">
        <w:t xml:space="preserve">In 2019, </w:t>
      </w:r>
      <w:r w:rsidRPr="005D779C">
        <w:t>t</w:t>
      </w:r>
      <w:r w:rsidRPr="003F7B68">
        <w:t>he Natio</w:t>
      </w:r>
      <w:r w:rsidRPr="00C42C17">
        <w:t>nal Health Act was amended by</w:t>
      </w:r>
      <w:r>
        <w:t xml:space="preserve"> the </w:t>
      </w:r>
      <w:r w:rsidRPr="007B1401">
        <w:rPr>
          <w:i/>
          <w:iCs/>
        </w:rPr>
        <w:t>Health Legislation Amendment (Data</w:t>
      </w:r>
      <w:r w:rsidRPr="007B1401">
        <w:rPr>
          <w:rFonts w:ascii="Cambria Math" w:hAnsi="Cambria Math" w:cs="Cambria Math"/>
          <w:i/>
          <w:iCs/>
        </w:rPr>
        <w:t>‑</w:t>
      </w:r>
      <w:r w:rsidRPr="007B1401">
        <w:rPr>
          <w:i/>
          <w:iCs/>
        </w:rPr>
        <w:t>matching and Other Matters) Act 2019</w:t>
      </w:r>
      <w:r>
        <w:t>. The primary intention was to enable the Chief Executive Medicare to conduct data matching of listed kinds of information – including MBS and PBS claims information – for compliance-related permitted purposes (i.e., to prevent, identify and take action against fraud and other inappropriate practice by health providers).</w:t>
      </w:r>
    </w:p>
    <w:p w14:paraId="097B5A8A" w14:textId="77777777" w:rsidR="00F31C2D" w:rsidRPr="004A6DDF" w:rsidRDefault="00F31C2D" w:rsidP="00F31C2D">
      <w:r>
        <w:t>The amendment specifically introduced new provisions to the National Health Act that would enable data matching, notwithstanding restrictions to disclosure, matching or storage of information prescribed in the Rules issued under s 135AA.</w:t>
      </w:r>
    </w:p>
    <w:p w14:paraId="095590AC" w14:textId="77777777" w:rsidR="00315D13" w:rsidRPr="004A6DDF" w:rsidRDefault="00315D13" w:rsidP="00FA2D76">
      <w:pPr>
        <w:pStyle w:val="Heading4"/>
        <w:numPr>
          <w:ilvl w:val="0"/>
          <w:numId w:val="0"/>
        </w:numPr>
      </w:pPr>
      <w:r>
        <w:t>Review of the Privacy Act</w:t>
      </w:r>
      <w:bookmarkEnd w:id="32"/>
    </w:p>
    <w:p w14:paraId="3795114B" w14:textId="77777777" w:rsidR="00F31C2D" w:rsidRDefault="00F31C2D" w:rsidP="00F31C2D">
      <w:bookmarkStart w:id="33" w:name="_Toc70395730"/>
      <w:bookmarkStart w:id="34" w:name="_Toc70438309"/>
      <w:r>
        <w:t>The Attorney-General’s Department is currently conducting a review of the federal Privacy Act, to ensure that ‘privacy settings empower consumers, protect their data and best serve the Australian economy.’</w:t>
      </w:r>
      <w:r>
        <w:rPr>
          <w:rStyle w:val="FootnoteReference"/>
        </w:rPr>
        <w:footnoteReference w:id="2"/>
      </w:r>
      <w:r>
        <w:t xml:space="preserve"> The review will examine, among other things, the scope and application of the Privacy Act as well as its interaction with other Commonwealth regulatory frameworks.</w:t>
      </w:r>
    </w:p>
    <w:p w14:paraId="6CC5456E" w14:textId="77777777" w:rsidR="00F31C2D" w:rsidRPr="004A6DDF" w:rsidRDefault="00F31C2D" w:rsidP="00F31C2D">
      <w:r>
        <w:t xml:space="preserve">The </w:t>
      </w:r>
      <w:hyperlink r:id="rId13" w:history="1">
        <w:r w:rsidRPr="002848DC">
          <w:rPr>
            <w:rStyle w:val="Hyperlink"/>
          </w:rPr>
          <w:t>Issues Paper</w:t>
        </w:r>
      </w:hyperlink>
      <w:r>
        <w:t xml:space="preserve"> highlighted the digital economy, the ability to communicate and transact with individuals online, and new and emerging technologies as developments that should be kept in mind when determining whether the Privacy Act is fit for purpose.</w:t>
      </w:r>
    </w:p>
    <w:p w14:paraId="2EA258FD" w14:textId="77777777" w:rsidR="00315D13" w:rsidRPr="004A6DDF" w:rsidRDefault="00315D13" w:rsidP="00FA2D76">
      <w:pPr>
        <w:pStyle w:val="Heading4"/>
        <w:numPr>
          <w:ilvl w:val="0"/>
          <w:numId w:val="0"/>
        </w:numPr>
      </w:pPr>
      <w:r w:rsidRPr="004A6DDF">
        <w:lastRenderedPageBreak/>
        <w:t>Data Availability and Transparency Bill</w:t>
      </w:r>
      <w:bookmarkEnd w:id="33"/>
      <w:bookmarkEnd w:id="34"/>
    </w:p>
    <w:p w14:paraId="33E93A64" w14:textId="77777777" w:rsidR="00F31C2D" w:rsidRPr="004A6DDF" w:rsidRDefault="00F31C2D" w:rsidP="00F31C2D">
      <w:bookmarkStart w:id="35" w:name="_Toc70438310"/>
      <w:r>
        <w:t xml:space="preserve">The </w:t>
      </w:r>
      <w:r w:rsidRPr="007B1401">
        <w:rPr>
          <w:i/>
          <w:iCs/>
        </w:rPr>
        <w:t>Data Availability and Transparency Bill 2020</w:t>
      </w:r>
      <w:r>
        <w:t xml:space="preserve"> (the Bill) was </w:t>
      </w:r>
      <w:hyperlink r:id="rId14" w:history="1">
        <w:r w:rsidRPr="001958A5">
          <w:rPr>
            <w:rStyle w:val="Hyperlink"/>
          </w:rPr>
          <w:t>introduced</w:t>
        </w:r>
      </w:hyperlink>
      <w:r>
        <w:t xml:space="preserve"> to the Australian Parliament on 9 December 2020. If enacted, the Bill would create a national scheme for organisations to request access to Australian Government data in a controlled manner for prescribed purposes, namely: (</w:t>
      </w:r>
      <w:proofErr w:type="spellStart"/>
      <w:r>
        <w:t>i</w:t>
      </w:r>
      <w:proofErr w:type="spellEnd"/>
      <w:r>
        <w:t>) improving government service delivery, (ii) informing government policy and programs, and (iii) research and development.</w:t>
      </w:r>
    </w:p>
    <w:p w14:paraId="1571EE77" w14:textId="77777777" w:rsidR="00F31C2D" w:rsidRPr="004A6DDF" w:rsidRDefault="00F31C2D" w:rsidP="00F31C2D">
      <w:r>
        <w:t xml:space="preserve">The Bill represents the most significant step taken by the Australian Government to reform the way public sector data is accessed and used. It comes in response to the Productivity Commission’s </w:t>
      </w:r>
      <w:hyperlink r:id="rId15" w:history="1">
        <w:r w:rsidRPr="002F5169">
          <w:rPr>
            <w:rStyle w:val="Hyperlink"/>
            <w:i/>
            <w:iCs/>
          </w:rPr>
          <w:t>Data Availability and Use</w:t>
        </w:r>
        <w:r w:rsidRPr="002F5169">
          <w:rPr>
            <w:rStyle w:val="Hyperlink"/>
          </w:rPr>
          <w:t xml:space="preserve"> inquiry</w:t>
        </w:r>
      </w:hyperlink>
      <w:r>
        <w:t>, which identified the benefits of data in improving efficiency and productivity, as well as allowing governments and businesses to offer new kinds of products and services. The Bill is relevant to the Rules because, if enacted into law, it may enable sharing and use of MBS and PBS claims information in prescribed circumstances.</w:t>
      </w:r>
    </w:p>
    <w:p w14:paraId="10C86D69" w14:textId="77777777" w:rsidR="00315D13" w:rsidRPr="004A6DDF" w:rsidRDefault="00315D13" w:rsidP="00FA2D76">
      <w:pPr>
        <w:pStyle w:val="Heading4"/>
        <w:numPr>
          <w:ilvl w:val="0"/>
          <w:numId w:val="0"/>
        </w:numPr>
      </w:pPr>
      <w:r>
        <w:t>Royal Commission into Aged Care Quality and Safety</w:t>
      </w:r>
      <w:bookmarkEnd w:id="35"/>
    </w:p>
    <w:p w14:paraId="6B976062" w14:textId="77777777" w:rsidR="00F31C2D" w:rsidRDefault="00F31C2D" w:rsidP="00F31C2D">
      <w:r>
        <w:t xml:space="preserve">The </w:t>
      </w:r>
      <w:r w:rsidRPr="005445DF">
        <w:t>Royal Commission into Aged Care Quality and Safety was established on 8 October 2018</w:t>
      </w:r>
      <w:r>
        <w:t>. One of its findings was that there is inadequate sharing of health information about older people as they move between the health and aged care systems.</w:t>
      </w:r>
    </w:p>
    <w:p w14:paraId="29597F2C" w14:textId="77777777" w:rsidR="00F31C2D" w:rsidRDefault="00F31C2D" w:rsidP="00F31C2D">
      <w:r>
        <w:t xml:space="preserve">Recommendation 67 of the </w:t>
      </w:r>
      <w:hyperlink r:id="rId16" w:history="1">
        <w:r w:rsidRPr="00BE59FE">
          <w:rPr>
            <w:rStyle w:val="Hyperlink"/>
          </w:rPr>
          <w:t>final report</w:t>
        </w:r>
      </w:hyperlink>
      <w:r>
        <w:t xml:space="preserve"> specifically addresses improving data on the interaction between the health and aged care systems. This includes:</w:t>
      </w:r>
    </w:p>
    <w:p w14:paraId="6970804A" w14:textId="77777777" w:rsidR="00F31C2D" w:rsidRDefault="00F31C2D" w:rsidP="00F31C2D">
      <w:pPr>
        <w:pStyle w:val="ListBullet"/>
      </w:pPr>
      <w:r>
        <w:t>The Australian Government should implement an aged care identifier by no later than 1 July 2022 in the MBS and PBS datasets for regular public reporting purposes</w:t>
      </w:r>
    </w:p>
    <w:p w14:paraId="4A42467F" w14:textId="360F45EB" w:rsidR="00F31C2D" w:rsidRPr="004A6DDF" w:rsidRDefault="00F31C2D" w:rsidP="00F31C2D">
      <w:pPr>
        <w:pStyle w:val="ListBullet"/>
      </w:pPr>
      <w:r>
        <w:t>All governments should implement a legislative framework by no later than 1 July 2023 for health and aged care data to be directly linked, shared and analysed to understand the burden of disease of current and prospective people receiving aged care and their current and future health needs.</w:t>
      </w:r>
    </w:p>
    <w:p w14:paraId="4491B39F" w14:textId="77777777" w:rsidR="00315D13" w:rsidRPr="004A6DDF" w:rsidRDefault="00315D13" w:rsidP="00FA2D76">
      <w:pPr>
        <w:pStyle w:val="Heading4"/>
        <w:numPr>
          <w:ilvl w:val="0"/>
          <w:numId w:val="0"/>
        </w:numPr>
      </w:pPr>
      <w:bookmarkStart w:id="36" w:name="_Toc70395733"/>
      <w:bookmarkStart w:id="37" w:name="_Toc70438311"/>
      <w:r w:rsidRPr="004A6DDF">
        <w:t xml:space="preserve">Senate </w:t>
      </w:r>
      <w:r>
        <w:t>S</w:t>
      </w:r>
      <w:r w:rsidRPr="004A6DDF">
        <w:t xml:space="preserve">elect </w:t>
      </w:r>
      <w:r>
        <w:t>C</w:t>
      </w:r>
      <w:r w:rsidRPr="004A6DDF">
        <w:t>ommittee report</w:t>
      </w:r>
      <w:bookmarkEnd w:id="36"/>
      <w:bookmarkEnd w:id="37"/>
    </w:p>
    <w:p w14:paraId="1D9A4FE9" w14:textId="77777777" w:rsidR="00F31C2D" w:rsidRPr="004A6DDF" w:rsidRDefault="00F31C2D" w:rsidP="00F31C2D">
      <w:r w:rsidRPr="004A6DDF">
        <w:t>The Senate Select Committee on Health (SSC on Health) was established to inquire into and report on health policy, administration and expenditure. In compiling its 2016 Sixth Interim Report, ‘</w:t>
      </w:r>
      <w:r w:rsidRPr="004A6DDF">
        <w:rPr>
          <w:i/>
          <w:iCs/>
        </w:rPr>
        <w:t xml:space="preserve">Big health data: Australia’s big potential’, </w:t>
      </w:r>
      <w:r w:rsidRPr="004A6DDF">
        <w:t>the SSC on Health</w:t>
      </w:r>
      <w:r w:rsidRPr="004A6DDF">
        <w:rPr>
          <w:i/>
          <w:iCs/>
        </w:rPr>
        <w:t xml:space="preserve"> </w:t>
      </w:r>
      <w:r w:rsidRPr="004A6DDF">
        <w:t xml:space="preserve">received a significant number of stakeholder submissions in relation to improving access to and linkage between health data sets. The 2016 Report itself dedicated </w:t>
      </w:r>
      <w:hyperlink r:id="rId17" w:history="1">
        <w:r w:rsidRPr="004A6DDF">
          <w:rPr>
            <w:rStyle w:val="Hyperlink"/>
          </w:rPr>
          <w:t>chapter four</w:t>
        </w:r>
      </w:hyperlink>
      <w:r w:rsidRPr="004A6DDF">
        <w:t xml:space="preserve"> to the issue of MBS and PBS data linkage, and said at Recommendation 4:  </w:t>
      </w:r>
    </w:p>
    <w:p w14:paraId="43F858FD" w14:textId="77777777" w:rsidR="00F31C2D" w:rsidRPr="003E15F2" w:rsidRDefault="00F31C2D" w:rsidP="00F31C2D">
      <w:pPr>
        <w:ind w:left="720"/>
        <w:rPr>
          <w:i/>
          <w:iCs/>
        </w:rPr>
      </w:pPr>
      <w:r w:rsidRPr="004A6DDF">
        <w:rPr>
          <w:i/>
          <w:iCs/>
        </w:rPr>
        <w:t>“</w:t>
      </w:r>
      <w:r w:rsidRPr="004A6DDF">
        <w:rPr>
          <w:i/>
          <w:iCs/>
          <w:color w:val="222222"/>
        </w:rPr>
        <w:t>The committee recommends that given the changes in technology, and mindful of the capacity and moral obligation for governments to hold and strongly secure personal data and privacy, the government review the operation of section 135AA of the National Health Act 1953, with the aim of improving access to de</w:t>
      </w:r>
      <w:r w:rsidRPr="004A6DDF">
        <w:rPr>
          <w:i/>
          <w:iCs/>
          <w:color w:val="222222"/>
        </w:rPr>
        <w:noBreakHyphen/>
        <w:t>identified MBS and PBS data for the purpose of health policy evaluation and development as well as research undertaken in the public interest.”</w:t>
      </w:r>
    </w:p>
    <w:p w14:paraId="073E9D96" w14:textId="5A0A57C0" w:rsidR="00F31C2D" w:rsidRDefault="00F31C2D" w:rsidP="00315D13">
      <w:r w:rsidRPr="004A6DDF">
        <w:lastRenderedPageBreak/>
        <w:t>While this review does not canvas the appropriateness of section 135AA of the National Health Act, the recommendation highlights the tension associated with operation of the Rules in a climate where insights derived from MBS and PBS data are highly desirable.</w:t>
      </w:r>
    </w:p>
    <w:p w14:paraId="4A49FB11" w14:textId="11D67C52" w:rsidR="00315D13" w:rsidRPr="004A6DDF" w:rsidRDefault="00315D13" w:rsidP="00FA2D76">
      <w:pPr>
        <w:pStyle w:val="Heading4"/>
        <w:numPr>
          <w:ilvl w:val="0"/>
          <w:numId w:val="0"/>
        </w:numPr>
      </w:pPr>
      <w:bookmarkStart w:id="38" w:name="_Toc70438312"/>
      <w:r w:rsidRPr="004A6DDF">
        <w:t>Changes in technology</w:t>
      </w:r>
      <w:bookmarkEnd w:id="38"/>
    </w:p>
    <w:p w14:paraId="37CBCC79" w14:textId="77777777" w:rsidR="00F31C2D" w:rsidRPr="004A6DDF" w:rsidRDefault="00F31C2D" w:rsidP="00F31C2D">
      <w:r w:rsidRPr="004A6DDF">
        <w:t>The movement of the Australian government to an e-gov model, such as the co-located services accessible via a MyGov account, reflects the government’s continued progress in the realms of digitally enabled services and technology uptake.</w:t>
      </w:r>
      <w:r>
        <w:t xml:space="preserve"> The government has focused on making interactions between the community and agencies more seamless, as well as leveraging data from those interactions to deliver better, faster</w:t>
      </w:r>
      <w:r w:rsidRPr="004A6DDF">
        <w:t>, more equitable</w:t>
      </w:r>
      <w:r>
        <w:t xml:space="preserve"> and</w:t>
      </w:r>
      <w:r w:rsidRPr="004A6DDF">
        <w:t xml:space="preserve"> more intuitive services in the future.</w:t>
      </w:r>
    </w:p>
    <w:p w14:paraId="20701F24" w14:textId="77777777" w:rsidR="00F31C2D" w:rsidRPr="004A6DDF" w:rsidRDefault="00F31C2D" w:rsidP="00F31C2D">
      <w:r w:rsidRPr="004A6DDF">
        <w:t xml:space="preserve">The technologies supporting </w:t>
      </w:r>
      <w:r>
        <w:t xml:space="preserve">government </w:t>
      </w:r>
      <w:r w:rsidRPr="004A6DDF">
        <w:t xml:space="preserve">service are also advancing, with data storage modalities no longer taking the form of a physical location (or ‘database’) on a computer within an office or building; rather, agencies are increasingly exploring the use of virtual locations, where information is stored in off-site data centres, transmitted via the internet (‘the cloud’), with access managed locally through various administrative and technical controls. The government’s </w:t>
      </w:r>
      <w:hyperlink r:id="rId18" w:history="1">
        <w:r w:rsidRPr="004A6DDF">
          <w:rPr>
            <w:rStyle w:val="Hyperlink"/>
          </w:rPr>
          <w:t>Secure Cloud Strategy</w:t>
        </w:r>
      </w:hyperlink>
      <w:r w:rsidRPr="004A6DDF">
        <w:t>, which replaces the Australian Government Cloud Computing Policy of 2014, considers that ‘common shared platforms’ will continue to be explored by government through the auspices of the Digital Transformation Agency, to:</w:t>
      </w:r>
    </w:p>
    <w:p w14:paraId="0867721C" w14:textId="77777777" w:rsidR="00F31C2D" w:rsidRPr="003E15F2" w:rsidRDefault="00F31C2D" w:rsidP="00F31C2D">
      <w:pPr>
        <w:pStyle w:val="ListBullet"/>
      </w:pPr>
      <w:r w:rsidRPr="003E15F2">
        <w:t>Reduce information enclaves in agencies by providing an ability to efficiently manage information across agencies and classifications (e.g., protected, unclassified, etc), and</w:t>
      </w:r>
    </w:p>
    <w:p w14:paraId="03916156" w14:textId="77777777" w:rsidR="00F31C2D" w:rsidRPr="003E15F2" w:rsidRDefault="00F31C2D" w:rsidP="00F31C2D">
      <w:pPr>
        <w:pStyle w:val="ListBullet"/>
      </w:pPr>
      <w:r w:rsidRPr="003E15F2">
        <w:t xml:space="preserve">Enable agencies to manage multi-provider services. </w:t>
      </w:r>
    </w:p>
    <w:p w14:paraId="7B4FC674" w14:textId="77777777" w:rsidR="00F31C2D" w:rsidRDefault="00F31C2D" w:rsidP="00F31C2D">
      <w:r w:rsidRPr="004A6DDF">
        <w:t>From a health sector research perspective, data</w:t>
      </w:r>
      <w:r>
        <w:t xml:space="preserve"> </w:t>
      </w:r>
      <w:r w:rsidRPr="004A6DDF">
        <w:t>linkage and privacy enhancing technologies have seen significant advancement in the years the Rules (and the preceding guidelines) have been in operation.</w:t>
      </w:r>
      <w:r>
        <w:t xml:space="preserve"> It is now possible for very large human service datasets from multiple different sources to be linked together to produce insights while preserving the privacy of individual subjects.</w:t>
      </w:r>
    </w:p>
    <w:p w14:paraId="6C55EF57" w14:textId="56C0B17E" w:rsidR="00F31C2D" w:rsidRDefault="00F31C2D" w:rsidP="00315D13">
      <w:r>
        <w:t xml:space="preserve">This enabling technology has been matched by a growing appetite from researchers and policymakers for data linkage projects. For example, the </w:t>
      </w:r>
      <w:hyperlink r:id="rId19" w:history="1">
        <w:r w:rsidRPr="005723BA">
          <w:rPr>
            <w:rStyle w:val="Hyperlink"/>
          </w:rPr>
          <w:t>Australian Institute of Health and Welfare</w:t>
        </w:r>
      </w:hyperlink>
      <w:r>
        <w:t xml:space="preserve"> (AIHW) and the </w:t>
      </w:r>
      <w:hyperlink r:id="rId20" w:history="1">
        <w:r w:rsidRPr="005723BA">
          <w:rPr>
            <w:rStyle w:val="Hyperlink"/>
          </w:rPr>
          <w:t>Australian Bureau of Statistics</w:t>
        </w:r>
      </w:hyperlink>
      <w:r>
        <w:t xml:space="preserve"> (ABS) – two of the foremost accredited integrating authorities in Australia – have been increasingly involved in data linkage for policy analysis, research and statistical purposes, often involving MBS and PBS claims information. </w:t>
      </w:r>
    </w:p>
    <w:p w14:paraId="1B655825" w14:textId="22A1B8EF" w:rsidR="00647201" w:rsidRDefault="00647201" w:rsidP="00647201">
      <w:pPr>
        <w:pStyle w:val="Heading1"/>
      </w:pPr>
      <w:bookmarkStart w:id="39" w:name="_Toc70438313"/>
      <w:bookmarkStart w:id="40" w:name="_Toc71034698"/>
      <w:r>
        <w:t>Key issues and general questions</w:t>
      </w:r>
      <w:bookmarkEnd w:id="39"/>
      <w:bookmarkEnd w:id="40"/>
    </w:p>
    <w:p w14:paraId="3B8F3792" w14:textId="77777777" w:rsidR="00F31C2D" w:rsidRDefault="00F31C2D" w:rsidP="00F31C2D">
      <w:r>
        <w:t>In this section you can find:</w:t>
      </w:r>
    </w:p>
    <w:p w14:paraId="0053A134" w14:textId="77777777" w:rsidR="00F31C2D" w:rsidRPr="007B1401" w:rsidRDefault="00F31C2D" w:rsidP="00F31C2D">
      <w:pPr>
        <w:pStyle w:val="ListBullet"/>
      </w:pPr>
      <w:r>
        <w:rPr>
          <w:i/>
          <w:iCs/>
        </w:rPr>
        <w:t>Key questions for this review</w:t>
      </w:r>
      <w:r>
        <w:rPr>
          <w:i/>
          <w:iCs/>
        </w:rPr>
        <w:br/>
      </w:r>
      <w:r>
        <w:t>To enable us to gauge how the Rules are operating and areas for improvement.</w:t>
      </w:r>
    </w:p>
    <w:p w14:paraId="39ACF712" w14:textId="1D51DB1E" w:rsidR="00F31C2D" w:rsidRPr="004C34A7" w:rsidRDefault="00F31C2D" w:rsidP="00F31C2D">
      <w:pPr>
        <w:pStyle w:val="ListBullet"/>
      </w:pPr>
      <w:r>
        <w:rPr>
          <w:i/>
          <w:iCs/>
        </w:rPr>
        <w:lastRenderedPageBreak/>
        <w:t>Other general questions and issues</w:t>
      </w:r>
      <w:r>
        <w:rPr>
          <w:i/>
          <w:iCs/>
        </w:rPr>
        <w:br/>
      </w:r>
      <w:r>
        <w:t>Including in relation to the form and function of the Rules and how they operate in practice.</w:t>
      </w:r>
    </w:p>
    <w:p w14:paraId="67C87A72" w14:textId="4E30E84B" w:rsidR="00647201" w:rsidRDefault="00647201" w:rsidP="00647201">
      <w:pPr>
        <w:pStyle w:val="Heading3"/>
        <w:numPr>
          <w:ilvl w:val="0"/>
          <w:numId w:val="0"/>
        </w:numPr>
      </w:pPr>
      <w:bookmarkStart w:id="41" w:name="_Toc70428085"/>
      <w:bookmarkStart w:id="42" w:name="_Toc70438314"/>
      <w:bookmarkStart w:id="43" w:name="_Toc71034699"/>
      <w:r>
        <w:t>Key questions for this review</w:t>
      </w:r>
      <w:bookmarkEnd w:id="41"/>
      <w:bookmarkEnd w:id="42"/>
      <w:bookmarkEnd w:id="43"/>
    </w:p>
    <w:p w14:paraId="6DE514CD" w14:textId="77777777" w:rsidR="00F31C2D" w:rsidRDefault="00F31C2D" w:rsidP="00F31C2D">
      <w:r>
        <w:t>This review is aimed at understanding how the Rules are currently operating, whether their provisions remain fit-for-purpose and what revision or updates may be needed.</w:t>
      </w:r>
    </w:p>
    <w:tbl>
      <w:tblPr>
        <w:tblStyle w:val="CalloutC1"/>
        <w:tblW w:w="0" w:type="auto"/>
        <w:tblLayout w:type="fixed"/>
        <w:tblLook w:val="01E0" w:firstRow="1" w:lastRow="1" w:firstColumn="1" w:lastColumn="1" w:noHBand="0" w:noVBand="0"/>
      </w:tblPr>
      <w:tblGrid>
        <w:gridCol w:w="1134"/>
        <w:gridCol w:w="7936"/>
      </w:tblGrid>
      <w:tr w:rsidR="009E3EC3" w:rsidRPr="007B2FCE" w14:paraId="69F34E11"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52545659" w14:textId="77777777" w:rsidR="009E3EC3" w:rsidRPr="007B2FCE" w:rsidRDefault="009E3EC3" w:rsidP="0064061F">
            <w:pPr>
              <w:rPr>
                <w:noProof/>
              </w:rPr>
            </w:pPr>
          </w:p>
        </w:tc>
        <w:tc>
          <w:tcPr>
            <w:tcW w:w="7936" w:type="dxa"/>
          </w:tcPr>
          <w:p w14:paraId="0881785D" w14:textId="77777777" w:rsidR="009E3EC3" w:rsidRPr="007B2FCE" w:rsidRDefault="009E3EC3" w:rsidP="0064061F">
            <w:pPr>
              <w:cnfStyle w:val="000000000000" w:firstRow="0" w:lastRow="0" w:firstColumn="0" w:lastColumn="0" w:oddVBand="0" w:evenVBand="0" w:oddHBand="0" w:evenHBand="0" w:firstRowFirstColumn="0" w:firstRowLastColumn="0" w:lastRowFirstColumn="0" w:lastRowLastColumn="0"/>
              <w:rPr>
                <w:noProof/>
              </w:rPr>
            </w:pPr>
          </w:p>
        </w:tc>
      </w:tr>
      <w:tr w:rsidR="009E3EC3" w:rsidRPr="007B2FCE" w14:paraId="3D955E09" w14:textId="77777777" w:rsidTr="0064061F">
        <w:tc>
          <w:tcPr>
            <w:tcW w:w="9070" w:type="dxa"/>
            <w:gridSpan w:val="2"/>
            <w:tcMar>
              <w:top w:w="198" w:type="dxa"/>
              <w:bottom w:w="227" w:type="dxa"/>
            </w:tcMar>
          </w:tcPr>
          <w:p w14:paraId="70742FEB" w14:textId="3E682D9E" w:rsidR="00C34D0D" w:rsidRPr="00C34D0D" w:rsidRDefault="00C34D0D" w:rsidP="00C34D0D">
            <w:pPr>
              <w:pStyle w:val="ListNumber"/>
              <w:numPr>
                <w:ilvl w:val="0"/>
                <w:numId w:val="0"/>
              </w:numPr>
              <w:ind w:left="284" w:hanging="284"/>
              <w:rPr>
                <w:rFonts w:eastAsiaTheme="minorEastAsia"/>
                <w:b/>
                <w:bCs/>
                <w:szCs w:val="20"/>
              </w:rPr>
            </w:pPr>
            <w:r>
              <w:rPr>
                <w:rFonts w:eastAsiaTheme="minorEastAsia"/>
                <w:b/>
                <w:bCs/>
                <w:szCs w:val="20"/>
              </w:rPr>
              <w:t>Questions</w:t>
            </w:r>
          </w:p>
          <w:p w14:paraId="437A6E4C" w14:textId="77777777" w:rsidR="00F31C2D" w:rsidRPr="00F31C2D" w:rsidRDefault="00F31C2D" w:rsidP="00F31C2D">
            <w:pPr>
              <w:pStyle w:val="ListNumber"/>
              <w:ind w:left="511" w:hanging="454"/>
              <w:rPr>
                <w:rFonts w:eastAsiaTheme="minorEastAsia"/>
                <w:szCs w:val="20"/>
              </w:rPr>
            </w:pPr>
            <w:r w:rsidRPr="00F31C2D">
              <w:rPr>
                <w:rFonts w:eastAsiaTheme="minorEastAsia"/>
                <w:szCs w:val="20"/>
              </w:rPr>
              <w:t>What provisions in the Rules work well and should remain as they are or with minimal changes?</w:t>
            </w:r>
          </w:p>
          <w:p w14:paraId="4AE62596" w14:textId="77777777" w:rsidR="00F31C2D" w:rsidRPr="00F31C2D" w:rsidRDefault="00F31C2D" w:rsidP="00F31C2D">
            <w:pPr>
              <w:pStyle w:val="ListNumber"/>
              <w:ind w:left="511" w:hanging="454"/>
              <w:rPr>
                <w:rFonts w:eastAsiaTheme="minorEastAsia"/>
                <w:szCs w:val="20"/>
              </w:rPr>
            </w:pPr>
            <w:r w:rsidRPr="00F31C2D">
              <w:rPr>
                <w:rFonts w:eastAsiaTheme="minorEastAsia"/>
                <w:szCs w:val="20"/>
              </w:rPr>
              <w:t>What provisions in the Rules are no longer fit for purpose? Why?</w:t>
            </w:r>
          </w:p>
          <w:p w14:paraId="3606CA8D" w14:textId="7A3CCC5F" w:rsidR="00F31C2D" w:rsidRPr="007B2FCE" w:rsidRDefault="00F31C2D" w:rsidP="00F31C2D">
            <w:pPr>
              <w:pStyle w:val="ListNumber"/>
              <w:ind w:left="511" w:hanging="454"/>
            </w:pPr>
            <w:r w:rsidRPr="00F31C2D">
              <w:rPr>
                <w:rFonts w:eastAsiaTheme="minorEastAsia"/>
                <w:szCs w:val="20"/>
              </w:rPr>
              <w:t>Do the Rules get the balance right between protection of privacy on the one hand and use of claims information on the other? Why or why not?</w:t>
            </w:r>
          </w:p>
        </w:tc>
      </w:tr>
      <w:tr w:rsidR="009E3EC3" w:rsidRPr="007B2FCE" w14:paraId="59DC9F8C"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26455ECE" w14:textId="77777777" w:rsidR="009E3EC3" w:rsidRPr="007B2FCE" w:rsidRDefault="009E3EC3" w:rsidP="0064061F">
            <w:pPr>
              <w:pStyle w:val="BodyText"/>
              <w:rPr>
                <w:noProof/>
              </w:rPr>
            </w:pPr>
          </w:p>
        </w:tc>
        <w:tc>
          <w:tcPr>
            <w:tcW w:w="7936" w:type="dxa"/>
          </w:tcPr>
          <w:p w14:paraId="4E52CF04" w14:textId="77777777" w:rsidR="009E3EC3" w:rsidRPr="007B2FCE" w:rsidRDefault="009E3EC3" w:rsidP="0064061F">
            <w:pPr>
              <w:pStyle w:val="BodyText"/>
              <w:cnfStyle w:val="000000000000" w:firstRow="0" w:lastRow="0" w:firstColumn="0" w:lastColumn="0" w:oddVBand="0" w:evenVBand="0" w:oddHBand="0" w:evenHBand="0" w:firstRowFirstColumn="0" w:firstRowLastColumn="0" w:lastRowFirstColumn="0" w:lastRowLastColumn="0"/>
              <w:rPr>
                <w:noProof/>
              </w:rPr>
            </w:pPr>
          </w:p>
        </w:tc>
      </w:tr>
    </w:tbl>
    <w:p w14:paraId="2CEB914D" w14:textId="77777777" w:rsidR="00647201" w:rsidRPr="004A6DDF" w:rsidRDefault="00647201" w:rsidP="00D844EB">
      <w:pPr>
        <w:pStyle w:val="Heading3"/>
        <w:numPr>
          <w:ilvl w:val="0"/>
          <w:numId w:val="0"/>
        </w:numPr>
      </w:pPr>
      <w:bookmarkStart w:id="44" w:name="_Toc70428086"/>
      <w:bookmarkStart w:id="45" w:name="_Toc70438315"/>
      <w:bookmarkStart w:id="46" w:name="_Toc71034700"/>
      <w:r>
        <w:t>Form and function</w:t>
      </w:r>
      <w:r w:rsidRPr="004A6DDF">
        <w:t xml:space="preserve"> of the Rules</w:t>
      </w:r>
      <w:bookmarkEnd w:id="44"/>
      <w:bookmarkEnd w:id="45"/>
      <w:bookmarkEnd w:id="46"/>
    </w:p>
    <w:p w14:paraId="643207AB" w14:textId="77777777" w:rsidR="00647201" w:rsidRPr="004A6DDF" w:rsidRDefault="00647201" w:rsidP="00D844EB">
      <w:pPr>
        <w:pStyle w:val="Heading4"/>
        <w:numPr>
          <w:ilvl w:val="0"/>
          <w:numId w:val="0"/>
        </w:numPr>
      </w:pPr>
      <w:bookmarkStart w:id="47" w:name="_Toc70428087"/>
      <w:bookmarkStart w:id="48" w:name="_Toc70438316"/>
      <w:r w:rsidRPr="004A6DDF">
        <w:t xml:space="preserve">Prescriptive </w:t>
      </w:r>
      <w:r>
        <w:t>versus principles-based</w:t>
      </w:r>
      <w:bookmarkEnd w:id="47"/>
      <w:bookmarkEnd w:id="48"/>
    </w:p>
    <w:p w14:paraId="0A07074C" w14:textId="77777777" w:rsidR="00F31C2D" w:rsidRDefault="00F31C2D" w:rsidP="00117C07">
      <w:r>
        <w:t>The Rules are relatively prescriptive in form. They give specific instructions on how specific agencies must store and handle claims information and the limited circumstances in which claims information may be linked, retained or rendered identifiable. This contrasts with the APPs, for example, which take a principles-based approach to regulating personal information, allowing entities greater discretion in interpreting the application of the legislation to their own circumstances.</w:t>
      </w:r>
    </w:p>
    <w:p w14:paraId="4AAFB4BE" w14:textId="77777777" w:rsidR="00F31C2D" w:rsidRDefault="00F31C2D" w:rsidP="00F31C2D">
      <w:r>
        <w:t xml:space="preserve">Generally, subordinate legislation – like the Rules – would be expected to be more prescriptive than primary legislation. It adds detail and specificity to the framework established by legislation. Specificity is encouraged because subordinate legislation can be revised and updated more easily than primary legislation – it does not have to be passed by parliament. A prescriptive approach can have the positive effect of eliminating known privacy risks that would otherwise confront an officer when, for example, making decisions about claims data linkage. On the other hand, an overly prescriptive approach can inadvertently block reasonable activities or be complex to apply in practice. </w:t>
      </w:r>
    </w:p>
    <w:tbl>
      <w:tblPr>
        <w:tblStyle w:val="CalloutC1"/>
        <w:tblW w:w="0" w:type="auto"/>
        <w:tblLayout w:type="fixed"/>
        <w:tblLook w:val="01E0" w:firstRow="1" w:lastRow="1" w:firstColumn="1" w:lastColumn="1" w:noHBand="0" w:noVBand="0"/>
      </w:tblPr>
      <w:tblGrid>
        <w:gridCol w:w="1134"/>
        <w:gridCol w:w="7936"/>
      </w:tblGrid>
      <w:tr w:rsidR="0010199A" w:rsidRPr="007B2FCE" w14:paraId="768F40F5"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7B55AC35" w14:textId="77777777" w:rsidR="0010199A" w:rsidRPr="007B2FCE" w:rsidRDefault="0010199A" w:rsidP="0064061F">
            <w:pPr>
              <w:rPr>
                <w:noProof/>
              </w:rPr>
            </w:pPr>
          </w:p>
        </w:tc>
        <w:tc>
          <w:tcPr>
            <w:tcW w:w="7936" w:type="dxa"/>
          </w:tcPr>
          <w:p w14:paraId="20BC6584" w14:textId="77777777" w:rsidR="0010199A" w:rsidRPr="007B2FCE" w:rsidRDefault="0010199A" w:rsidP="0064061F">
            <w:pPr>
              <w:cnfStyle w:val="000000000000" w:firstRow="0" w:lastRow="0" w:firstColumn="0" w:lastColumn="0" w:oddVBand="0" w:evenVBand="0" w:oddHBand="0" w:evenHBand="0" w:firstRowFirstColumn="0" w:firstRowLastColumn="0" w:lastRowFirstColumn="0" w:lastRowLastColumn="0"/>
              <w:rPr>
                <w:noProof/>
              </w:rPr>
            </w:pPr>
          </w:p>
        </w:tc>
      </w:tr>
      <w:tr w:rsidR="0010199A" w:rsidRPr="007B2FCE" w14:paraId="5109C4F7" w14:textId="77777777" w:rsidTr="0064061F">
        <w:tc>
          <w:tcPr>
            <w:tcW w:w="9070" w:type="dxa"/>
            <w:gridSpan w:val="2"/>
            <w:tcMar>
              <w:top w:w="198" w:type="dxa"/>
              <w:bottom w:w="227" w:type="dxa"/>
            </w:tcMar>
          </w:tcPr>
          <w:p w14:paraId="0CEA10E1" w14:textId="513B729B" w:rsidR="00C34D0D" w:rsidRPr="00C34D0D" w:rsidRDefault="00C34D0D" w:rsidP="00C34D0D">
            <w:pPr>
              <w:pStyle w:val="ListNumber"/>
              <w:numPr>
                <w:ilvl w:val="0"/>
                <w:numId w:val="0"/>
              </w:numPr>
              <w:ind w:left="284" w:hanging="284"/>
              <w:rPr>
                <w:b/>
                <w:bCs/>
              </w:rPr>
            </w:pPr>
            <w:r>
              <w:rPr>
                <w:b/>
                <w:bCs/>
              </w:rPr>
              <w:t>Questions</w:t>
            </w:r>
          </w:p>
          <w:p w14:paraId="02812E57" w14:textId="77777777" w:rsidR="00F31C2D" w:rsidRDefault="00F31C2D" w:rsidP="00F31C2D">
            <w:pPr>
              <w:pStyle w:val="ListNumber"/>
            </w:pPr>
            <w:r>
              <w:t>Which provisions in the Rules are too prescriptive / not prescriptive enough?</w:t>
            </w:r>
          </w:p>
          <w:p w14:paraId="3301398E" w14:textId="30DB5F00" w:rsidR="0010199A" w:rsidRPr="0010199A" w:rsidRDefault="00F31C2D" w:rsidP="00F31C2D">
            <w:pPr>
              <w:pStyle w:val="ListNumber"/>
              <w:rPr>
                <w:rFonts w:eastAsiaTheme="minorEastAsia"/>
                <w:szCs w:val="20"/>
              </w:rPr>
            </w:pPr>
            <w:r>
              <w:lastRenderedPageBreak/>
              <w:t>Would any parts of the Rules benefit from being made more principles-based? Why?</w:t>
            </w:r>
          </w:p>
        </w:tc>
      </w:tr>
      <w:tr w:rsidR="0010199A" w:rsidRPr="007B2FCE" w14:paraId="7245947B"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7ED62366" w14:textId="77777777" w:rsidR="0010199A" w:rsidRPr="007B2FCE" w:rsidRDefault="0010199A" w:rsidP="0064061F">
            <w:pPr>
              <w:pStyle w:val="BodyText"/>
              <w:rPr>
                <w:noProof/>
              </w:rPr>
            </w:pPr>
          </w:p>
        </w:tc>
        <w:tc>
          <w:tcPr>
            <w:tcW w:w="7936" w:type="dxa"/>
          </w:tcPr>
          <w:p w14:paraId="781900EE" w14:textId="77777777" w:rsidR="0010199A" w:rsidRPr="007B2FCE" w:rsidRDefault="0010199A" w:rsidP="0064061F">
            <w:pPr>
              <w:pStyle w:val="BodyText"/>
              <w:cnfStyle w:val="000000000000" w:firstRow="0" w:lastRow="0" w:firstColumn="0" w:lastColumn="0" w:oddVBand="0" w:evenVBand="0" w:oddHBand="0" w:evenHBand="0" w:firstRowFirstColumn="0" w:firstRowLastColumn="0" w:lastRowFirstColumn="0" w:lastRowLastColumn="0"/>
              <w:rPr>
                <w:noProof/>
              </w:rPr>
            </w:pPr>
          </w:p>
        </w:tc>
      </w:tr>
    </w:tbl>
    <w:p w14:paraId="6E651713" w14:textId="77777777" w:rsidR="00647201" w:rsidRDefault="00647201" w:rsidP="00DC75D1">
      <w:pPr>
        <w:pStyle w:val="Heading4"/>
        <w:numPr>
          <w:ilvl w:val="0"/>
          <w:numId w:val="0"/>
        </w:numPr>
      </w:pPr>
      <w:bookmarkStart w:id="49" w:name="_Toc70428088"/>
      <w:bookmarkStart w:id="50" w:name="_Toc70438317"/>
      <w:r>
        <w:t>Technological specificity versus technological neutrality</w:t>
      </w:r>
      <w:bookmarkEnd w:id="49"/>
      <w:bookmarkEnd w:id="50"/>
    </w:p>
    <w:p w14:paraId="5E1B3D5A" w14:textId="77777777" w:rsidR="00F31C2D" w:rsidRDefault="00F31C2D" w:rsidP="00F31C2D">
      <w:r>
        <w:t>A side-effect of more prescriptive regulations is that they may struggle to accommodate rapidly changing information technology. In the context of these Rules, this can have two effects:</w:t>
      </w:r>
    </w:p>
    <w:p w14:paraId="560D8108" w14:textId="77777777" w:rsidR="00F31C2D" w:rsidRDefault="00F31C2D" w:rsidP="00F31C2D">
      <w:pPr>
        <w:pStyle w:val="ListBullet"/>
      </w:pPr>
      <w:r>
        <w:t>The Rules contain requirements that have been overtaken by changes to technology and are therefore difficult to apply in practice or require inefficient workarounds to enable compliance.</w:t>
      </w:r>
    </w:p>
    <w:p w14:paraId="5F1BF9DA" w14:textId="77777777" w:rsidR="00F31C2D" w:rsidRDefault="00F31C2D" w:rsidP="00F31C2D">
      <w:pPr>
        <w:pStyle w:val="ListBullet"/>
      </w:pPr>
      <w:r>
        <w:t xml:space="preserve">The Rules obstruct or limit reasonable use cases for claims information that have been enabled by changes to technology and digitisation of government operations. </w:t>
      </w:r>
    </w:p>
    <w:p w14:paraId="799ED9EC" w14:textId="26206D1C" w:rsidR="00F31C2D" w:rsidRDefault="00F31C2D" w:rsidP="00647201">
      <w:r>
        <w:t>While the Rules minimise the use of technologically specific language, there are some provisions where this is unavoidable. For example, the National Health Act says that the Rules must prohibit the storage of MBS and PBS information in the same ‘database.’ Therefore, the Rules refer to separation of ‘</w:t>
      </w:r>
      <w:proofErr w:type="gramStart"/>
      <w:r>
        <w:t>databases’</w:t>
      </w:r>
      <w:proofErr w:type="gramEnd"/>
      <w:r>
        <w:t>. Other provisions, while not necessarily being technologically specific, impose requirements that may operate counter to modern data practices. For example, very short retention times for linked claims information may make use of the information difficult or discourage legitimate linkage activities.</w:t>
      </w:r>
    </w:p>
    <w:tbl>
      <w:tblPr>
        <w:tblStyle w:val="CalloutC1"/>
        <w:tblW w:w="0" w:type="auto"/>
        <w:tblLayout w:type="fixed"/>
        <w:tblLook w:val="01E0" w:firstRow="1" w:lastRow="1" w:firstColumn="1" w:lastColumn="1" w:noHBand="0" w:noVBand="0"/>
      </w:tblPr>
      <w:tblGrid>
        <w:gridCol w:w="1134"/>
        <w:gridCol w:w="7936"/>
      </w:tblGrid>
      <w:tr w:rsidR="00254F72" w:rsidRPr="007B2FCE" w14:paraId="4EFF4622"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7367C721" w14:textId="77777777" w:rsidR="00254F72" w:rsidRPr="007B2FCE" w:rsidRDefault="00254F72" w:rsidP="0064061F">
            <w:pPr>
              <w:rPr>
                <w:noProof/>
              </w:rPr>
            </w:pPr>
          </w:p>
        </w:tc>
        <w:tc>
          <w:tcPr>
            <w:tcW w:w="7936" w:type="dxa"/>
          </w:tcPr>
          <w:p w14:paraId="6F4F4462" w14:textId="77777777" w:rsidR="00254F72" w:rsidRPr="007B2FCE" w:rsidRDefault="00254F72" w:rsidP="0064061F">
            <w:pPr>
              <w:cnfStyle w:val="000000000000" w:firstRow="0" w:lastRow="0" w:firstColumn="0" w:lastColumn="0" w:oddVBand="0" w:evenVBand="0" w:oddHBand="0" w:evenHBand="0" w:firstRowFirstColumn="0" w:firstRowLastColumn="0" w:lastRowFirstColumn="0" w:lastRowLastColumn="0"/>
              <w:rPr>
                <w:noProof/>
              </w:rPr>
            </w:pPr>
          </w:p>
        </w:tc>
      </w:tr>
      <w:tr w:rsidR="00254F72" w:rsidRPr="007B2FCE" w14:paraId="533BD5F5" w14:textId="77777777" w:rsidTr="0064061F">
        <w:tc>
          <w:tcPr>
            <w:tcW w:w="9070" w:type="dxa"/>
            <w:gridSpan w:val="2"/>
            <w:tcMar>
              <w:top w:w="198" w:type="dxa"/>
              <w:bottom w:w="227" w:type="dxa"/>
            </w:tcMar>
          </w:tcPr>
          <w:p w14:paraId="6EFBCF97" w14:textId="77777777" w:rsidR="00871DB0" w:rsidRPr="00C34D0D" w:rsidRDefault="00871DB0" w:rsidP="00871DB0">
            <w:pPr>
              <w:pStyle w:val="ListNumber"/>
              <w:numPr>
                <w:ilvl w:val="0"/>
                <w:numId w:val="0"/>
              </w:numPr>
              <w:ind w:left="284" w:hanging="284"/>
              <w:rPr>
                <w:b/>
                <w:bCs/>
              </w:rPr>
            </w:pPr>
            <w:r>
              <w:rPr>
                <w:b/>
                <w:bCs/>
              </w:rPr>
              <w:t>Questions</w:t>
            </w:r>
          </w:p>
          <w:p w14:paraId="72139F7B" w14:textId="77777777" w:rsidR="00F31C2D" w:rsidRDefault="00F31C2D" w:rsidP="00F31C2D">
            <w:pPr>
              <w:pStyle w:val="ListNumber"/>
            </w:pPr>
            <w:r>
              <w:t>How could the Rules be updated to better accommodate current information technologies and modern data practices in a way that continues to protect privacy?</w:t>
            </w:r>
            <w:r w:rsidRPr="00BA24E4">
              <w:t xml:space="preserve"> </w:t>
            </w:r>
          </w:p>
          <w:p w14:paraId="26277838" w14:textId="75DA276E" w:rsidR="00254F72" w:rsidRPr="0010199A" w:rsidRDefault="00F31C2D" w:rsidP="00F31C2D">
            <w:pPr>
              <w:pStyle w:val="ListNumber"/>
              <w:rPr>
                <w:rFonts w:eastAsiaTheme="minorEastAsia"/>
                <w:szCs w:val="20"/>
              </w:rPr>
            </w:pPr>
            <w:r>
              <w:t>Which parts of the Rules are no longer fit for purpose due to technological change or need adjustment?</w:t>
            </w:r>
          </w:p>
        </w:tc>
      </w:tr>
      <w:tr w:rsidR="00254F72" w:rsidRPr="007B2FCE" w14:paraId="688531E8"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398BFB22" w14:textId="77777777" w:rsidR="00254F72" w:rsidRPr="007B2FCE" w:rsidRDefault="00254F72" w:rsidP="0064061F">
            <w:pPr>
              <w:pStyle w:val="BodyText"/>
              <w:rPr>
                <w:noProof/>
              </w:rPr>
            </w:pPr>
          </w:p>
        </w:tc>
        <w:tc>
          <w:tcPr>
            <w:tcW w:w="7936" w:type="dxa"/>
          </w:tcPr>
          <w:p w14:paraId="4A2E2D1B" w14:textId="77777777" w:rsidR="00254F72" w:rsidRPr="007B2FCE" w:rsidRDefault="00254F72" w:rsidP="0064061F">
            <w:pPr>
              <w:pStyle w:val="BodyText"/>
              <w:cnfStyle w:val="000000000000" w:firstRow="0" w:lastRow="0" w:firstColumn="0" w:lastColumn="0" w:oddVBand="0" w:evenVBand="0" w:oddHBand="0" w:evenHBand="0" w:firstRowFirstColumn="0" w:firstRowLastColumn="0" w:lastRowFirstColumn="0" w:lastRowLastColumn="0"/>
              <w:rPr>
                <w:noProof/>
              </w:rPr>
            </w:pPr>
          </w:p>
        </w:tc>
      </w:tr>
    </w:tbl>
    <w:p w14:paraId="6FD13EAC" w14:textId="77777777" w:rsidR="00647201" w:rsidRDefault="00647201" w:rsidP="00871DB0">
      <w:pPr>
        <w:pStyle w:val="Heading4"/>
        <w:numPr>
          <w:ilvl w:val="0"/>
          <w:numId w:val="0"/>
        </w:numPr>
      </w:pPr>
      <w:bookmarkStart w:id="51" w:name="_Toc70428089"/>
      <w:bookmarkStart w:id="52" w:name="_Toc70438318"/>
      <w:r>
        <w:t>Interaction with the APPs</w:t>
      </w:r>
      <w:bookmarkEnd w:id="51"/>
      <w:bookmarkEnd w:id="52"/>
    </w:p>
    <w:p w14:paraId="440ED788" w14:textId="77777777" w:rsidR="009E3805" w:rsidRDefault="009E3805" w:rsidP="009E3805">
      <w:r w:rsidRPr="004A6DDF">
        <w:t xml:space="preserve">In 2012 the </w:t>
      </w:r>
      <w:hyperlink r:id="rId21" w:history="1">
        <w:r w:rsidRPr="004A6DDF">
          <w:rPr>
            <w:rStyle w:val="Hyperlink"/>
            <w:i/>
            <w:iCs/>
            <w:lang w:val="en-GB"/>
          </w:rPr>
          <w:t>Privacy Act 1988</w:t>
        </w:r>
      </w:hyperlink>
      <w:r>
        <w:rPr>
          <w:rStyle w:val="Hyperlink"/>
          <w:i/>
          <w:iCs/>
          <w:lang w:val="en-GB"/>
        </w:rPr>
        <w:t xml:space="preserve"> </w:t>
      </w:r>
      <w:r w:rsidRPr="004A6DDF">
        <w:t xml:space="preserve">was significantly amended with the introduction of the Australian Privacy Principles (APPs). </w:t>
      </w:r>
      <w:r>
        <w:t xml:space="preserve">The APPs regulate the handling of personal information, including health information, and establish requirements for each stage of the information lifecycle from collection of personal information through to use, storage, disclosure and disposal. </w:t>
      </w:r>
      <w:r w:rsidRPr="004A6DDF">
        <w:t>The APPs replaced the Information Privacy Principles</w:t>
      </w:r>
      <w:r>
        <w:t xml:space="preserve"> (IPPs)</w:t>
      </w:r>
      <w:r w:rsidRPr="004A6DDF">
        <w:t xml:space="preserve"> and National Privacy Principles</w:t>
      </w:r>
      <w:r>
        <w:t xml:space="preserve"> (NPPs)</w:t>
      </w:r>
      <w:r w:rsidRPr="004A6DDF">
        <w:t xml:space="preserve">, which applied to </w:t>
      </w:r>
      <w:r>
        <w:t>Australian government</w:t>
      </w:r>
      <w:r w:rsidRPr="004A6DDF">
        <w:t xml:space="preserve"> agencies and the private sector respectively.</w:t>
      </w:r>
      <w:r>
        <w:t xml:space="preserve"> </w:t>
      </w:r>
    </w:p>
    <w:p w14:paraId="086F581F" w14:textId="77777777" w:rsidR="009E3805" w:rsidRDefault="009E3805" w:rsidP="009E3805">
      <w:r w:rsidRPr="00D47035">
        <w:lastRenderedPageBreak/>
        <w:t xml:space="preserve">To the extent that </w:t>
      </w:r>
      <w:r>
        <w:t>the Rules</w:t>
      </w:r>
      <w:r w:rsidRPr="00D47035">
        <w:t xml:space="preserve"> impose more specific obligations than the </w:t>
      </w:r>
      <w:r>
        <w:t>APPs</w:t>
      </w:r>
      <w:r w:rsidRPr="00D47035">
        <w:t xml:space="preserve">, </w:t>
      </w:r>
      <w:r>
        <w:t>the Rules</w:t>
      </w:r>
      <w:r w:rsidRPr="00D47035">
        <w:t xml:space="preserve"> prevail.</w:t>
      </w:r>
      <w:r>
        <w:rPr>
          <w:rStyle w:val="FootnoteReference"/>
        </w:rPr>
        <w:footnoteReference w:id="3"/>
      </w:r>
      <w:r>
        <w:t xml:space="preserve"> In all other cases, the APPs apply as normal to personal information handling.</w:t>
      </w:r>
    </w:p>
    <w:p w14:paraId="3A6EB47C" w14:textId="1F93A575" w:rsidR="009E3805" w:rsidRDefault="009E3805" w:rsidP="00647201">
      <w:r>
        <w:t>The Rules have not been significantly revised or updated since the introduction of the APPs.</w:t>
      </w:r>
      <w:r w:rsidRPr="00E719C3">
        <w:t xml:space="preserve"> </w:t>
      </w:r>
      <w:r w:rsidRPr="004A6DDF">
        <w:t xml:space="preserve">In practice, this means that the </w:t>
      </w:r>
      <w:r>
        <w:t>way</w:t>
      </w:r>
      <w:r w:rsidRPr="004A6DDF">
        <w:t xml:space="preserve"> the Rules </w:t>
      </w:r>
      <w:r>
        <w:t>interact with the</w:t>
      </w:r>
      <w:r w:rsidRPr="004A6DDF">
        <w:t xml:space="preserve"> APPs – and any gap</w:t>
      </w:r>
      <w:r>
        <w:t xml:space="preserve">s or overlap </w:t>
      </w:r>
      <w:r w:rsidRPr="004A6DDF">
        <w:t xml:space="preserve">in this regard – </w:t>
      </w:r>
      <w:r>
        <w:t>has</w:t>
      </w:r>
      <w:r w:rsidRPr="004A6DDF">
        <w:t xml:space="preserve"> not </w:t>
      </w:r>
      <w:r>
        <w:t xml:space="preserve">yet </w:t>
      </w:r>
      <w:r w:rsidRPr="004A6DDF">
        <w:t>been formally canvassed.</w:t>
      </w:r>
      <w:r>
        <w:t xml:space="preserve"> For example, the Rules contain strict disposal provisions for claims information (particularly linked claims information). This made sense prior to the introduction of the APPs because the earlier IPPs did not contain any information disposal requirements so the Rules filled a gap. However, that changed with the APPs which now impose data disposal requirements. Therefore, a question arises as to whether certain APPs should ‘cover the field’ for health information (including MBS and PBS information) or whether the nature of MBS and PBS information demands additional controls set down in the Rules. </w:t>
      </w:r>
    </w:p>
    <w:tbl>
      <w:tblPr>
        <w:tblStyle w:val="CalloutC1"/>
        <w:tblW w:w="0" w:type="auto"/>
        <w:tblLayout w:type="fixed"/>
        <w:tblLook w:val="01E0" w:firstRow="1" w:lastRow="1" w:firstColumn="1" w:lastColumn="1" w:noHBand="0" w:noVBand="0"/>
      </w:tblPr>
      <w:tblGrid>
        <w:gridCol w:w="1134"/>
        <w:gridCol w:w="7936"/>
      </w:tblGrid>
      <w:tr w:rsidR="00871DB0" w:rsidRPr="007B2FCE" w14:paraId="68448C8D"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47B42E82" w14:textId="77777777" w:rsidR="00871DB0" w:rsidRPr="007B2FCE" w:rsidRDefault="00871DB0" w:rsidP="0064061F">
            <w:pPr>
              <w:rPr>
                <w:noProof/>
              </w:rPr>
            </w:pPr>
          </w:p>
        </w:tc>
        <w:tc>
          <w:tcPr>
            <w:tcW w:w="7936" w:type="dxa"/>
          </w:tcPr>
          <w:p w14:paraId="66691481" w14:textId="77777777" w:rsidR="00871DB0" w:rsidRPr="007B2FCE" w:rsidRDefault="00871DB0" w:rsidP="0064061F">
            <w:pPr>
              <w:cnfStyle w:val="000000000000" w:firstRow="0" w:lastRow="0" w:firstColumn="0" w:lastColumn="0" w:oddVBand="0" w:evenVBand="0" w:oddHBand="0" w:evenHBand="0" w:firstRowFirstColumn="0" w:firstRowLastColumn="0" w:lastRowFirstColumn="0" w:lastRowLastColumn="0"/>
              <w:rPr>
                <w:noProof/>
              </w:rPr>
            </w:pPr>
          </w:p>
        </w:tc>
      </w:tr>
      <w:tr w:rsidR="00871DB0" w:rsidRPr="007B2FCE" w14:paraId="499E9E07" w14:textId="77777777" w:rsidTr="0064061F">
        <w:tc>
          <w:tcPr>
            <w:tcW w:w="9070" w:type="dxa"/>
            <w:gridSpan w:val="2"/>
            <w:tcMar>
              <w:top w:w="198" w:type="dxa"/>
              <w:bottom w:w="227" w:type="dxa"/>
            </w:tcMar>
          </w:tcPr>
          <w:p w14:paraId="28D0E872" w14:textId="77777777" w:rsidR="00871DB0" w:rsidRPr="00C34D0D" w:rsidRDefault="00871DB0" w:rsidP="0064061F">
            <w:pPr>
              <w:pStyle w:val="ListNumber"/>
              <w:numPr>
                <w:ilvl w:val="0"/>
                <w:numId w:val="0"/>
              </w:numPr>
              <w:ind w:left="284" w:hanging="284"/>
              <w:rPr>
                <w:b/>
                <w:bCs/>
              </w:rPr>
            </w:pPr>
            <w:r>
              <w:rPr>
                <w:b/>
                <w:bCs/>
              </w:rPr>
              <w:t>Questions</w:t>
            </w:r>
          </w:p>
          <w:p w14:paraId="2BDB24B6" w14:textId="77777777" w:rsidR="009E3805" w:rsidRDefault="009E3805" w:rsidP="009E3805">
            <w:pPr>
              <w:pStyle w:val="ListNumber"/>
            </w:pPr>
            <w:r>
              <w:t xml:space="preserve">What additional requirements should apply to MBS and PBS information over and above the APPs? Why? </w:t>
            </w:r>
          </w:p>
          <w:p w14:paraId="45542F12" w14:textId="111C2277" w:rsidR="00871DB0" w:rsidRPr="0010199A" w:rsidRDefault="009E3805" w:rsidP="009E3805">
            <w:pPr>
              <w:pStyle w:val="ListNumber"/>
              <w:rPr>
                <w:rFonts w:eastAsiaTheme="minorEastAsia"/>
                <w:szCs w:val="20"/>
              </w:rPr>
            </w:pPr>
            <w:r>
              <w:t>Which provisions in the Rules (if any) should be removed or adjusted in light of the APPs?</w:t>
            </w:r>
          </w:p>
        </w:tc>
      </w:tr>
      <w:tr w:rsidR="00871DB0" w:rsidRPr="007B2FCE" w14:paraId="605F7CD8"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6521603C" w14:textId="77777777" w:rsidR="00871DB0" w:rsidRPr="007B2FCE" w:rsidRDefault="00871DB0" w:rsidP="0064061F">
            <w:pPr>
              <w:pStyle w:val="BodyText"/>
              <w:rPr>
                <w:noProof/>
              </w:rPr>
            </w:pPr>
          </w:p>
        </w:tc>
        <w:tc>
          <w:tcPr>
            <w:tcW w:w="7936" w:type="dxa"/>
          </w:tcPr>
          <w:p w14:paraId="4C75DB00" w14:textId="77777777" w:rsidR="00871DB0" w:rsidRPr="007B2FCE" w:rsidRDefault="00871DB0" w:rsidP="0064061F">
            <w:pPr>
              <w:pStyle w:val="BodyText"/>
              <w:cnfStyle w:val="000000000000" w:firstRow="0" w:lastRow="0" w:firstColumn="0" w:lastColumn="0" w:oddVBand="0" w:evenVBand="0" w:oddHBand="0" w:evenHBand="0" w:firstRowFirstColumn="0" w:firstRowLastColumn="0" w:lastRowFirstColumn="0" w:lastRowLastColumn="0"/>
              <w:rPr>
                <w:noProof/>
              </w:rPr>
            </w:pPr>
          </w:p>
        </w:tc>
      </w:tr>
    </w:tbl>
    <w:p w14:paraId="0A76D7E8" w14:textId="77777777" w:rsidR="00647201" w:rsidRPr="004A6DDF" w:rsidRDefault="00647201" w:rsidP="001821F2">
      <w:pPr>
        <w:pStyle w:val="Heading3"/>
        <w:numPr>
          <w:ilvl w:val="0"/>
          <w:numId w:val="0"/>
        </w:numPr>
      </w:pPr>
      <w:bookmarkStart w:id="53" w:name="_Toc70428090"/>
      <w:bookmarkStart w:id="54" w:name="_Toc70430334"/>
      <w:bookmarkStart w:id="55" w:name="_Toc70428091"/>
      <w:bookmarkStart w:id="56" w:name="_Toc70430335"/>
      <w:bookmarkStart w:id="57" w:name="_Toc70428096"/>
      <w:bookmarkStart w:id="58" w:name="_Toc70430340"/>
      <w:bookmarkStart w:id="59" w:name="_Toc70428097"/>
      <w:bookmarkStart w:id="60" w:name="_Toc70438319"/>
      <w:bookmarkStart w:id="61" w:name="_Toc71034701"/>
      <w:bookmarkEnd w:id="53"/>
      <w:bookmarkEnd w:id="54"/>
      <w:bookmarkEnd w:id="55"/>
      <w:bookmarkEnd w:id="56"/>
      <w:bookmarkEnd w:id="57"/>
      <w:bookmarkEnd w:id="58"/>
      <w:r w:rsidRPr="004A6DDF">
        <w:t>The Rules in practice</w:t>
      </w:r>
      <w:bookmarkEnd w:id="59"/>
      <w:bookmarkEnd w:id="60"/>
      <w:bookmarkEnd w:id="61"/>
    </w:p>
    <w:p w14:paraId="0C459B61" w14:textId="77777777" w:rsidR="00647201" w:rsidRDefault="00647201" w:rsidP="001821F2">
      <w:pPr>
        <w:pStyle w:val="Heading4"/>
        <w:numPr>
          <w:ilvl w:val="0"/>
          <w:numId w:val="0"/>
        </w:numPr>
      </w:pPr>
      <w:bookmarkStart w:id="62" w:name="_Toc70428098"/>
      <w:bookmarkStart w:id="63" w:name="_Toc70438320"/>
      <w:r>
        <w:t>Modernisation</w:t>
      </w:r>
      <w:bookmarkEnd w:id="62"/>
      <w:r>
        <w:t xml:space="preserve"> and trends in government information policy</w:t>
      </w:r>
      <w:bookmarkEnd w:id="63"/>
    </w:p>
    <w:p w14:paraId="054D94CD" w14:textId="77777777" w:rsidR="009E3805" w:rsidRDefault="009E3805" w:rsidP="00117C07">
      <w:r>
        <w:t>The Commissioner cannot create rules that ignore or weaken the application of section 135AA of the National Health Act. Section 135AA prescribes certain matters that must be contained in the Rules. However, there may be opportunities within the Rules and the parameters of section 135AA to retain privacy safeguards while acknowledging Australia’s maturing approach to data use and the government’s ongoing digital transformation. For example, some now believe that the Rules get the balance wrong between privacy and data use. A chief criticism of the Rules in a recent Senate Committee report was that the heavy weighting of information privacy considerations denied legitimate opportunities to access MBS and PBS datasets for research in the public interest. The Rules were characterised in some submissions to the Senate Committee as over-cautious, cumbersome and, according to the Productivity Commission, ‘complex with the restrictions creating unnecessary downsides and delays for evidence-based policy formulation’.</w:t>
      </w:r>
      <w:r>
        <w:rPr>
          <w:rStyle w:val="FootnoteReference"/>
        </w:rPr>
        <w:footnoteReference w:id="4"/>
      </w:r>
    </w:p>
    <w:p w14:paraId="0C52204B" w14:textId="174864F8" w:rsidR="009E3805" w:rsidRPr="00BA24E4" w:rsidRDefault="009E3805" w:rsidP="009E3805">
      <w:r>
        <w:lastRenderedPageBreak/>
        <w:t>Recent developments outlined above illustrate opportunities for alignment of the Rules with new currents in government information policy.</w:t>
      </w:r>
    </w:p>
    <w:tbl>
      <w:tblPr>
        <w:tblStyle w:val="CalloutC1"/>
        <w:tblW w:w="0" w:type="auto"/>
        <w:tblLayout w:type="fixed"/>
        <w:tblLook w:val="01E0" w:firstRow="1" w:lastRow="1" w:firstColumn="1" w:lastColumn="1" w:noHBand="0" w:noVBand="0"/>
      </w:tblPr>
      <w:tblGrid>
        <w:gridCol w:w="1134"/>
        <w:gridCol w:w="7936"/>
      </w:tblGrid>
      <w:tr w:rsidR="004E29FF" w:rsidRPr="007B2FCE" w14:paraId="5DD31188"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7134C535" w14:textId="77777777" w:rsidR="004E29FF" w:rsidRPr="007B2FCE" w:rsidRDefault="004E29FF" w:rsidP="0064061F">
            <w:pPr>
              <w:rPr>
                <w:noProof/>
              </w:rPr>
            </w:pPr>
          </w:p>
        </w:tc>
        <w:tc>
          <w:tcPr>
            <w:tcW w:w="7936" w:type="dxa"/>
          </w:tcPr>
          <w:p w14:paraId="107E7173" w14:textId="77777777" w:rsidR="004E29FF" w:rsidRPr="007B2FCE" w:rsidRDefault="004E29FF" w:rsidP="0064061F">
            <w:pPr>
              <w:cnfStyle w:val="000000000000" w:firstRow="0" w:lastRow="0" w:firstColumn="0" w:lastColumn="0" w:oddVBand="0" w:evenVBand="0" w:oddHBand="0" w:evenHBand="0" w:firstRowFirstColumn="0" w:firstRowLastColumn="0" w:lastRowFirstColumn="0" w:lastRowLastColumn="0"/>
              <w:rPr>
                <w:noProof/>
              </w:rPr>
            </w:pPr>
          </w:p>
        </w:tc>
      </w:tr>
      <w:tr w:rsidR="004E29FF" w:rsidRPr="007B2FCE" w14:paraId="3821538F" w14:textId="77777777" w:rsidTr="0064061F">
        <w:tc>
          <w:tcPr>
            <w:tcW w:w="9070" w:type="dxa"/>
            <w:gridSpan w:val="2"/>
            <w:tcMar>
              <w:top w:w="198" w:type="dxa"/>
              <w:bottom w:w="227" w:type="dxa"/>
            </w:tcMar>
          </w:tcPr>
          <w:p w14:paraId="0554768F" w14:textId="77777777" w:rsidR="004E29FF" w:rsidRPr="00C34D0D" w:rsidRDefault="004E29FF" w:rsidP="0064061F">
            <w:pPr>
              <w:pStyle w:val="ListNumber"/>
              <w:numPr>
                <w:ilvl w:val="0"/>
                <w:numId w:val="0"/>
              </w:numPr>
              <w:ind w:left="284" w:hanging="284"/>
              <w:rPr>
                <w:b/>
                <w:bCs/>
              </w:rPr>
            </w:pPr>
            <w:r>
              <w:rPr>
                <w:b/>
                <w:bCs/>
              </w:rPr>
              <w:t>Questions</w:t>
            </w:r>
          </w:p>
          <w:p w14:paraId="03FA57A5" w14:textId="77777777" w:rsidR="009E3805" w:rsidRDefault="009E3805" w:rsidP="009E3805">
            <w:pPr>
              <w:pStyle w:val="ListNumber"/>
            </w:pPr>
            <w:r w:rsidRPr="00EB4AFF">
              <w:t xml:space="preserve">How can the Rules be modernised or made more effective, while remaining </w:t>
            </w:r>
            <w:r>
              <w:t>within the parameters of the</w:t>
            </w:r>
            <w:r w:rsidRPr="00EB4AFF">
              <w:t xml:space="preserve"> primary legislation?</w:t>
            </w:r>
          </w:p>
          <w:p w14:paraId="1E9AEA75" w14:textId="36010FB0" w:rsidR="004E29FF" w:rsidRPr="0010199A" w:rsidRDefault="009E3805" w:rsidP="009E3805">
            <w:pPr>
              <w:pStyle w:val="ListNumber"/>
              <w:rPr>
                <w:rFonts w:eastAsiaTheme="minorEastAsia"/>
                <w:szCs w:val="20"/>
              </w:rPr>
            </w:pPr>
            <w:r>
              <w:t>How might the Rules better align with current government policies pertaining to information use, re-use and sharing while still protecting privacy?</w:t>
            </w:r>
          </w:p>
        </w:tc>
      </w:tr>
      <w:tr w:rsidR="004E29FF" w:rsidRPr="007B2FCE" w14:paraId="76FAC3F9"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718F729B" w14:textId="77777777" w:rsidR="004E29FF" w:rsidRPr="007B2FCE" w:rsidRDefault="004E29FF" w:rsidP="0064061F">
            <w:pPr>
              <w:pStyle w:val="BodyText"/>
              <w:rPr>
                <w:noProof/>
              </w:rPr>
            </w:pPr>
          </w:p>
        </w:tc>
        <w:tc>
          <w:tcPr>
            <w:tcW w:w="7936" w:type="dxa"/>
          </w:tcPr>
          <w:p w14:paraId="272CA676" w14:textId="77777777" w:rsidR="004E29FF" w:rsidRPr="007B2FCE" w:rsidRDefault="004E29FF" w:rsidP="0064061F">
            <w:pPr>
              <w:pStyle w:val="BodyText"/>
              <w:cnfStyle w:val="000000000000" w:firstRow="0" w:lastRow="0" w:firstColumn="0" w:lastColumn="0" w:oddVBand="0" w:evenVBand="0" w:oddHBand="0" w:evenHBand="0" w:firstRowFirstColumn="0" w:firstRowLastColumn="0" w:lastRowFirstColumn="0" w:lastRowLastColumn="0"/>
              <w:rPr>
                <w:noProof/>
              </w:rPr>
            </w:pPr>
          </w:p>
        </w:tc>
      </w:tr>
    </w:tbl>
    <w:p w14:paraId="55659B96" w14:textId="051B6A46" w:rsidR="00647201" w:rsidRDefault="00647201" w:rsidP="00647201"/>
    <w:p w14:paraId="35AC461A" w14:textId="77777777" w:rsidR="009F1502" w:rsidRPr="00212226" w:rsidRDefault="009F1502" w:rsidP="009F1502">
      <w:pPr>
        <w:pStyle w:val="Heading1"/>
      </w:pPr>
      <w:bookmarkStart w:id="64" w:name="_Toc70428100"/>
      <w:bookmarkStart w:id="65" w:name="_Toc70438321"/>
      <w:bookmarkStart w:id="66" w:name="_Toc71034702"/>
      <w:r>
        <w:t>Specific questions about the Rules</w:t>
      </w:r>
      <w:bookmarkEnd w:id="64"/>
      <w:bookmarkEnd w:id="65"/>
      <w:bookmarkEnd w:id="66"/>
    </w:p>
    <w:p w14:paraId="2D0A11CA" w14:textId="77777777" w:rsidR="009F1502" w:rsidRDefault="009F1502" w:rsidP="009F1502">
      <w:r>
        <w:t>In this section you can find:</w:t>
      </w:r>
    </w:p>
    <w:p w14:paraId="00188D91" w14:textId="77777777" w:rsidR="009E3805" w:rsidRPr="009E3805" w:rsidRDefault="009E3805" w:rsidP="009E3805">
      <w:pPr>
        <w:pStyle w:val="ListBullet"/>
        <w:rPr>
          <w:i/>
          <w:iCs/>
        </w:rPr>
      </w:pPr>
      <w:r w:rsidRPr="009E3805">
        <w:rPr>
          <w:i/>
          <w:iCs/>
        </w:rPr>
        <w:t>More detailed information about what the Rules say</w:t>
      </w:r>
    </w:p>
    <w:p w14:paraId="48FB9C70" w14:textId="77777777" w:rsidR="009E3805" w:rsidRDefault="009E3805" w:rsidP="009E3805">
      <w:pPr>
        <w:pStyle w:val="ListBullet"/>
      </w:pPr>
      <w:r w:rsidRPr="009E3805">
        <w:rPr>
          <w:i/>
          <w:iCs/>
        </w:rPr>
        <w:t>Specific questions</w:t>
      </w:r>
      <w:r>
        <w:br/>
        <w:t>About each of the main provisions contained in the Rules.</w:t>
      </w:r>
    </w:p>
    <w:p w14:paraId="315134BB" w14:textId="63C30AF9" w:rsidR="009E3805" w:rsidRDefault="009E3805" w:rsidP="00FC0A98">
      <w:r>
        <w:t>The Rules apply to Australian government agencies covered by the Privacy Act, though most provisions apply specifically to Services Australia and the Department of Health. The Rules refer to the ‘Department of Human Services’ – in this paper, we refer to that department by its current name – ‘Services Australia.’</w:t>
      </w:r>
    </w:p>
    <w:p w14:paraId="22ECA59E" w14:textId="798230F7" w:rsidR="009F1502" w:rsidRDefault="009F1502" w:rsidP="00FC0A98">
      <w:pPr>
        <w:pStyle w:val="Heading3"/>
        <w:numPr>
          <w:ilvl w:val="0"/>
          <w:numId w:val="0"/>
        </w:numPr>
      </w:pPr>
      <w:bookmarkStart w:id="67" w:name="_Toc70428101"/>
      <w:bookmarkStart w:id="68" w:name="_Toc70438322"/>
      <w:bookmarkStart w:id="69" w:name="_Toc71034703"/>
      <w:r>
        <w:t>Storing claims information in separate databases</w:t>
      </w:r>
      <w:bookmarkEnd w:id="67"/>
      <w:bookmarkEnd w:id="68"/>
      <w:bookmarkEnd w:id="69"/>
    </w:p>
    <w:tbl>
      <w:tblPr>
        <w:tblStyle w:val="CalloutD1"/>
        <w:tblW w:w="0" w:type="auto"/>
        <w:tblLayout w:type="fixed"/>
        <w:tblLook w:val="01E0" w:firstRow="1" w:lastRow="1" w:firstColumn="1" w:lastColumn="1" w:noHBand="0" w:noVBand="0"/>
      </w:tblPr>
      <w:tblGrid>
        <w:gridCol w:w="1134"/>
        <w:gridCol w:w="7936"/>
      </w:tblGrid>
      <w:tr w:rsidR="00B77E81" w:rsidRPr="007B2FCE" w14:paraId="3F0DFBC4"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72A5C67B" w14:textId="77777777" w:rsidR="00B77E81" w:rsidRPr="007B2FCE" w:rsidRDefault="00B77E81" w:rsidP="0064061F">
            <w:pPr>
              <w:rPr>
                <w:noProof/>
              </w:rPr>
            </w:pPr>
          </w:p>
        </w:tc>
        <w:tc>
          <w:tcPr>
            <w:tcW w:w="7936" w:type="dxa"/>
          </w:tcPr>
          <w:p w14:paraId="5CBC4E20" w14:textId="77777777" w:rsidR="00B77E81" w:rsidRPr="007B2FCE" w:rsidRDefault="00B77E81" w:rsidP="0064061F">
            <w:pPr>
              <w:cnfStyle w:val="000000000000" w:firstRow="0" w:lastRow="0" w:firstColumn="0" w:lastColumn="0" w:oddVBand="0" w:evenVBand="0" w:oddHBand="0" w:evenHBand="0" w:firstRowFirstColumn="0" w:firstRowLastColumn="0" w:lastRowFirstColumn="0" w:lastRowLastColumn="0"/>
              <w:rPr>
                <w:noProof/>
              </w:rPr>
            </w:pPr>
          </w:p>
        </w:tc>
      </w:tr>
      <w:tr w:rsidR="00B77E81" w:rsidRPr="007B2FCE" w14:paraId="54587FDF" w14:textId="77777777" w:rsidTr="0064061F">
        <w:tc>
          <w:tcPr>
            <w:tcW w:w="9070" w:type="dxa"/>
            <w:gridSpan w:val="2"/>
            <w:tcMar>
              <w:top w:w="198" w:type="dxa"/>
              <w:bottom w:w="227" w:type="dxa"/>
            </w:tcMar>
          </w:tcPr>
          <w:p w14:paraId="397D94D6" w14:textId="77777777" w:rsidR="00B77E81" w:rsidRPr="00B77E81" w:rsidRDefault="00B77E81" w:rsidP="0064061F">
            <w:pPr>
              <w:pStyle w:val="NoSpacing"/>
              <w:rPr>
                <w:b/>
                <w:bCs/>
              </w:rPr>
            </w:pPr>
            <w:r w:rsidRPr="00B77E81">
              <w:rPr>
                <w:b/>
                <w:bCs/>
              </w:rPr>
              <w:t>What the Rules say</w:t>
            </w:r>
          </w:p>
          <w:p w14:paraId="16805563" w14:textId="4ABAE109" w:rsidR="009E3805" w:rsidRPr="007B2FCE" w:rsidRDefault="009E3805" w:rsidP="0064061F">
            <w:pPr>
              <w:pStyle w:val="NoSpacing"/>
            </w:pPr>
            <w:r w:rsidRPr="00F51148">
              <w:t>The Rules require agencies to store MBS claims information in a separate database to PBS claims information.</w:t>
            </w:r>
            <w:r w:rsidRPr="00F51148">
              <w:rPr>
                <w:rStyle w:val="FootnoteReference"/>
              </w:rPr>
              <w:footnoteReference w:id="5"/>
            </w:r>
            <w:r w:rsidRPr="00F51148">
              <w:t xml:space="preserve"> The National Health Act itself requires the Rules to prohibit storage of this information in the same database and the Information Commissioner has no discretion to alter or moderate this requirement.</w:t>
            </w:r>
            <w:r w:rsidRPr="00F51148">
              <w:rPr>
                <w:rStyle w:val="FootnoteReference"/>
              </w:rPr>
              <w:footnoteReference w:id="6"/>
            </w:r>
            <w:r w:rsidRPr="00F51148">
              <w:t xml:space="preserve"> The Commissioner explains the policy intent of the Rules in the Explanatory Statement – that the Rules</w:t>
            </w:r>
            <w:r w:rsidRPr="00F51148">
              <w:rPr>
                <w:szCs w:val="20"/>
              </w:rPr>
              <w:t xml:space="preserve"> ‘recognise the sensitivity of health information and restrict the linkage of claims information. Such linkages may reveal detailed information </w:t>
            </w:r>
            <w:r w:rsidRPr="00F51148">
              <w:rPr>
                <w:szCs w:val="20"/>
              </w:rPr>
              <w:lastRenderedPageBreak/>
              <w:t>on the health status and history of the majority of Australians, beyond what is necessary for the administration of the respective programs.’</w:t>
            </w:r>
            <w:r w:rsidRPr="00F51148">
              <w:rPr>
                <w:rStyle w:val="FootnoteReference"/>
                <w:szCs w:val="20"/>
              </w:rPr>
              <w:footnoteReference w:id="7"/>
            </w:r>
          </w:p>
        </w:tc>
      </w:tr>
      <w:tr w:rsidR="00B77E81" w:rsidRPr="007B2FCE" w14:paraId="457431CC"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622E5DBC" w14:textId="77777777" w:rsidR="00B77E81" w:rsidRPr="007B2FCE" w:rsidRDefault="00B77E81" w:rsidP="0064061F">
            <w:pPr>
              <w:rPr>
                <w:noProof/>
              </w:rPr>
            </w:pPr>
          </w:p>
        </w:tc>
        <w:tc>
          <w:tcPr>
            <w:tcW w:w="7936" w:type="dxa"/>
          </w:tcPr>
          <w:p w14:paraId="27CED954" w14:textId="77777777" w:rsidR="00B77E81" w:rsidRPr="007B2FCE" w:rsidRDefault="00B77E81" w:rsidP="0064061F">
            <w:pPr>
              <w:cnfStyle w:val="000000000000" w:firstRow="0" w:lastRow="0" w:firstColumn="0" w:lastColumn="0" w:oddVBand="0" w:evenVBand="0" w:oddHBand="0" w:evenHBand="0" w:firstRowFirstColumn="0" w:firstRowLastColumn="0" w:lastRowFirstColumn="0" w:lastRowLastColumn="0"/>
              <w:rPr>
                <w:noProof/>
              </w:rPr>
            </w:pPr>
          </w:p>
        </w:tc>
      </w:tr>
    </w:tbl>
    <w:p w14:paraId="427D4237" w14:textId="77777777" w:rsidR="009E3805" w:rsidRDefault="009E3805" w:rsidP="009F1502"/>
    <w:p w14:paraId="6EEC274D" w14:textId="5BED87BD" w:rsidR="009F1502" w:rsidRPr="00866E6E" w:rsidRDefault="009E3805" w:rsidP="009F1502">
      <w:r>
        <w:t xml:space="preserve">The requirement to store data in ‘separate databases’ may no longer be meaningful in the current digital environment. However, until the National Health Act is changed, this requirement will have to remain a feature of the Rules. </w:t>
      </w:r>
      <w:r w:rsidR="009F1502">
        <w:t xml:space="preserve"> </w:t>
      </w:r>
    </w:p>
    <w:p w14:paraId="74ACA91C" w14:textId="67E437F8" w:rsidR="009F1502" w:rsidRDefault="009F1502" w:rsidP="00882CEB">
      <w:pPr>
        <w:pStyle w:val="Heading3"/>
        <w:numPr>
          <w:ilvl w:val="0"/>
          <w:numId w:val="0"/>
        </w:numPr>
      </w:pPr>
      <w:bookmarkStart w:id="70" w:name="_Toc70428102"/>
      <w:bookmarkStart w:id="71" w:name="_Toc70438323"/>
      <w:bookmarkStart w:id="72" w:name="_Toc71034704"/>
      <w:r>
        <w:t>Management of claims information by Services Australia</w:t>
      </w:r>
      <w:bookmarkEnd w:id="70"/>
      <w:bookmarkEnd w:id="71"/>
      <w:bookmarkEnd w:id="72"/>
    </w:p>
    <w:tbl>
      <w:tblPr>
        <w:tblStyle w:val="CalloutD1"/>
        <w:tblW w:w="0" w:type="auto"/>
        <w:tblLayout w:type="fixed"/>
        <w:tblLook w:val="01E0" w:firstRow="1" w:lastRow="1" w:firstColumn="1" w:lastColumn="1" w:noHBand="0" w:noVBand="0"/>
      </w:tblPr>
      <w:tblGrid>
        <w:gridCol w:w="1134"/>
        <w:gridCol w:w="7936"/>
      </w:tblGrid>
      <w:tr w:rsidR="00882CEB" w:rsidRPr="007B2FCE" w14:paraId="0B212504"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1E00E411" w14:textId="77777777" w:rsidR="00882CEB" w:rsidRPr="007B2FCE" w:rsidRDefault="00882CEB" w:rsidP="0064061F">
            <w:pPr>
              <w:rPr>
                <w:noProof/>
              </w:rPr>
            </w:pPr>
          </w:p>
        </w:tc>
        <w:tc>
          <w:tcPr>
            <w:tcW w:w="7936" w:type="dxa"/>
          </w:tcPr>
          <w:p w14:paraId="233A3572" w14:textId="77777777" w:rsidR="00882CEB" w:rsidRPr="007B2FCE" w:rsidRDefault="00882CEB" w:rsidP="0064061F">
            <w:pPr>
              <w:cnfStyle w:val="000000000000" w:firstRow="0" w:lastRow="0" w:firstColumn="0" w:lastColumn="0" w:oddVBand="0" w:evenVBand="0" w:oddHBand="0" w:evenHBand="0" w:firstRowFirstColumn="0" w:firstRowLastColumn="0" w:lastRowFirstColumn="0" w:lastRowLastColumn="0"/>
              <w:rPr>
                <w:noProof/>
              </w:rPr>
            </w:pPr>
          </w:p>
        </w:tc>
      </w:tr>
      <w:tr w:rsidR="00882CEB" w:rsidRPr="007B2FCE" w14:paraId="5E61F674" w14:textId="77777777" w:rsidTr="0064061F">
        <w:tc>
          <w:tcPr>
            <w:tcW w:w="9070" w:type="dxa"/>
            <w:gridSpan w:val="2"/>
            <w:tcMar>
              <w:top w:w="198" w:type="dxa"/>
              <w:bottom w:w="227" w:type="dxa"/>
            </w:tcMar>
          </w:tcPr>
          <w:p w14:paraId="1195D2B0" w14:textId="77777777" w:rsidR="00882CEB" w:rsidRPr="00B77E81" w:rsidRDefault="00882CEB" w:rsidP="0064061F">
            <w:pPr>
              <w:pStyle w:val="NoSpacing"/>
              <w:rPr>
                <w:b/>
                <w:bCs/>
              </w:rPr>
            </w:pPr>
            <w:r w:rsidRPr="00B77E81">
              <w:rPr>
                <w:b/>
                <w:bCs/>
              </w:rPr>
              <w:t>What the Rules say</w:t>
            </w:r>
          </w:p>
          <w:p w14:paraId="3F0C912F" w14:textId="77777777" w:rsidR="009E3805" w:rsidRDefault="009E3805" w:rsidP="009E3805">
            <w:r>
              <w:t>The Rules specify how Services Australia must manage claims information. This includes requirements that:</w:t>
            </w:r>
          </w:p>
          <w:p w14:paraId="602A834D" w14:textId="77777777" w:rsidR="009E3805" w:rsidRPr="009E3805" w:rsidRDefault="009E3805" w:rsidP="009E3805">
            <w:pPr>
              <w:pStyle w:val="ListBullet"/>
              <w:rPr>
                <w:rFonts w:eastAsiaTheme="minorEastAsia"/>
                <w:szCs w:val="20"/>
              </w:rPr>
            </w:pPr>
            <w:r w:rsidRPr="009E3805">
              <w:rPr>
                <w:rFonts w:eastAsiaTheme="minorEastAsia"/>
                <w:szCs w:val="20"/>
              </w:rPr>
              <w:t>The MBS claims database and PBS claims database be kept separate from enrolment and entitlement databases.</w:t>
            </w:r>
          </w:p>
          <w:p w14:paraId="59FC08E6" w14:textId="77777777" w:rsidR="009E3805" w:rsidRPr="009E3805" w:rsidRDefault="009E3805" w:rsidP="009E3805">
            <w:pPr>
              <w:pStyle w:val="ListBullet"/>
              <w:rPr>
                <w:rFonts w:eastAsiaTheme="minorEastAsia"/>
                <w:szCs w:val="20"/>
              </w:rPr>
            </w:pPr>
            <w:r w:rsidRPr="009E3805">
              <w:rPr>
                <w:rFonts w:eastAsiaTheme="minorEastAsia"/>
                <w:szCs w:val="20"/>
              </w:rPr>
              <w:t>The MBS claims database must not include personal identification components other than the Medicare card number.</w:t>
            </w:r>
          </w:p>
          <w:p w14:paraId="3BC0614F" w14:textId="34EE36EC" w:rsidR="009E3805" w:rsidRPr="00882CEB" w:rsidRDefault="009E3805" w:rsidP="009E3805">
            <w:pPr>
              <w:pStyle w:val="ListBullet"/>
              <w:rPr>
                <w:rFonts w:eastAsiaTheme="minorEastAsia"/>
                <w:szCs w:val="20"/>
              </w:rPr>
            </w:pPr>
            <w:r w:rsidRPr="009E3805">
              <w:rPr>
                <w:rFonts w:eastAsiaTheme="minorEastAsia"/>
                <w:szCs w:val="20"/>
              </w:rPr>
              <w:t>The PBS claims database must not include personal identification components other than the pharmaceutical entitlement number.</w:t>
            </w:r>
          </w:p>
        </w:tc>
      </w:tr>
      <w:tr w:rsidR="00882CEB" w:rsidRPr="007B2FCE" w14:paraId="78E1F76C"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6F38A96A" w14:textId="77777777" w:rsidR="00882CEB" w:rsidRPr="007B2FCE" w:rsidRDefault="00882CEB" w:rsidP="0064061F">
            <w:pPr>
              <w:rPr>
                <w:noProof/>
              </w:rPr>
            </w:pPr>
          </w:p>
        </w:tc>
        <w:tc>
          <w:tcPr>
            <w:tcW w:w="7936" w:type="dxa"/>
          </w:tcPr>
          <w:p w14:paraId="6BC82936" w14:textId="77777777" w:rsidR="00882CEB" w:rsidRPr="007B2FCE" w:rsidRDefault="00882CEB" w:rsidP="0064061F">
            <w:pPr>
              <w:cnfStyle w:val="000000000000" w:firstRow="0" w:lastRow="0" w:firstColumn="0" w:lastColumn="0" w:oddVBand="0" w:evenVBand="0" w:oddHBand="0" w:evenHBand="0" w:firstRowFirstColumn="0" w:firstRowLastColumn="0" w:lastRowFirstColumn="0" w:lastRowLastColumn="0"/>
              <w:rPr>
                <w:noProof/>
              </w:rPr>
            </w:pPr>
          </w:p>
        </w:tc>
      </w:tr>
    </w:tbl>
    <w:p w14:paraId="1D603C1C" w14:textId="43B5814A" w:rsidR="009E3805" w:rsidRDefault="009F1502" w:rsidP="009E3805">
      <w:r>
        <w:br/>
      </w:r>
      <w:r w:rsidR="009E3805">
        <w:t>The Rules ensure</w:t>
      </w:r>
      <w:r w:rsidR="009E3805" w:rsidRPr="00BF4C07">
        <w:t xml:space="preserve"> that claims information in the </w:t>
      </w:r>
      <w:r w:rsidR="009E3805">
        <w:t>MBS</w:t>
      </w:r>
      <w:r w:rsidR="009E3805" w:rsidRPr="00BF4C07">
        <w:t xml:space="preserve"> and </w:t>
      </w:r>
      <w:r w:rsidR="009E3805">
        <w:t>PBS</w:t>
      </w:r>
      <w:r w:rsidR="009E3805" w:rsidRPr="00BF4C07">
        <w:t xml:space="preserve"> databases </w:t>
      </w:r>
      <w:r w:rsidR="009E3805">
        <w:t>is</w:t>
      </w:r>
      <w:r w:rsidR="009E3805" w:rsidRPr="00BF4C07">
        <w:t xml:space="preserve"> stripped of personal identification components, such as name and address information, apart from a Medicare card number, or a </w:t>
      </w:r>
      <w:r w:rsidR="009E3805">
        <w:t>p</w:t>
      </w:r>
      <w:r w:rsidR="009E3805" w:rsidRPr="00BF4C07">
        <w:t>harmaceutical entitlements number. </w:t>
      </w:r>
    </w:p>
    <w:p w14:paraId="0FEEC4FB" w14:textId="77777777" w:rsidR="009E3805" w:rsidRPr="00BF4C07" w:rsidRDefault="009E3805" w:rsidP="009E3805">
      <w:r>
        <w:t xml:space="preserve">These requirements apply to claims information that is not ‘old information’. </w:t>
      </w:r>
      <w:r w:rsidRPr="00BF4C07">
        <w:t xml:space="preserve">Information that is more than five years old is considered </w:t>
      </w:r>
      <w:r>
        <w:t>‘</w:t>
      </w:r>
      <w:r w:rsidRPr="00BF4C07">
        <w:t>old information’, and this information must not be stored with any personal identification components</w:t>
      </w:r>
      <w:r>
        <w:t xml:space="preserve"> at all</w:t>
      </w:r>
      <w:r w:rsidRPr="00BF4C07">
        <w:t xml:space="preserve">, including the Medicare card number or the Pharmaceutical entitlements number. </w:t>
      </w:r>
    </w:p>
    <w:p w14:paraId="088625AE" w14:textId="252DBD3D" w:rsidR="009E3805" w:rsidRDefault="009E3805" w:rsidP="009F1502">
      <w:r>
        <w:t>The effect of these requirements is to lessen the privacy impact of these databases and reduce privacy risks. This could include risks that the claims information is inappropriately accessed or disclosed, or risks of function creep such as where claims information is used for unintended or unauthorised secondary uses.</w:t>
      </w:r>
    </w:p>
    <w:tbl>
      <w:tblPr>
        <w:tblStyle w:val="CalloutC1"/>
        <w:tblW w:w="0" w:type="auto"/>
        <w:tblLayout w:type="fixed"/>
        <w:tblLook w:val="01E0" w:firstRow="1" w:lastRow="1" w:firstColumn="1" w:lastColumn="1" w:noHBand="0" w:noVBand="0"/>
      </w:tblPr>
      <w:tblGrid>
        <w:gridCol w:w="1134"/>
        <w:gridCol w:w="7936"/>
      </w:tblGrid>
      <w:tr w:rsidR="00A33FC7" w:rsidRPr="007B2FCE" w14:paraId="3BB62907"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4089E4EC" w14:textId="77777777" w:rsidR="00A33FC7" w:rsidRPr="007B2FCE" w:rsidRDefault="00A33FC7" w:rsidP="0064061F">
            <w:pPr>
              <w:rPr>
                <w:noProof/>
              </w:rPr>
            </w:pPr>
          </w:p>
        </w:tc>
        <w:tc>
          <w:tcPr>
            <w:tcW w:w="7936" w:type="dxa"/>
          </w:tcPr>
          <w:p w14:paraId="05201AF0" w14:textId="77777777" w:rsidR="00A33FC7" w:rsidRPr="007B2FCE" w:rsidRDefault="00A33FC7" w:rsidP="0064061F">
            <w:pPr>
              <w:cnfStyle w:val="000000000000" w:firstRow="0" w:lastRow="0" w:firstColumn="0" w:lastColumn="0" w:oddVBand="0" w:evenVBand="0" w:oddHBand="0" w:evenHBand="0" w:firstRowFirstColumn="0" w:firstRowLastColumn="0" w:lastRowFirstColumn="0" w:lastRowLastColumn="0"/>
              <w:rPr>
                <w:noProof/>
              </w:rPr>
            </w:pPr>
          </w:p>
        </w:tc>
      </w:tr>
      <w:tr w:rsidR="00A33FC7" w:rsidRPr="007B2FCE" w14:paraId="4574EB72" w14:textId="77777777" w:rsidTr="0064061F">
        <w:tc>
          <w:tcPr>
            <w:tcW w:w="9070" w:type="dxa"/>
            <w:gridSpan w:val="2"/>
            <w:tcMar>
              <w:top w:w="198" w:type="dxa"/>
              <w:bottom w:w="227" w:type="dxa"/>
            </w:tcMar>
          </w:tcPr>
          <w:p w14:paraId="5650C217" w14:textId="77777777" w:rsidR="00A33FC7" w:rsidRPr="00C34D0D" w:rsidRDefault="00A33FC7" w:rsidP="0064061F">
            <w:pPr>
              <w:pStyle w:val="ListNumber"/>
              <w:numPr>
                <w:ilvl w:val="0"/>
                <w:numId w:val="0"/>
              </w:numPr>
              <w:ind w:left="284" w:hanging="284"/>
              <w:rPr>
                <w:b/>
                <w:bCs/>
              </w:rPr>
            </w:pPr>
            <w:r>
              <w:rPr>
                <w:b/>
                <w:bCs/>
              </w:rPr>
              <w:lastRenderedPageBreak/>
              <w:t>Questions</w:t>
            </w:r>
          </w:p>
          <w:p w14:paraId="7F6E4C60" w14:textId="7E38C3B0" w:rsidR="009E3805" w:rsidRPr="0010199A" w:rsidRDefault="009E3805" w:rsidP="0064061F">
            <w:pPr>
              <w:pStyle w:val="ListNumber"/>
              <w:rPr>
                <w:rFonts w:eastAsiaTheme="minorEastAsia"/>
                <w:szCs w:val="20"/>
              </w:rPr>
            </w:pPr>
            <w:r>
              <w:t>Should these requirements (about separation of claims information from enrolments and entitlements and exclusion of personal identification components) stay the same or be changed? Why?</w:t>
            </w:r>
          </w:p>
        </w:tc>
      </w:tr>
      <w:tr w:rsidR="00A33FC7" w:rsidRPr="007B2FCE" w14:paraId="54662BC1"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317955E6" w14:textId="77777777" w:rsidR="00A33FC7" w:rsidRPr="007B2FCE" w:rsidRDefault="00A33FC7" w:rsidP="0064061F">
            <w:pPr>
              <w:pStyle w:val="BodyText"/>
              <w:rPr>
                <w:noProof/>
              </w:rPr>
            </w:pPr>
          </w:p>
        </w:tc>
        <w:tc>
          <w:tcPr>
            <w:tcW w:w="7936" w:type="dxa"/>
          </w:tcPr>
          <w:p w14:paraId="16E11819" w14:textId="77777777" w:rsidR="00A33FC7" w:rsidRPr="007B2FCE" w:rsidRDefault="00A33FC7" w:rsidP="0064061F">
            <w:pPr>
              <w:pStyle w:val="BodyText"/>
              <w:cnfStyle w:val="000000000000" w:firstRow="0" w:lastRow="0" w:firstColumn="0" w:lastColumn="0" w:oddVBand="0" w:evenVBand="0" w:oddHBand="0" w:evenHBand="0" w:firstRowFirstColumn="0" w:firstRowLastColumn="0" w:lastRowFirstColumn="0" w:lastRowLastColumn="0"/>
              <w:rPr>
                <w:noProof/>
              </w:rPr>
            </w:pPr>
          </w:p>
        </w:tc>
      </w:tr>
    </w:tbl>
    <w:p w14:paraId="6BF88118" w14:textId="30B4A68B" w:rsidR="009F1502" w:rsidRDefault="009F1502" w:rsidP="00EA4607">
      <w:pPr>
        <w:pStyle w:val="Heading3"/>
        <w:numPr>
          <w:ilvl w:val="0"/>
          <w:numId w:val="0"/>
        </w:numPr>
      </w:pPr>
      <w:bookmarkStart w:id="73" w:name="_Toc70428103"/>
      <w:bookmarkStart w:id="74" w:name="_Toc70438324"/>
      <w:bookmarkStart w:id="75" w:name="_Toc71034705"/>
      <w:r>
        <w:t>Requirement for Services Australia to maintain technical standards</w:t>
      </w:r>
      <w:bookmarkEnd w:id="73"/>
      <w:bookmarkEnd w:id="74"/>
      <w:bookmarkEnd w:id="75"/>
    </w:p>
    <w:tbl>
      <w:tblPr>
        <w:tblStyle w:val="CalloutD1"/>
        <w:tblW w:w="0" w:type="auto"/>
        <w:tblLayout w:type="fixed"/>
        <w:tblLook w:val="01E0" w:firstRow="1" w:lastRow="1" w:firstColumn="1" w:lastColumn="1" w:noHBand="0" w:noVBand="0"/>
      </w:tblPr>
      <w:tblGrid>
        <w:gridCol w:w="1134"/>
        <w:gridCol w:w="7936"/>
      </w:tblGrid>
      <w:tr w:rsidR="00EA4607" w:rsidRPr="007B2FCE" w14:paraId="0EAB30D8"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6C158658" w14:textId="77777777" w:rsidR="00EA4607" w:rsidRPr="007B2FCE" w:rsidRDefault="00EA4607" w:rsidP="0064061F">
            <w:pPr>
              <w:rPr>
                <w:noProof/>
              </w:rPr>
            </w:pPr>
          </w:p>
        </w:tc>
        <w:tc>
          <w:tcPr>
            <w:tcW w:w="7936" w:type="dxa"/>
          </w:tcPr>
          <w:p w14:paraId="10CFCAFE" w14:textId="77777777" w:rsidR="00EA4607" w:rsidRPr="007B2FCE" w:rsidRDefault="00EA4607" w:rsidP="0064061F">
            <w:pPr>
              <w:cnfStyle w:val="000000000000" w:firstRow="0" w:lastRow="0" w:firstColumn="0" w:lastColumn="0" w:oddVBand="0" w:evenVBand="0" w:oddHBand="0" w:evenHBand="0" w:firstRowFirstColumn="0" w:firstRowLastColumn="0" w:lastRowFirstColumn="0" w:lastRowLastColumn="0"/>
              <w:rPr>
                <w:noProof/>
              </w:rPr>
            </w:pPr>
          </w:p>
        </w:tc>
      </w:tr>
      <w:tr w:rsidR="00EA4607" w:rsidRPr="007B2FCE" w14:paraId="5A61565C" w14:textId="77777777" w:rsidTr="0064061F">
        <w:tc>
          <w:tcPr>
            <w:tcW w:w="9070" w:type="dxa"/>
            <w:gridSpan w:val="2"/>
            <w:tcMar>
              <w:top w:w="198" w:type="dxa"/>
              <w:bottom w:w="227" w:type="dxa"/>
            </w:tcMar>
          </w:tcPr>
          <w:p w14:paraId="587D7548" w14:textId="1BAD6E5A" w:rsidR="00EA4607" w:rsidRDefault="00EA4607" w:rsidP="0064061F">
            <w:pPr>
              <w:pStyle w:val="NoSpacing"/>
              <w:rPr>
                <w:b/>
                <w:bCs/>
              </w:rPr>
            </w:pPr>
            <w:r w:rsidRPr="00B77E81">
              <w:rPr>
                <w:b/>
                <w:bCs/>
              </w:rPr>
              <w:t>What the Rules say</w:t>
            </w:r>
          </w:p>
          <w:p w14:paraId="6E272582" w14:textId="77777777" w:rsidR="009E3805" w:rsidRDefault="009E3805" w:rsidP="009E3805">
            <w:r>
              <w:t>The Rules require Services Australia to establish and maintain detailed technical standards in relation to the MBS claims database and PBS claims database which cover matters including:</w:t>
            </w:r>
          </w:p>
          <w:p w14:paraId="6ED6D2A7" w14:textId="77777777" w:rsidR="009E3805" w:rsidRPr="009E3805" w:rsidRDefault="009E3805" w:rsidP="009E3805">
            <w:pPr>
              <w:pStyle w:val="ListBullet"/>
              <w:rPr>
                <w:rFonts w:eastAsiaTheme="minorEastAsia"/>
                <w:szCs w:val="20"/>
              </w:rPr>
            </w:pPr>
            <w:r w:rsidRPr="009E3805">
              <w:rPr>
                <w:rFonts w:eastAsiaTheme="minorEastAsia"/>
                <w:szCs w:val="20"/>
              </w:rPr>
              <w:t>Access controls</w:t>
            </w:r>
          </w:p>
          <w:p w14:paraId="425C3632" w14:textId="77777777" w:rsidR="009E3805" w:rsidRPr="009E3805" w:rsidRDefault="009E3805" w:rsidP="009E3805">
            <w:pPr>
              <w:pStyle w:val="ListBullet"/>
              <w:rPr>
                <w:rFonts w:eastAsiaTheme="minorEastAsia"/>
                <w:szCs w:val="20"/>
              </w:rPr>
            </w:pPr>
            <w:r w:rsidRPr="009E3805">
              <w:rPr>
                <w:rFonts w:eastAsiaTheme="minorEastAsia"/>
                <w:szCs w:val="20"/>
              </w:rPr>
              <w:t>Security measures, including measures to prevent unauthorised linkages</w:t>
            </w:r>
          </w:p>
          <w:p w14:paraId="6697FACC" w14:textId="77777777" w:rsidR="009E3805" w:rsidRPr="009E3805" w:rsidRDefault="009E3805" w:rsidP="009E3805">
            <w:pPr>
              <w:pStyle w:val="ListBullet"/>
              <w:rPr>
                <w:rFonts w:eastAsiaTheme="minorEastAsia"/>
                <w:szCs w:val="20"/>
              </w:rPr>
            </w:pPr>
            <w:r w:rsidRPr="009E3805">
              <w:rPr>
                <w:rFonts w:eastAsiaTheme="minorEastAsia"/>
                <w:szCs w:val="20"/>
              </w:rPr>
              <w:t>Measures to enable tracing of authorised linkages</w:t>
            </w:r>
          </w:p>
          <w:p w14:paraId="60092871" w14:textId="6F7D4DC1" w:rsidR="009E3805" w:rsidRPr="007B2FCE" w:rsidRDefault="009E3805" w:rsidP="009E3805">
            <w:pPr>
              <w:pStyle w:val="ListBullet"/>
            </w:pPr>
            <w:r w:rsidRPr="009E3805">
              <w:rPr>
                <w:rFonts w:eastAsiaTheme="minorEastAsia"/>
                <w:szCs w:val="20"/>
              </w:rPr>
              <w:t>Destruction schedules for authorised linkages.</w:t>
            </w:r>
          </w:p>
        </w:tc>
      </w:tr>
      <w:tr w:rsidR="00EA4607" w:rsidRPr="007B2FCE" w14:paraId="6DF4CEDA"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633AE30F" w14:textId="77777777" w:rsidR="00EA4607" w:rsidRPr="007B2FCE" w:rsidRDefault="00EA4607" w:rsidP="0064061F">
            <w:pPr>
              <w:rPr>
                <w:noProof/>
              </w:rPr>
            </w:pPr>
          </w:p>
        </w:tc>
        <w:tc>
          <w:tcPr>
            <w:tcW w:w="7936" w:type="dxa"/>
          </w:tcPr>
          <w:p w14:paraId="652595E8" w14:textId="77777777" w:rsidR="00EA4607" w:rsidRPr="007B2FCE" w:rsidRDefault="00EA4607" w:rsidP="0064061F">
            <w:pPr>
              <w:cnfStyle w:val="000000000000" w:firstRow="0" w:lastRow="0" w:firstColumn="0" w:lastColumn="0" w:oddVBand="0" w:evenVBand="0" w:oddHBand="0" w:evenHBand="0" w:firstRowFirstColumn="0" w:firstRowLastColumn="0" w:lastRowFirstColumn="0" w:lastRowLastColumn="0"/>
              <w:rPr>
                <w:noProof/>
              </w:rPr>
            </w:pPr>
          </w:p>
        </w:tc>
      </w:tr>
    </w:tbl>
    <w:p w14:paraId="2D421806" w14:textId="7CE2A756" w:rsidR="009E3805" w:rsidRDefault="009F1502" w:rsidP="009E3805">
      <w:r>
        <w:br/>
      </w:r>
      <w:r w:rsidR="009E3805">
        <w:t>The Rules require Services Australia to establish standards to ensure a range of technical matters are adequately dealt with in designing a computer system to store claims information.</w:t>
      </w:r>
      <w:r w:rsidR="009E3805">
        <w:rPr>
          <w:rStyle w:val="FootnoteReference"/>
        </w:rPr>
        <w:footnoteReference w:id="8"/>
      </w:r>
      <w:r w:rsidR="009E3805">
        <w:t xml:space="preserve"> If Services Australia changes the standards, it must inform the OAIC.</w:t>
      </w:r>
      <w:r w:rsidR="009E3805">
        <w:rPr>
          <w:rStyle w:val="FootnoteReference"/>
        </w:rPr>
        <w:footnoteReference w:id="9"/>
      </w:r>
    </w:p>
    <w:p w14:paraId="70E5718D" w14:textId="1E3A896D" w:rsidR="009E3805" w:rsidRDefault="009E3805" w:rsidP="009F1502">
      <w:r>
        <w:t>Services Australia is subject to other security obligations in relation to MBS and PBS claims information. These include information security requirements under APP 11 in the Privacy Act, the Australian Government’s Protective Security Policy Framework, and the Information Security Manual. This could raise a question as to whether dedicated technical standards for MBS and PBS information is necessary in view of those other security obligations. On the other hand, dedicated technical standards enable more specific requirements particularly in managing data linkage and safeguarding the data from unauthorised linking.</w:t>
      </w:r>
    </w:p>
    <w:tbl>
      <w:tblPr>
        <w:tblStyle w:val="CalloutC1"/>
        <w:tblW w:w="0" w:type="auto"/>
        <w:tblLayout w:type="fixed"/>
        <w:tblLook w:val="01E0" w:firstRow="1" w:lastRow="1" w:firstColumn="1" w:lastColumn="1" w:noHBand="0" w:noVBand="0"/>
      </w:tblPr>
      <w:tblGrid>
        <w:gridCol w:w="1134"/>
        <w:gridCol w:w="7936"/>
      </w:tblGrid>
      <w:tr w:rsidR="00793A11" w:rsidRPr="007B2FCE" w14:paraId="42B40EC0"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0066ED51" w14:textId="77777777" w:rsidR="00793A11" w:rsidRPr="007B2FCE" w:rsidRDefault="00793A11" w:rsidP="0064061F">
            <w:pPr>
              <w:rPr>
                <w:noProof/>
              </w:rPr>
            </w:pPr>
          </w:p>
        </w:tc>
        <w:tc>
          <w:tcPr>
            <w:tcW w:w="7936" w:type="dxa"/>
          </w:tcPr>
          <w:p w14:paraId="07AAE8DD" w14:textId="77777777" w:rsidR="00793A11" w:rsidRPr="007B2FCE" w:rsidRDefault="00793A11" w:rsidP="0064061F">
            <w:pPr>
              <w:cnfStyle w:val="000000000000" w:firstRow="0" w:lastRow="0" w:firstColumn="0" w:lastColumn="0" w:oddVBand="0" w:evenVBand="0" w:oddHBand="0" w:evenHBand="0" w:firstRowFirstColumn="0" w:firstRowLastColumn="0" w:lastRowFirstColumn="0" w:lastRowLastColumn="0"/>
              <w:rPr>
                <w:noProof/>
              </w:rPr>
            </w:pPr>
          </w:p>
        </w:tc>
      </w:tr>
      <w:tr w:rsidR="00793A11" w:rsidRPr="007B2FCE" w14:paraId="79BE906B" w14:textId="77777777" w:rsidTr="0064061F">
        <w:tc>
          <w:tcPr>
            <w:tcW w:w="9070" w:type="dxa"/>
            <w:gridSpan w:val="2"/>
            <w:tcMar>
              <w:top w:w="198" w:type="dxa"/>
              <w:bottom w:w="227" w:type="dxa"/>
            </w:tcMar>
          </w:tcPr>
          <w:p w14:paraId="10A6A0E7" w14:textId="77777777" w:rsidR="00793A11" w:rsidRPr="00C34D0D" w:rsidRDefault="00793A11" w:rsidP="0064061F">
            <w:pPr>
              <w:pStyle w:val="ListNumber"/>
              <w:numPr>
                <w:ilvl w:val="0"/>
                <w:numId w:val="0"/>
              </w:numPr>
              <w:ind w:left="284" w:hanging="284"/>
              <w:rPr>
                <w:b/>
                <w:bCs/>
              </w:rPr>
            </w:pPr>
            <w:r>
              <w:rPr>
                <w:b/>
                <w:bCs/>
              </w:rPr>
              <w:t>Questions</w:t>
            </w:r>
          </w:p>
          <w:p w14:paraId="79C9230F" w14:textId="77777777" w:rsidR="009E3805" w:rsidRDefault="009E3805" w:rsidP="009E3805">
            <w:pPr>
              <w:pStyle w:val="ListNumber"/>
            </w:pPr>
            <w:r>
              <w:lastRenderedPageBreak/>
              <w:t>Is having dedicated detailed technical standards for MBS and PBS claims databases necessary given the range of other information security requirements applying to Services Australia?</w:t>
            </w:r>
          </w:p>
          <w:p w14:paraId="3452F4EE" w14:textId="77777777" w:rsidR="009E3805" w:rsidRDefault="009E3805" w:rsidP="009E3805">
            <w:pPr>
              <w:pStyle w:val="ListNumber"/>
            </w:pPr>
            <w:r>
              <w:t>Should the technical standards cover any other matters?</w:t>
            </w:r>
          </w:p>
          <w:p w14:paraId="63777B35" w14:textId="6D8B1950" w:rsidR="009E3805" w:rsidRPr="0010199A" w:rsidRDefault="009E3805" w:rsidP="009E3805">
            <w:pPr>
              <w:pStyle w:val="ListNumber"/>
              <w:rPr>
                <w:rFonts w:eastAsiaTheme="minorEastAsia"/>
                <w:szCs w:val="20"/>
              </w:rPr>
            </w:pPr>
            <w:r>
              <w:t>Should any other agencies be required to have technical standards of this sort? Which agencies and why?</w:t>
            </w:r>
          </w:p>
        </w:tc>
      </w:tr>
      <w:tr w:rsidR="00793A11" w:rsidRPr="007B2FCE" w14:paraId="1EE5BA7F"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1EB755DB" w14:textId="77777777" w:rsidR="00793A11" w:rsidRPr="007B2FCE" w:rsidRDefault="00793A11" w:rsidP="0064061F">
            <w:pPr>
              <w:pStyle w:val="BodyText"/>
              <w:rPr>
                <w:noProof/>
              </w:rPr>
            </w:pPr>
          </w:p>
        </w:tc>
        <w:tc>
          <w:tcPr>
            <w:tcW w:w="7936" w:type="dxa"/>
          </w:tcPr>
          <w:p w14:paraId="7A656522" w14:textId="77777777" w:rsidR="00793A11" w:rsidRPr="007B2FCE" w:rsidRDefault="00793A11" w:rsidP="0064061F">
            <w:pPr>
              <w:pStyle w:val="BodyText"/>
              <w:cnfStyle w:val="000000000000" w:firstRow="0" w:lastRow="0" w:firstColumn="0" w:lastColumn="0" w:oddVBand="0" w:evenVBand="0" w:oddHBand="0" w:evenHBand="0" w:firstRowFirstColumn="0" w:firstRowLastColumn="0" w:lastRowFirstColumn="0" w:lastRowLastColumn="0"/>
              <w:rPr>
                <w:noProof/>
              </w:rPr>
            </w:pPr>
          </w:p>
        </w:tc>
      </w:tr>
    </w:tbl>
    <w:p w14:paraId="1B0F4F5A" w14:textId="075D18DB" w:rsidR="009F1502" w:rsidRDefault="009F1502" w:rsidP="00A51B94">
      <w:pPr>
        <w:pStyle w:val="Heading3"/>
        <w:numPr>
          <w:ilvl w:val="0"/>
          <w:numId w:val="0"/>
        </w:numPr>
      </w:pPr>
      <w:bookmarkStart w:id="76" w:name="_Toc70428104"/>
      <w:bookmarkStart w:id="77" w:name="_Toc70438325"/>
      <w:bookmarkStart w:id="78" w:name="_Toc71034706"/>
      <w:r>
        <w:t>Medicare PINs</w:t>
      </w:r>
      <w:bookmarkEnd w:id="76"/>
      <w:bookmarkEnd w:id="77"/>
      <w:bookmarkEnd w:id="78"/>
    </w:p>
    <w:tbl>
      <w:tblPr>
        <w:tblStyle w:val="CalloutD1"/>
        <w:tblW w:w="0" w:type="auto"/>
        <w:tblLayout w:type="fixed"/>
        <w:tblLook w:val="01E0" w:firstRow="1" w:lastRow="1" w:firstColumn="1" w:lastColumn="1" w:noHBand="0" w:noVBand="0"/>
      </w:tblPr>
      <w:tblGrid>
        <w:gridCol w:w="1134"/>
        <w:gridCol w:w="7936"/>
      </w:tblGrid>
      <w:tr w:rsidR="00AC4B33" w:rsidRPr="007B2FCE" w14:paraId="2826E193"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5857552F" w14:textId="77777777" w:rsidR="00AC4B33" w:rsidRPr="007B2FCE" w:rsidRDefault="00AC4B33" w:rsidP="0064061F">
            <w:pPr>
              <w:rPr>
                <w:noProof/>
              </w:rPr>
            </w:pPr>
          </w:p>
        </w:tc>
        <w:tc>
          <w:tcPr>
            <w:tcW w:w="7936" w:type="dxa"/>
          </w:tcPr>
          <w:p w14:paraId="296BD068" w14:textId="77777777" w:rsidR="00AC4B33" w:rsidRPr="007B2FCE" w:rsidRDefault="00AC4B33" w:rsidP="0064061F">
            <w:pPr>
              <w:cnfStyle w:val="000000000000" w:firstRow="0" w:lastRow="0" w:firstColumn="0" w:lastColumn="0" w:oddVBand="0" w:evenVBand="0" w:oddHBand="0" w:evenHBand="0" w:firstRowFirstColumn="0" w:firstRowLastColumn="0" w:lastRowFirstColumn="0" w:lastRowLastColumn="0"/>
              <w:rPr>
                <w:noProof/>
              </w:rPr>
            </w:pPr>
          </w:p>
        </w:tc>
      </w:tr>
      <w:tr w:rsidR="00AC4B33" w:rsidRPr="007B2FCE" w14:paraId="60F75848" w14:textId="77777777" w:rsidTr="0064061F">
        <w:tc>
          <w:tcPr>
            <w:tcW w:w="9070" w:type="dxa"/>
            <w:gridSpan w:val="2"/>
            <w:tcMar>
              <w:top w:w="198" w:type="dxa"/>
              <w:bottom w:w="227" w:type="dxa"/>
            </w:tcMar>
          </w:tcPr>
          <w:p w14:paraId="76A89C4A" w14:textId="77777777" w:rsidR="00AC4B33" w:rsidRDefault="00AC4B33" w:rsidP="0064061F">
            <w:pPr>
              <w:pStyle w:val="NoSpacing"/>
              <w:rPr>
                <w:b/>
                <w:bCs/>
              </w:rPr>
            </w:pPr>
            <w:r w:rsidRPr="00B77E81">
              <w:rPr>
                <w:b/>
                <w:bCs/>
              </w:rPr>
              <w:t>What the Rules say</w:t>
            </w:r>
          </w:p>
          <w:p w14:paraId="7D6D30D5" w14:textId="6E1EF5E0" w:rsidR="00AC4B33" w:rsidRPr="007B2FCE" w:rsidRDefault="009E3805" w:rsidP="00AC4B33">
            <w:pPr>
              <w:pStyle w:val="ListBullet"/>
              <w:numPr>
                <w:ilvl w:val="0"/>
                <w:numId w:val="0"/>
              </w:numPr>
            </w:pPr>
            <w:r>
              <w:t xml:space="preserve">The Rules allow Services Australia to use Medicare personal identification numbers (PINs) to enable identification of individuals in the MBS and PBS databases. Medicare PINs may be stored in claims databases. However, the Rules require that PINs not be derived from the individual’s personal information and not reveal any personal or health information about the individual from the PIN alone.  </w:t>
            </w:r>
          </w:p>
        </w:tc>
      </w:tr>
      <w:tr w:rsidR="00AC4B33" w:rsidRPr="007B2FCE" w14:paraId="4F860E7B"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0C02BA92" w14:textId="77777777" w:rsidR="00AC4B33" w:rsidRPr="007B2FCE" w:rsidRDefault="00AC4B33" w:rsidP="0064061F">
            <w:pPr>
              <w:rPr>
                <w:noProof/>
              </w:rPr>
            </w:pPr>
          </w:p>
        </w:tc>
        <w:tc>
          <w:tcPr>
            <w:tcW w:w="7936" w:type="dxa"/>
          </w:tcPr>
          <w:p w14:paraId="5FBC228B" w14:textId="77777777" w:rsidR="00AC4B33" w:rsidRPr="007B2FCE" w:rsidRDefault="00AC4B33" w:rsidP="0064061F">
            <w:pPr>
              <w:cnfStyle w:val="000000000000" w:firstRow="0" w:lastRow="0" w:firstColumn="0" w:lastColumn="0" w:oddVBand="0" w:evenVBand="0" w:oddHBand="0" w:evenHBand="0" w:firstRowFirstColumn="0" w:firstRowLastColumn="0" w:lastRowFirstColumn="0" w:lastRowLastColumn="0"/>
              <w:rPr>
                <w:noProof/>
              </w:rPr>
            </w:pPr>
          </w:p>
        </w:tc>
      </w:tr>
    </w:tbl>
    <w:p w14:paraId="7F183D0A" w14:textId="70F9334D" w:rsidR="009F1502" w:rsidRDefault="009F1502" w:rsidP="009F1502">
      <w:r>
        <w:br/>
      </w:r>
      <w:r w:rsidR="00472BD7">
        <w:t>The Rules contain</w:t>
      </w:r>
      <w:r w:rsidR="00472BD7" w:rsidRPr="007C5995">
        <w:t xml:space="preserve"> provisions on the creation of a Medicare PIN that is unique for each individual, and the purposes for which a Medicare PIN may be used or disclosed. </w:t>
      </w:r>
      <w:r w:rsidR="00472BD7">
        <w:t>According to the Explanatory Statement, i</w:t>
      </w:r>
      <w:r w:rsidR="00472BD7" w:rsidRPr="007C5995">
        <w:t xml:space="preserve">t is intended that any such unique number be kept, as far as possible, within </w:t>
      </w:r>
      <w:r w:rsidR="00472BD7">
        <w:t xml:space="preserve">Services Australia </w:t>
      </w:r>
      <w:r w:rsidR="00472BD7" w:rsidRPr="007C5995">
        <w:t>and not used as an identifier for other purposes.</w:t>
      </w:r>
      <w:r w:rsidR="00472BD7">
        <w:rPr>
          <w:rStyle w:val="FootnoteReference"/>
        </w:rPr>
        <w:footnoteReference w:id="10"/>
      </w:r>
      <w:r w:rsidR="00472BD7">
        <w:t xml:space="preserve"> That said, Services Australia may disclose Medicare PINs in some circumstances, though usually not with the individual’s name.</w:t>
      </w:r>
    </w:p>
    <w:tbl>
      <w:tblPr>
        <w:tblStyle w:val="CalloutC1"/>
        <w:tblW w:w="0" w:type="auto"/>
        <w:tblLayout w:type="fixed"/>
        <w:tblLook w:val="01E0" w:firstRow="1" w:lastRow="1" w:firstColumn="1" w:lastColumn="1" w:noHBand="0" w:noVBand="0"/>
      </w:tblPr>
      <w:tblGrid>
        <w:gridCol w:w="1134"/>
        <w:gridCol w:w="7936"/>
      </w:tblGrid>
      <w:tr w:rsidR="00AC4B33" w:rsidRPr="007B2FCE" w14:paraId="4599AE03"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738133D5" w14:textId="77777777" w:rsidR="00AC4B33" w:rsidRPr="007B2FCE" w:rsidRDefault="00AC4B33" w:rsidP="0064061F">
            <w:pPr>
              <w:rPr>
                <w:noProof/>
              </w:rPr>
            </w:pPr>
          </w:p>
        </w:tc>
        <w:tc>
          <w:tcPr>
            <w:tcW w:w="7936" w:type="dxa"/>
          </w:tcPr>
          <w:p w14:paraId="3EAE73B5" w14:textId="77777777" w:rsidR="00AC4B33" w:rsidRPr="007B2FCE" w:rsidRDefault="00AC4B33" w:rsidP="0064061F">
            <w:pPr>
              <w:cnfStyle w:val="000000000000" w:firstRow="0" w:lastRow="0" w:firstColumn="0" w:lastColumn="0" w:oddVBand="0" w:evenVBand="0" w:oddHBand="0" w:evenHBand="0" w:firstRowFirstColumn="0" w:firstRowLastColumn="0" w:lastRowFirstColumn="0" w:lastRowLastColumn="0"/>
              <w:rPr>
                <w:noProof/>
              </w:rPr>
            </w:pPr>
          </w:p>
        </w:tc>
      </w:tr>
      <w:tr w:rsidR="00AC4B33" w:rsidRPr="007B2FCE" w14:paraId="12621101" w14:textId="77777777" w:rsidTr="0064061F">
        <w:tc>
          <w:tcPr>
            <w:tcW w:w="9070" w:type="dxa"/>
            <w:gridSpan w:val="2"/>
            <w:tcMar>
              <w:top w:w="198" w:type="dxa"/>
              <w:bottom w:w="227" w:type="dxa"/>
            </w:tcMar>
          </w:tcPr>
          <w:p w14:paraId="33B578F7" w14:textId="77777777" w:rsidR="00AC4B33" w:rsidRPr="00C34D0D" w:rsidRDefault="00AC4B33" w:rsidP="0064061F">
            <w:pPr>
              <w:pStyle w:val="ListNumber"/>
              <w:numPr>
                <w:ilvl w:val="0"/>
                <w:numId w:val="0"/>
              </w:numPr>
              <w:ind w:left="284" w:hanging="284"/>
              <w:rPr>
                <w:b/>
                <w:bCs/>
              </w:rPr>
            </w:pPr>
            <w:r>
              <w:rPr>
                <w:b/>
                <w:bCs/>
              </w:rPr>
              <w:t>Questions</w:t>
            </w:r>
          </w:p>
          <w:p w14:paraId="630800F2" w14:textId="77777777" w:rsidR="00472BD7" w:rsidRDefault="00472BD7" w:rsidP="00472BD7">
            <w:pPr>
              <w:pStyle w:val="ListNumber"/>
            </w:pPr>
            <w:r>
              <w:t>Are the provisions regulating the creation, use and disclosure of Medicare PINs fit for purpose?</w:t>
            </w:r>
          </w:p>
          <w:p w14:paraId="02870F49" w14:textId="45192193" w:rsidR="00472BD7" w:rsidRPr="0010199A" w:rsidRDefault="00472BD7" w:rsidP="00472BD7">
            <w:pPr>
              <w:pStyle w:val="ListNumber"/>
              <w:rPr>
                <w:rFonts w:eastAsiaTheme="minorEastAsia"/>
                <w:szCs w:val="20"/>
              </w:rPr>
            </w:pPr>
            <w:r>
              <w:t>Should there be more permissive or more restrictive use of Medicare PINs? Why?</w:t>
            </w:r>
          </w:p>
        </w:tc>
      </w:tr>
      <w:tr w:rsidR="00AC4B33" w:rsidRPr="007B2FCE" w14:paraId="37D54EA8"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573310A8" w14:textId="77777777" w:rsidR="00AC4B33" w:rsidRPr="007B2FCE" w:rsidRDefault="00AC4B33" w:rsidP="0064061F">
            <w:pPr>
              <w:pStyle w:val="BodyText"/>
              <w:rPr>
                <w:noProof/>
              </w:rPr>
            </w:pPr>
          </w:p>
        </w:tc>
        <w:tc>
          <w:tcPr>
            <w:tcW w:w="7936" w:type="dxa"/>
          </w:tcPr>
          <w:p w14:paraId="5D12DDD6" w14:textId="77777777" w:rsidR="00AC4B33" w:rsidRPr="007B2FCE" w:rsidRDefault="00AC4B33" w:rsidP="0064061F">
            <w:pPr>
              <w:pStyle w:val="BodyText"/>
              <w:cnfStyle w:val="000000000000" w:firstRow="0" w:lastRow="0" w:firstColumn="0" w:lastColumn="0" w:oddVBand="0" w:evenVBand="0" w:oddHBand="0" w:evenHBand="0" w:firstRowFirstColumn="0" w:firstRowLastColumn="0" w:lastRowFirstColumn="0" w:lastRowLastColumn="0"/>
              <w:rPr>
                <w:noProof/>
              </w:rPr>
            </w:pPr>
          </w:p>
        </w:tc>
      </w:tr>
    </w:tbl>
    <w:p w14:paraId="75BDAE4D" w14:textId="21C5463B" w:rsidR="009F1502" w:rsidRDefault="009F1502" w:rsidP="00AC4B33">
      <w:pPr>
        <w:pStyle w:val="Heading3"/>
        <w:numPr>
          <w:ilvl w:val="0"/>
          <w:numId w:val="0"/>
        </w:numPr>
      </w:pPr>
      <w:bookmarkStart w:id="79" w:name="_Toc70428105"/>
      <w:bookmarkStart w:id="80" w:name="_Toc70438326"/>
      <w:bookmarkStart w:id="81" w:name="_Toc71034707"/>
      <w:r>
        <w:t>Disclosure to the Department of Health</w:t>
      </w:r>
      <w:bookmarkEnd w:id="79"/>
      <w:bookmarkEnd w:id="80"/>
      <w:bookmarkEnd w:id="81"/>
    </w:p>
    <w:tbl>
      <w:tblPr>
        <w:tblStyle w:val="CalloutD1"/>
        <w:tblW w:w="0" w:type="auto"/>
        <w:tblLayout w:type="fixed"/>
        <w:tblLook w:val="01E0" w:firstRow="1" w:lastRow="1" w:firstColumn="1" w:lastColumn="1" w:noHBand="0" w:noVBand="0"/>
      </w:tblPr>
      <w:tblGrid>
        <w:gridCol w:w="1134"/>
        <w:gridCol w:w="7936"/>
      </w:tblGrid>
      <w:tr w:rsidR="00AC4B33" w:rsidRPr="007B2FCE" w14:paraId="6FEB0FA0"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0FAAD25A" w14:textId="77777777" w:rsidR="00AC4B33" w:rsidRPr="007B2FCE" w:rsidRDefault="00AC4B33" w:rsidP="0064061F">
            <w:pPr>
              <w:rPr>
                <w:noProof/>
              </w:rPr>
            </w:pPr>
          </w:p>
        </w:tc>
        <w:tc>
          <w:tcPr>
            <w:tcW w:w="7936" w:type="dxa"/>
          </w:tcPr>
          <w:p w14:paraId="27548124" w14:textId="77777777" w:rsidR="00AC4B33" w:rsidRPr="007B2FCE" w:rsidRDefault="00AC4B33" w:rsidP="0064061F">
            <w:pPr>
              <w:cnfStyle w:val="000000000000" w:firstRow="0" w:lastRow="0" w:firstColumn="0" w:lastColumn="0" w:oddVBand="0" w:evenVBand="0" w:oddHBand="0" w:evenHBand="0" w:firstRowFirstColumn="0" w:firstRowLastColumn="0" w:lastRowFirstColumn="0" w:lastRowLastColumn="0"/>
              <w:rPr>
                <w:noProof/>
              </w:rPr>
            </w:pPr>
          </w:p>
        </w:tc>
      </w:tr>
      <w:tr w:rsidR="00AC4B33" w:rsidRPr="007B2FCE" w14:paraId="1D67BDAE" w14:textId="77777777" w:rsidTr="0064061F">
        <w:tc>
          <w:tcPr>
            <w:tcW w:w="9070" w:type="dxa"/>
            <w:gridSpan w:val="2"/>
            <w:tcMar>
              <w:top w:w="198" w:type="dxa"/>
              <w:bottom w:w="227" w:type="dxa"/>
            </w:tcMar>
          </w:tcPr>
          <w:p w14:paraId="27C36D41" w14:textId="77777777" w:rsidR="00AC4B33" w:rsidRDefault="00AC4B33" w:rsidP="0064061F">
            <w:pPr>
              <w:pStyle w:val="NoSpacing"/>
              <w:rPr>
                <w:b/>
                <w:bCs/>
              </w:rPr>
            </w:pPr>
            <w:r w:rsidRPr="00B77E81">
              <w:rPr>
                <w:b/>
                <w:bCs/>
              </w:rPr>
              <w:lastRenderedPageBreak/>
              <w:t>What the Rules say</w:t>
            </w:r>
          </w:p>
          <w:p w14:paraId="6E8E1CF8" w14:textId="77777777" w:rsidR="001B515A" w:rsidRDefault="001B515A" w:rsidP="001B515A">
            <w:r>
              <w:t xml:space="preserve">The Rules allow Services Australia to disclose claims information to the Department of Health to enable Medicare to perform ‘health provider compliance functions.’ </w:t>
            </w:r>
          </w:p>
          <w:p w14:paraId="5CFA57DE" w14:textId="77777777" w:rsidR="001B515A" w:rsidRDefault="001B515A" w:rsidP="001B515A">
            <w:r>
              <w:t xml:space="preserve">Services Australia may disclose claims information to the Department of Health in other circumstances but generally such information must not include personal identification components – though Medicare PINs and encrypted Medicare card numbers are able to be shared. </w:t>
            </w:r>
          </w:p>
          <w:p w14:paraId="0F432178" w14:textId="0B09D092" w:rsidR="001B515A" w:rsidRPr="007B2FCE" w:rsidRDefault="001B515A" w:rsidP="001B515A">
            <w:pPr>
              <w:pStyle w:val="ListBullet"/>
              <w:numPr>
                <w:ilvl w:val="0"/>
                <w:numId w:val="0"/>
              </w:numPr>
            </w:pPr>
            <w:r>
              <w:t>If lawfully sharing claims information with an agency, organisation or individual other than the Department of Health, Services Australia must not provide both the Medicare PIN and name unless a law requires specifically requires it.</w:t>
            </w:r>
          </w:p>
        </w:tc>
      </w:tr>
      <w:tr w:rsidR="00AC4B33" w:rsidRPr="007B2FCE" w14:paraId="1985479B"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2FE481D2" w14:textId="77777777" w:rsidR="00AC4B33" w:rsidRPr="007B2FCE" w:rsidRDefault="00AC4B33" w:rsidP="0064061F">
            <w:pPr>
              <w:rPr>
                <w:noProof/>
              </w:rPr>
            </w:pPr>
          </w:p>
        </w:tc>
        <w:tc>
          <w:tcPr>
            <w:tcW w:w="7936" w:type="dxa"/>
          </w:tcPr>
          <w:p w14:paraId="6C55254F" w14:textId="77777777" w:rsidR="00AC4B33" w:rsidRPr="007B2FCE" w:rsidRDefault="00AC4B33" w:rsidP="0064061F">
            <w:pPr>
              <w:cnfStyle w:val="000000000000" w:firstRow="0" w:lastRow="0" w:firstColumn="0" w:lastColumn="0" w:oddVBand="0" w:evenVBand="0" w:oddHBand="0" w:evenHBand="0" w:firstRowFirstColumn="0" w:firstRowLastColumn="0" w:lastRowFirstColumn="0" w:lastRowLastColumn="0"/>
              <w:rPr>
                <w:noProof/>
              </w:rPr>
            </w:pPr>
          </w:p>
        </w:tc>
      </w:tr>
    </w:tbl>
    <w:p w14:paraId="1AAAA3E6" w14:textId="77777777" w:rsidR="001B515A" w:rsidRDefault="009F1502" w:rsidP="00117C07">
      <w:r>
        <w:br/>
      </w:r>
      <w:r w:rsidR="001B515A">
        <w:t>The disclosure provisions in the Rules mostly relate to how Services Australia and the Department of Health interact to enable the Department of Health to carry out delegated Medicare functions and activities. For example, the Department of Health monitors health providers and makes sure they are doing the right thing when they claim MBS and PBS benefits on behalf of their patients or customers. To carry out this function and take enforcement action, the Department of Health needs to collect and use claims information.</w:t>
      </w:r>
    </w:p>
    <w:p w14:paraId="1F5E78D0" w14:textId="77777777" w:rsidR="001B515A" w:rsidRDefault="001B515A" w:rsidP="00117C07">
      <w:r>
        <w:t>Disclosure of claims information to other entities other than the Department of Health must be ‘lawful’. This means that it must not be prohibited by another law and, if the information includes personal information, would need to comply with APP 6.</w:t>
      </w:r>
    </w:p>
    <w:p w14:paraId="064D7744" w14:textId="77777777" w:rsidR="001B515A" w:rsidRDefault="001B515A" w:rsidP="001B515A">
      <w:r>
        <w:t>A later section of the Rules enables disclosure of claims information for medical research.</w:t>
      </w:r>
    </w:p>
    <w:tbl>
      <w:tblPr>
        <w:tblStyle w:val="CalloutC1"/>
        <w:tblW w:w="0" w:type="auto"/>
        <w:tblLayout w:type="fixed"/>
        <w:tblLook w:val="01E0" w:firstRow="1" w:lastRow="1" w:firstColumn="1" w:lastColumn="1" w:noHBand="0" w:noVBand="0"/>
      </w:tblPr>
      <w:tblGrid>
        <w:gridCol w:w="1134"/>
        <w:gridCol w:w="7936"/>
      </w:tblGrid>
      <w:tr w:rsidR="000C5B9F" w:rsidRPr="007B2FCE" w14:paraId="216D7B38"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470048B7" w14:textId="77777777" w:rsidR="000C5B9F" w:rsidRPr="007B2FCE" w:rsidRDefault="000C5B9F" w:rsidP="0064061F">
            <w:pPr>
              <w:rPr>
                <w:noProof/>
              </w:rPr>
            </w:pPr>
          </w:p>
        </w:tc>
        <w:tc>
          <w:tcPr>
            <w:tcW w:w="7936" w:type="dxa"/>
          </w:tcPr>
          <w:p w14:paraId="70F27B34" w14:textId="77777777" w:rsidR="000C5B9F" w:rsidRPr="007B2FCE" w:rsidRDefault="000C5B9F" w:rsidP="0064061F">
            <w:pPr>
              <w:cnfStyle w:val="000000000000" w:firstRow="0" w:lastRow="0" w:firstColumn="0" w:lastColumn="0" w:oddVBand="0" w:evenVBand="0" w:oddHBand="0" w:evenHBand="0" w:firstRowFirstColumn="0" w:firstRowLastColumn="0" w:lastRowFirstColumn="0" w:lastRowLastColumn="0"/>
              <w:rPr>
                <w:noProof/>
              </w:rPr>
            </w:pPr>
          </w:p>
        </w:tc>
      </w:tr>
      <w:tr w:rsidR="000C5B9F" w:rsidRPr="007B2FCE" w14:paraId="1719FE9A" w14:textId="77777777" w:rsidTr="0064061F">
        <w:tc>
          <w:tcPr>
            <w:tcW w:w="9070" w:type="dxa"/>
            <w:gridSpan w:val="2"/>
            <w:tcMar>
              <w:top w:w="198" w:type="dxa"/>
              <w:bottom w:w="227" w:type="dxa"/>
            </w:tcMar>
          </w:tcPr>
          <w:p w14:paraId="001CDA9B" w14:textId="77777777" w:rsidR="000C5B9F" w:rsidRPr="00C34D0D" w:rsidRDefault="000C5B9F" w:rsidP="0064061F">
            <w:pPr>
              <w:pStyle w:val="ListNumber"/>
              <w:numPr>
                <w:ilvl w:val="0"/>
                <w:numId w:val="0"/>
              </w:numPr>
              <w:ind w:left="284" w:hanging="284"/>
              <w:rPr>
                <w:b/>
                <w:bCs/>
              </w:rPr>
            </w:pPr>
            <w:r>
              <w:rPr>
                <w:b/>
                <w:bCs/>
              </w:rPr>
              <w:t>Questions</w:t>
            </w:r>
          </w:p>
          <w:p w14:paraId="24285FE3" w14:textId="77777777" w:rsidR="001B515A" w:rsidRDefault="001B515A" w:rsidP="001B515A">
            <w:pPr>
              <w:pStyle w:val="ListNumber"/>
            </w:pPr>
            <w:r>
              <w:t>Do disclosure provisions get the balance right between data sharing and protection of privacy? Why or why not?</w:t>
            </w:r>
          </w:p>
          <w:p w14:paraId="6FD9F1B1" w14:textId="3BF34D99" w:rsidR="000C5B9F" w:rsidRPr="0010199A" w:rsidRDefault="001B515A" w:rsidP="001B515A">
            <w:pPr>
              <w:pStyle w:val="ListNumber"/>
              <w:rPr>
                <w:rFonts w:eastAsiaTheme="minorEastAsia"/>
                <w:szCs w:val="20"/>
              </w:rPr>
            </w:pPr>
            <w:r>
              <w:t>Is APP 6 adequate for regulating disclosure of claims information? What additional requirements, if any, need to be spelt out in the Rules?</w:t>
            </w:r>
          </w:p>
        </w:tc>
      </w:tr>
      <w:tr w:rsidR="000C5B9F" w:rsidRPr="007B2FCE" w14:paraId="3013FC8D"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5B49119E" w14:textId="77777777" w:rsidR="000C5B9F" w:rsidRPr="007B2FCE" w:rsidRDefault="000C5B9F" w:rsidP="0064061F">
            <w:pPr>
              <w:pStyle w:val="BodyText"/>
              <w:rPr>
                <w:noProof/>
              </w:rPr>
            </w:pPr>
          </w:p>
        </w:tc>
        <w:tc>
          <w:tcPr>
            <w:tcW w:w="7936" w:type="dxa"/>
          </w:tcPr>
          <w:p w14:paraId="1D35B2AB" w14:textId="77777777" w:rsidR="000C5B9F" w:rsidRPr="007B2FCE" w:rsidRDefault="000C5B9F" w:rsidP="0064061F">
            <w:pPr>
              <w:pStyle w:val="BodyText"/>
              <w:cnfStyle w:val="000000000000" w:firstRow="0" w:lastRow="0" w:firstColumn="0" w:lastColumn="0" w:oddVBand="0" w:evenVBand="0" w:oddHBand="0" w:evenHBand="0" w:firstRowFirstColumn="0" w:firstRowLastColumn="0" w:lastRowFirstColumn="0" w:lastRowLastColumn="0"/>
              <w:rPr>
                <w:noProof/>
              </w:rPr>
            </w:pPr>
          </w:p>
        </w:tc>
      </w:tr>
    </w:tbl>
    <w:p w14:paraId="240168BA" w14:textId="380574A8" w:rsidR="009F1502" w:rsidRDefault="009F1502" w:rsidP="000C5B9F">
      <w:pPr>
        <w:pStyle w:val="Heading3"/>
        <w:numPr>
          <w:ilvl w:val="0"/>
          <w:numId w:val="0"/>
        </w:numPr>
      </w:pPr>
      <w:bookmarkStart w:id="82" w:name="_Toc70428106"/>
      <w:bookmarkStart w:id="83" w:name="_Toc70438327"/>
      <w:bookmarkStart w:id="84" w:name="_Toc71034708"/>
      <w:r>
        <w:t>Linkage of claims information</w:t>
      </w:r>
      <w:bookmarkEnd w:id="82"/>
      <w:bookmarkEnd w:id="83"/>
      <w:bookmarkEnd w:id="84"/>
    </w:p>
    <w:tbl>
      <w:tblPr>
        <w:tblStyle w:val="CalloutD1"/>
        <w:tblW w:w="0" w:type="auto"/>
        <w:tblLayout w:type="fixed"/>
        <w:tblLook w:val="01E0" w:firstRow="1" w:lastRow="1" w:firstColumn="1" w:lastColumn="1" w:noHBand="0" w:noVBand="0"/>
      </w:tblPr>
      <w:tblGrid>
        <w:gridCol w:w="1134"/>
        <w:gridCol w:w="7936"/>
      </w:tblGrid>
      <w:tr w:rsidR="000C5B9F" w:rsidRPr="007B2FCE" w14:paraId="5E531A62"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13302725" w14:textId="77777777" w:rsidR="000C5B9F" w:rsidRPr="007B2FCE" w:rsidRDefault="000C5B9F" w:rsidP="0064061F">
            <w:pPr>
              <w:rPr>
                <w:noProof/>
              </w:rPr>
            </w:pPr>
          </w:p>
        </w:tc>
        <w:tc>
          <w:tcPr>
            <w:tcW w:w="7936" w:type="dxa"/>
          </w:tcPr>
          <w:p w14:paraId="395A754F" w14:textId="77777777" w:rsidR="000C5B9F" w:rsidRPr="007B2FCE" w:rsidRDefault="000C5B9F" w:rsidP="0064061F">
            <w:pPr>
              <w:cnfStyle w:val="000000000000" w:firstRow="0" w:lastRow="0" w:firstColumn="0" w:lastColumn="0" w:oddVBand="0" w:evenVBand="0" w:oddHBand="0" w:evenHBand="0" w:firstRowFirstColumn="0" w:firstRowLastColumn="0" w:lastRowFirstColumn="0" w:lastRowLastColumn="0"/>
              <w:rPr>
                <w:noProof/>
              </w:rPr>
            </w:pPr>
          </w:p>
        </w:tc>
      </w:tr>
      <w:tr w:rsidR="000C5B9F" w:rsidRPr="007B2FCE" w14:paraId="7E2234A3" w14:textId="77777777" w:rsidTr="0064061F">
        <w:tc>
          <w:tcPr>
            <w:tcW w:w="9070" w:type="dxa"/>
            <w:gridSpan w:val="2"/>
            <w:tcMar>
              <w:top w:w="198" w:type="dxa"/>
              <w:bottom w:w="227" w:type="dxa"/>
            </w:tcMar>
          </w:tcPr>
          <w:p w14:paraId="352814C4" w14:textId="77777777" w:rsidR="000C5B9F" w:rsidRDefault="000C5B9F" w:rsidP="0064061F">
            <w:pPr>
              <w:pStyle w:val="NoSpacing"/>
              <w:rPr>
                <w:b/>
                <w:bCs/>
              </w:rPr>
            </w:pPr>
            <w:r w:rsidRPr="00B77E81">
              <w:rPr>
                <w:b/>
                <w:bCs/>
              </w:rPr>
              <w:t>What the Rules say</w:t>
            </w:r>
          </w:p>
          <w:p w14:paraId="0BCC439C" w14:textId="77777777" w:rsidR="001B515A" w:rsidRDefault="001B515A" w:rsidP="001B515A">
            <w:r>
              <w:lastRenderedPageBreak/>
              <w:t>The Rules allow Services Australia and the Department of Health to link claims information held in the MBS and PBS databases but only in prescribed circumstances. These include where the linkage is:</w:t>
            </w:r>
            <w:r>
              <w:rPr>
                <w:rStyle w:val="FootnoteReference"/>
              </w:rPr>
              <w:footnoteReference w:id="11"/>
            </w:r>
          </w:p>
          <w:p w14:paraId="364A6AEC" w14:textId="77777777" w:rsidR="001B515A" w:rsidRPr="001B515A" w:rsidRDefault="001B515A" w:rsidP="001B515A">
            <w:pPr>
              <w:pStyle w:val="ListBullet"/>
              <w:rPr>
                <w:rFonts w:eastAsiaTheme="minorEastAsia"/>
                <w:szCs w:val="20"/>
              </w:rPr>
            </w:pPr>
            <w:r w:rsidRPr="001B515A">
              <w:rPr>
                <w:rFonts w:eastAsiaTheme="minorEastAsia"/>
                <w:szCs w:val="20"/>
              </w:rPr>
              <w:t>necessary to enforce a law</w:t>
            </w:r>
          </w:p>
          <w:p w14:paraId="5FF4C2DD" w14:textId="77777777" w:rsidR="001B515A" w:rsidRPr="001B515A" w:rsidRDefault="001B515A" w:rsidP="001B515A">
            <w:pPr>
              <w:pStyle w:val="ListBullet"/>
              <w:rPr>
                <w:rFonts w:eastAsiaTheme="minorEastAsia"/>
                <w:szCs w:val="20"/>
              </w:rPr>
            </w:pPr>
            <w:r w:rsidRPr="001B515A">
              <w:rPr>
                <w:rFonts w:eastAsiaTheme="minorEastAsia"/>
                <w:szCs w:val="20"/>
              </w:rPr>
              <w:t xml:space="preserve">required by law </w:t>
            </w:r>
          </w:p>
          <w:p w14:paraId="4BE47E0A" w14:textId="77777777" w:rsidR="001B515A" w:rsidRPr="001B515A" w:rsidRDefault="001B515A" w:rsidP="001B515A">
            <w:pPr>
              <w:pStyle w:val="ListBullet"/>
              <w:rPr>
                <w:rFonts w:eastAsiaTheme="minorEastAsia"/>
                <w:szCs w:val="20"/>
              </w:rPr>
            </w:pPr>
            <w:r w:rsidRPr="001B515A">
              <w:rPr>
                <w:rFonts w:eastAsiaTheme="minorEastAsia"/>
                <w:szCs w:val="20"/>
              </w:rPr>
              <w:t xml:space="preserve">for the protection of the public revenue </w:t>
            </w:r>
          </w:p>
          <w:p w14:paraId="17C412BD" w14:textId="77777777" w:rsidR="001B515A" w:rsidRPr="001B515A" w:rsidRDefault="001B515A" w:rsidP="001B515A">
            <w:pPr>
              <w:pStyle w:val="ListBullet"/>
              <w:rPr>
                <w:rFonts w:eastAsiaTheme="minorEastAsia"/>
                <w:szCs w:val="20"/>
              </w:rPr>
            </w:pPr>
            <w:r w:rsidRPr="001B515A">
              <w:rPr>
                <w:rFonts w:eastAsiaTheme="minorEastAsia"/>
                <w:szCs w:val="20"/>
              </w:rPr>
              <w:t>necessary to determine an individual’s eligibility for benefits</w:t>
            </w:r>
          </w:p>
          <w:p w14:paraId="580F8C9D" w14:textId="77777777" w:rsidR="001B515A" w:rsidRPr="001B515A" w:rsidRDefault="001B515A" w:rsidP="001B515A">
            <w:pPr>
              <w:pStyle w:val="ListBullet"/>
              <w:rPr>
                <w:rFonts w:eastAsiaTheme="minorEastAsia"/>
                <w:szCs w:val="20"/>
              </w:rPr>
            </w:pPr>
            <w:r w:rsidRPr="001B515A">
              <w:rPr>
                <w:rFonts w:eastAsiaTheme="minorEastAsia"/>
                <w:szCs w:val="20"/>
              </w:rPr>
              <w:t>necessary to prevent or lessen a serious and imminent threat to the life or health of any individual</w:t>
            </w:r>
          </w:p>
          <w:p w14:paraId="5DB18402" w14:textId="67924677" w:rsidR="001B515A" w:rsidRPr="007B2FCE" w:rsidRDefault="001B515A" w:rsidP="001B515A">
            <w:pPr>
              <w:pStyle w:val="ListBullet"/>
              <w:numPr>
                <w:ilvl w:val="0"/>
                <w:numId w:val="0"/>
              </w:numPr>
              <w:ind w:left="284" w:hanging="284"/>
            </w:pPr>
            <w:r>
              <w:t>to enable disclosure to an individual when that individual has given their consent.</w:t>
            </w:r>
          </w:p>
        </w:tc>
      </w:tr>
      <w:tr w:rsidR="000C5B9F" w:rsidRPr="007B2FCE" w14:paraId="1EDECEBD"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014A5159" w14:textId="77777777" w:rsidR="000C5B9F" w:rsidRPr="007B2FCE" w:rsidRDefault="000C5B9F" w:rsidP="0064061F">
            <w:pPr>
              <w:rPr>
                <w:noProof/>
              </w:rPr>
            </w:pPr>
          </w:p>
        </w:tc>
        <w:tc>
          <w:tcPr>
            <w:tcW w:w="7936" w:type="dxa"/>
          </w:tcPr>
          <w:p w14:paraId="1B1F67D3" w14:textId="77777777" w:rsidR="000C5B9F" w:rsidRPr="007B2FCE" w:rsidRDefault="000C5B9F" w:rsidP="0064061F">
            <w:pPr>
              <w:cnfStyle w:val="000000000000" w:firstRow="0" w:lastRow="0" w:firstColumn="0" w:lastColumn="0" w:oddVBand="0" w:evenVBand="0" w:oddHBand="0" w:evenHBand="0" w:firstRowFirstColumn="0" w:firstRowLastColumn="0" w:lastRowFirstColumn="0" w:lastRowLastColumn="0"/>
              <w:rPr>
                <w:noProof/>
              </w:rPr>
            </w:pPr>
          </w:p>
        </w:tc>
      </w:tr>
    </w:tbl>
    <w:p w14:paraId="7F6AFAE1" w14:textId="6B840ABD" w:rsidR="009F1502" w:rsidRDefault="009F1502" w:rsidP="009F1502">
      <w:r>
        <w:br/>
        <w:t xml:space="preserve">The Rules state that linked claims information must not include the Medicare PIN (unless this is required by law). Historically, the Rules have stopped Services Australia or the Department of Health from establishing a data-matching program between MBS and PBS data. However, this provision has been affected by recent amendments to the National Health Act which allow data-matching involving certain </w:t>
      </w:r>
      <w:r w:rsidRPr="00250D30">
        <w:t xml:space="preserve">information that is held or has been obtained by the Chief Executive Medicare for </w:t>
      </w:r>
      <w:r>
        <w:t>compliance-related permitted purposes.</w:t>
      </w:r>
    </w:p>
    <w:tbl>
      <w:tblPr>
        <w:tblStyle w:val="CalloutC1"/>
        <w:tblW w:w="0" w:type="auto"/>
        <w:tblLayout w:type="fixed"/>
        <w:tblLook w:val="01E0" w:firstRow="1" w:lastRow="1" w:firstColumn="1" w:lastColumn="1" w:noHBand="0" w:noVBand="0"/>
      </w:tblPr>
      <w:tblGrid>
        <w:gridCol w:w="1134"/>
        <w:gridCol w:w="7936"/>
      </w:tblGrid>
      <w:tr w:rsidR="00796FAC" w:rsidRPr="007B2FCE" w14:paraId="6C2D1AFD"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1CCF0CB9" w14:textId="77777777" w:rsidR="00796FAC" w:rsidRPr="007B2FCE" w:rsidRDefault="00796FAC" w:rsidP="0064061F">
            <w:pPr>
              <w:rPr>
                <w:noProof/>
              </w:rPr>
            </w:pPr>
          </w:p>
        </w:tc>
        <w:tc>
          <w:tcPr>
            <w:tcW w:w="7936" w:type="dxa"/>
          </w:tcPr>
          <w:p w14:paraId="4E27E947" w14:textId="77777777" w:rsidR="00796FAC" w:rsidRPr="007B2FCE" w:rsidRDefault="00796FAC" w:rsidP="0064061F">
            <w:pPr>
              <w:cnfStyle w:val="000000000000" w:firstRow="0" w:lastRow="0" w:firstColumn="0" w:lastColumn="0" w:oddVBand="0" w:evenVBand="0" w:oddHBand="0" w:evenHBand="0" w:firstRowFirstColumn="0" w:firstRowLastColumn="0" w:lastRowFirstColumn="0" w:lastRowLastColumn="0"/>
              <w:rPr>
                <w:noProof/>
              </w:rPr>
            </w:pPr>
          </w:p>
        </w:tc>
      </w:tr>
      <w:tr w:rsidR="00796FAC" w:rsidRPr="007B2FCE" w14:paraId="4B46F351" w14:textId="77777777" w:rsidTr="0064061F">
        <w:tc>
          <w:tcPr>
            <w:tcW w:w="9070" w:type="dxa"/>
            <w:gridSpan w:val="2"/>
            <w:tcMar>
              <w:top w:w="198" w:type="dxa"/>
              <w:bottom w:w="227" w:type="dxa"/>
            </w:tcMar>
          </w:tcPr>
          <w:p w14:paraId="19713FB8" w14:textId="77777777" w:rsidR="00796FAC" w:rsidRPr="00C34D0D" w:rsidRDefault="00796FAC" w:rsidP="0064061F">
            <w:pPr>
              <w:pStyle w:val="ListNumber"/>
              <w:numPr>
                <w:ilvl w:val="0"/>
                <w:numId w:val="0"/>
              </w:numPr>
              <w:ind w:left="284" w:hanging="284"/>
              <w:rPr>
                <w:b/>
                <w:bCs/>
              </w:rPr>
            </w:pPr>
            <w:r>
              <w:rPr>
                <w:b/>
                <w:bCs/>
              </w:rPr>
              <w:t>Questions</w:t>
            </w:r>
          </w:p>
          <w:p w14:paraId="093B8416" w14:textId="1B5C0B2B" w:rsidR="00796FAC" w:rsidRPr="0010199A" w:rsidRDefault="001B515A" w:rsidP="0064061F">
            <w:pPr>
              <w:pStyle w:val="ListNumber"/>
              <w:rPr>
                <w:rFonts w:eastAsiaTheme="minorEastAsia"/>
                <w:szCs w:val="20"/>
              </w:rPr>
            </w:pPr>
            <w:r>
              <w:t>Should linkage of MBS and PBS claims information be allowed in other circumstances? What circumstances and why? How could this be done in a way that continues to protect privacy?</w:t>
            </w:r>
          </w:p>
        </w:tc>
      </w:tr>
      <w:tr w:rsidR="00796FAC" w:rsidRPr="007B2FCE" w14:paraId="02151C9E"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7BF15485" w14:textId="77777777" w:rsidR="00796FAC" w:rsidRPr="007B2FCE" w:rsidRDefault="00796FAC" w:rsidP="0064061F">
            <w:pPr>
              <w:pStyle w:val="BodyText"/>
              <w:rPr>
                <w:noProof/>
              </w:rPr>
            </w:pPr>
          </w:p>
        </w:tc>
        <w:tc>
          <w:tcPr>
            <w:tcW w:w="7936" w:type="dxa"/>
          </w:tcPr>
          <w:p w14:paraId="74447A4F" w14:textId="77777777" w:rsidR="00796FAC" w:rsidRPr="007B2FCE" w:rsidRDefault="00796FAC" w:rsidP="0064061F">
            <w:pPr>
              <w:pStyle w:val="BodyText"/>
              <w:cnfStyle w:val="000000000000" w:firstRow="0" w:lastRow="0" w:firstColumn="0" w:lastColumn="0" w:oddVBand="0" w:evenVBand="0" w:oddHBand="0" w:evenHBand="0" w:firstRowFirstColumn="0" w:firstRowLastColumn="0" w:lastRowFirstColumn="0" w:lastRowLastColumn="0"/>
              <w:rPr>
                <w:noProof/>
              </w:rPr>
            </w:pPr>
          </w:p>
        </w:tc>
      </w:tr>
    </w:tbl>
    <w:p w14:paraId="106B85A2" w14:textId="1531C374" w:rsidR="009F1502" w:rsidRDefault="009F1502" w:rsidP="00E1276B">
      <w:pPr>
        <w:pStyle w:val="Heading3"/>
        <w:numPr>
          <w:ilvl w:val="0"/>
          <w:numId w:val="0"/>
        </w:numPr>
      </w:pPr>
      <w:bookmarkStart w:id="85" w:name="_Toc70428107"/>
      <w:bookmarkStart w:id="86" w:name="_Toc70438328"/>
      <w:bookmarkStart w:id="87" w:name="_Toc71034709"/>
      <w:r>
        <w:t>Retention and reporting of linked claims information</w:t>
      </w:r>
      <w:bookmarkEnd w:id="85"/>
      <w:bookmarkEnd w:id="86"/>
      <w:bookmarkEnd w:id="87"/>
    </w:p>
    <w:tbl>
      <w:tblPr>
        <w:tblStyle w:val="CalloutD1"/>
        <w:tblW w:w="0" w:type="auto"/>
        <w:tblLayout w:type="fixed"/>
        <w:tblLook w:val="01E0" w:firstRow="1" w:lastRow="1" w:firstColumn="1" w:lastColumn="1" w:noHBand="0" w:noVBand="0"/>
      </w:tblPr>
      <w:tblGrid>
        <w:gridCol w:w="1134"/>
        <w:gridCol w:w="7936"/>
      </w:tblGrid>
      <w:tr w:rsidR="00C847ED" w:rsidRPr="007B2FCE" w14:paraId="47D8EE0B"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334A8A08" w14:textId="77777777" w:rsidR="00C847ED" w:rsidRPr="007B2FCE" w:rsidRDefault="00C847ED" w:rsidP="0064061F">
            <w:pPr>
              <w:rPr>
                <w:noProof/>
              </w:rPr>
            </w:pPr>
          </w:p>
        </w:tc>
        <w:tc>
          <w:tcPr>
            <w:tcW w:w="7936" w:type="dxa"/>
          </w:tcPr>
          <w:p w14:paraId="4D9E2AB3" w14:textId="77777777" w:rsidR="00C847ED" w:rsidRPr="007B2FCE" w:rsidRDefault="00C847ED" w:rsidP="0064061F">
            <w:pPr>
              <w:cnfStyle w:val="000000000000" w:firstRow="0" w:lastRow="0" w:firstColumn="0" w:lastColumn="0" w:oddVBand="0" w:evenVBand="0" w:oddHBand="0" w:evenHBand="0" w:firstRowFirstColumn="0" w:firstRowLastColumn="0" w:lastRowFirstColumn="0" w:lastRowLastColumn="0"/>
              <w:rPr>
                <w:noProof/>
              </w:rPr>
            </w:pPr>
          </w:p>
        </w:tc>
      </w:tr>
      <w:tr w:rsidR="00C847ED" w:rsidRPr="007B2FCE" w14:paraId="5E76FDD8" w14:textId="77777777" w:rsidTr="0064061F">
        <w:tc>
          <w:tcPr>
            <w:tcW w:w="9070" w:type="dxa"/>
            <w:gridSpan w:val="2"/>
            <w:tcMar>
              <w:top w:w="198" w:type="dxa"/>
              <w:bottom w:w="227" w:type="dxa"/>
            </w:tcMar>
          </w:tcPr>
          <w:p w14:paraId="6830EDBE" w14:textId="77777777" w:rsidR="00C847ED" w:rsidRDefault="00C847ED" w:rsidP="0064061F">
            <w:pPr>
              <w:pStyle w:val="NoSpacing"/>
              <w:rPr>
                <w:b/>
                <w:bCs/>
              </w:rPr>
            </w:pPr>
            <w:r w:rsidRPr="00B77E81">
              <w:rPr>
                <w:b/>
                <w:bCs/>
              </w:rPr>
              <w:t>What the Rules say</w:t>
            </w:r>
          </w:p>
          <w:p w14:paraId="48C8E595" w14:textId="77777777" w:rsidR="001B515A" w:rsidRDefault="001B515A" w:rsidP="001B515A">
            <w:r>
              <w:t xml:space="preserve">The Rules say that Services Australia and the Department of Health must destroy linked claims information as soon as practicable after meeting the purpose for which it was linked. </w:t>
            </w:r>
            <w:r>
              <w:lastRenderedPageBreak/>
              <w:t>They must also make special arrangements for the security of records of linked claims information.</w:t>
            </w:r>
          </w:p>
          <w:p w14:paraId="08346E45" w14:textId="5E1C5B85" w:rsidR="001B515A" w:rsidRPr="007B2FCE" w:rsidRDefault="001B515A" w:rsidP="001B515A">
            <w:pPr>
              <w:pStyle w:val="ListBullet"/>
              <w:numPr>
                <w:ilvl w:val="0"/>
                <w:numId w:val="0"/>
              </w:numPr>
            </w:pPr>
            <w:r>
              <w:t>Services Australia and the Department of Health must also report to the OAIC certain information about their linkage activities including the number of records linked, the purposes of the linkage, number of linked records that were destroyed and so on.</w:t>
            </w:r>
          </w:p>
        </w:tc>
      </w:tr>
      <w:tr w:rsidR="00C847ED" w:rsidRPr="007B2FCE" w14:paraId="26C28F04"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15F52AD4" w14:textId="77777777" w:rsidR="00C847ED" w:rsidRPr="007B2FCE" w:rsidRDefault="00C847ED" w:rsidP="0064061F">
            <w:pPr>
              <w:rPr>
                <w:noProof/>
              </w:rPr>
            </w:pPr>
          </w:p>
        </w:tc>
        <w:tc>
          <w:tcPr>
            <w:tcW w:w="7936" w:type="dxa"/>
          </w:tcPr>
          <w:p w14:paraId="7978B4F2" w14:textId="77777777" w:rsidR="00C847ED" w:rsidRPr="007B2FCE" w:rsidRDefault="00C847ED" w:rsidP="0064061F">
            <w:pPr>
              <w:cnfStyle w:val="000000000000" w:firstRow="0" w:lastRow="0" w:firstColumn="0" w:lastColumn="0" w:oddVBand="0" w:evenVBand="0" w:oddHBand="0" w:evenHBand="0" w:firstRowFirstColumn="0" w:firstRowLastColumn="0" w:lastRowFirstColumn="0" w:lastRowLastColumn="0"/>
              <w:rPr>
                <w:noProof/>
              </w:rPr>
            </w:pPr>
          </w:p>
        </w:tc>
      </w:tr>
    </w:tbl>
    <w:p w14:paraId="27FB54EE" w14:textId="77777777" w:rsidR="001B515A" w:rsidRDefault="001B515A" w:rsidP="009F1502"/>
    <w:p w14:paraId="12802FD2" w14:textId="556F401C" w:rsidR="001B515A" w:rsidRDefault="001B515A" w:rsidP="009F1502">
      <w:r>
        <w:t xml:space="preserve">The destruction requirements in the Rules act as a form of protection against function creep and unauthorised secondary use or disclosure of linked claims information. However, the strictness of the destruction requirements may reduce the utility of data linkage and curtail use of the linked information for reasonable and lawful purposes. Data linkage conducted in conjunction with other programs – for example, by the ABS for the </w:t>
      </w:r>
      <w:hyperlink r:id="rId22" w:history="1">
        <w:r w:rsidRPr="00BE3032">
          <w:rPr>
            <w:rStyle w:val="Hyperlink"/>
          </w:rPr>
          <w:t>Multi-Agency Data Integration Project</w:t>
        </w:r>
      </w:hyperlink>
      <w:r>
        <w:t xml:space="preserve"> (MADIP) – is not subject to the same strict destruction requirements.</w:t>
      </w:r>
    </w:p>
    <w:tbl>
      <w:tblPr>
        <w:tblStyle w:val="CalloutC1"/>
        <w:tblW w:w="0" w:type="auto"/>
        <w:tblLayout w:type="fixed"/>
        <w:tblLook w:val="01E0" w:firstRow="1" w:lastRow="1" w:firstColumn="1" w:lastColumn="1" w:noHBand="0" w:noVBand="0"/>
      </w:tblPr>
      <w:tblGrid>
        <w:gridCol w:w="1134"/>
        <w:gridCol w:w="7936"/>
      </w:tblGrid>
      <w:tr w:rsidR="00781A36" w:rsidRPr="007B2FCE" w14:paraId="7DB10D2E"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4AEB3D8C" w14:textId="77777777" w:rsidR="00781A36" w:rsidRPr="007B2FCE" w:rsidRDefault="00781A36" w:rsidP="0064061F">
            <w:pPr>
              <w:rPr>
                <w:noProof/>
              </w:rPr>
            </w:pPr>
          </w:p>
        </w:tc>
        <w:tc>
          <w:tcPr>
            <w:tcW w:w="7936" w:type="dxa"/>
          </w:tcPr>
          <w:p w14:paraId="3DA4FE00" w14:textId="77777777" w:rsidR="00781A36" w:rsidRPr="007B2FCE" w:rsidRDefault="00781A36" w:rsidP="0064061F">
            <w:pPr>
              <w:cnfStyle w:val="000000000000" w:firstRow="0" w:lastRow="0" w:firstColumn="0" w:lastColumn="0" w:oddVBand="0" w:evenVBand="0" w:oddHBand="0" w:evenHBand="0" w:firstRowFirstColumn="0" w:firstRowLastColumn="0" w:lastRowFirstColumn="0" w:lastRowLastColumn="0"/>
              <w:rPr>
                <w:noProof/>
              </w:rPr>
            </w:pPr>
          </w:p>
        </w:tc>
      </w:tr>
      <w:tr w:rsidR="00781A36" w:rsidRPr="007B2FCE" w14:paraId="4880B02E" w14:textId="77777777" w:rsidTr="0064061F">
        <w:tc>
          <w:tcPr>
            <w:tcW w:w="9070" w:type="dxa"/>
            <w:gridSpan w:val="2"/>
            <w:tcMar>
              <w:top w:w="198" w:type="dxa"/>
              <w:bottom w:w="227" w:type="dxa"/>
            </w:tcMar>
          </w:tcPr>
          <w:p w14:paraId="0C538CFC" w14:textId="77777777" w:rsidR="00781A36" w:rsidRPr="00C34D0D" w:rsidRDefault="00781A36" w:rsidP="0064061F">
            <w:pPr>
              <w:pStyle w:val="ListNumber"/>
              <w:numPr>
                <w:ilvl w:val="0"/>
                <w:numId w:val="0"/>
              </w:numPr>
              <w:ind w:left="284" w:hanging="284"/>
              <w:rPr>
                <w:b/>
                <w:bCs/>
              </w:rPr>
            </w:pPr>
            <w:r>
              <w:rPr>
                <w:b/>
                <w:bCs/>
              </w:rPr>
              <w:t>Questions</w:t>
            </w:r>
          </w:p>
          <w:p w14:paraId="683A4A87" w14:textId="77777777" w:rsidR="001B515A" w:rsidRDefault="001B515A" w:rsidP="001B515A">
            <w:pPr>
              <w:pStyle w:val="ListNumber"/>
            </w:pPr>
            <w:r>
              <w:t>Are the data retention requirements appropriate? Should linked claims information be able to be retained for longer?</w:t>
            </w:r>
          </w:p>
          <w:p w14:paraId="7C5448FB" w14:textId="1F4A1767" w:rsidR="001B515A" w:rsidRPr="0010199A" w:rsidRDefault="001B515A" w:rsidP="001B515A">
            <w:pPr>
              <w:pStyle w:val="ListNumber"/>
              <w:rPr>
                <w:rFonts w:eastAsiaTheme="minorEastAsia"/>
                <w:szCs w:val="20"/>
              </w:rPr>
            </w:pPr>
            <w:r>
              <w:t>Are reporting arrangements appropriate? Should reporting categories be changed in any way?</w:t>
            </w:r>
          </w:p>
        </w:tc>
      </w:tr>
      <w:tr w:rsidR="00781A36" w:rsidRPr="007B2FCE" w14:paraId="0A22C528"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0BF3BD3D" w14:textId="77777777" w:rsidR="00781A36" w:rsidRPr="007B2FCE" w:rsidRDefault="00781A36" w:rsidP="0064061F">
            <w:pPr>
              <w:pStyle w:val="BodyText"/>
              <w:rPr>
                <w:noProof/>
              </w:rPr>
            </w:pPr>
          </w:p>
        </w:tc>
        <w:tc>
          <w:tcPr>
            <w:tcW w:w="7936" w:type="dxa"/>
          </w:tcPr>
          <w:p w14:paraId="20AF8F8D" w14:textId="77777777" w:rsidR="00781A36" w:rsidRPr="007B2FCE" w:rsidRDefault="00781A36" w:rsidP="0064061F">
            <w:pPr>
              <w:pStyle w:val="BodyText"/>
              <w:cnfStyle w:val="000000000000" w:firstRow="0" w:lastRow="0" w:firstColumn="0" w:lastColumn="0" w:oddVBand="0" w:evenVBand="0" w:oddHBand="0" w:evenHBand="0" w:firstRowFirstColumn="0" w:firstRowLastColumn="0" w:lastRowFirstColumn="0" w:lastRowLastColumn="0"/>
              <w:rPr>
                <w:noProof/>
              </w:rPr>
            </w:pPr>
          </w:p>
        </w:tc>
      </w:tr>
    </w:tbl>
    <w:p w14:paraId="5D1BAF25" w14:textId="11C1C8B7" w:rsidR="009F1502" w:rsidRDefault="009F1502" w:rsidP="00D17286">
      <w:pPr>
        <w:pStyle w:val="Heading3"/>
        <w:numPr>
          <w:ilvl w:val="0"/>
          <w:numId w:val="0"/>
        </w:numPr>
      </w:pPr>
      <w:bookmarkStart w:id="88" w:name="_Toc70428108"/>
      <w:bookmarkStart w:id="89" w:name="_Toc70438329"/>
      <w:bookmarkStart w:id="90" w:name="_Toc71034710"/>
      <w:r>
        <w:t>Old information</w:t>
      </w:r>
      <w:bookmarkEnd w:id="88"/>
      <w:bookmarkEnd w:id="89"/>
      <w:bookmarkEnd w:id="90"/>
      <w:r>
        <w:t xml:space="preserve"> </w:t>
      </w:r>
    </w:p>
    <w:tbl>
      <w:tblPr>
        <w:tblStyle w:val="CalloutD1"/>
        <w:tblW w:w="0" w:type="auto"/>
        <w:tblLayout w:type="fixed"/>
        <w:tblLook w:val="01E0" w:firstRow="1" w:lastRow="1" w:firstColumn="1" w:lastColumn="1" w:noHBand="0" w:noVBand="0"/>
      </w:tblPr>
      <w:tblGrid>
        <w:gridCol w:w="1134"/>
        <w:gridCol w:w="7936"/>
      </w:tblGrid>
      <w:tr w:rsidR="00D17286" w:rsidRPr="007B2FCE" w14:paraId="6E95E73E"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3D7556CB" w14:textId="77777777" w:rsidR="00D17286" w:rsidRPr="007B2FCE" w:rsidRDefault="00D17286" w:rsidP="0064061F">
            <w:pPr>
              <w:rPr>
                <w:noProof/>
              </w:rPr>
            </w:pPr>
          </w:p>
        </w:tc>
        <w:tc>
          <w:tcPr>
            <w:tcW w:w="7936" w:type="dxa"/>
          </w:tcPr>
          <w:p w14:paraId="598F6EAE" w14:textId="77777777" w:rsidR="00D17286" w:rsidRPr="007B2FCE" w:rsidRDefault="00D17286" w:rsidP="0064061F">
            <w:pPr>
              <w:cnfStyle w:val="000000000000" w:firstRow="0" w:lastRow="0" w:firstColumn="0" w:lastColumn="0" w:oddVBand="0" w:evenVBand="0" w:oddHBand="0" w:evenHBand="0" w:firstRowFirstColumn="0" w:firstRowLastColumn="0" w:lastRowFirstColumn="0" w:lastRowLastColumn="0"/>
              <w:rPr>
                <w:noProof/>
              </w:rPr>
            </w:pPr>
          </w:p>
        </w:tc>
      </w:tr>
      <w:tr w:rsidR="00D17286" w:rsidRPr="007B2FCE" w14:paraId="0AA0FE7F" w14:textId="77777777" w:rsidTr="0064061F">
        <w:tc>
          <w:tcPr>
            <w:tcW w:w="9070" w:type="dxa"/>
            <w:gridSpan w:val="2"/>
            <w:tcMar>
              <w:top w:w="198" w:type="dxa"/>
              <w:bottom w:w="227" w:type="dxa"/>
            </w:tcMar>
          </w:tcPr>
          <w:p w14:paraId="07D53428" w14:textId="77777777" w:rsidR="00D17286" w:rsidRDefault="00D17286" w:rsidP="0064061F">
            <w:pPr>
              <w:pStyle w:val="NoSpacing"/>
              <w:rPr>
                <w:b/>
                <w:bCs/>
              </w:rPr>
            </w:pPr>
            <w:r w:rsidRPr="00B77E81">
              <w:rPr>
                <w:b/>
                <w:bCs/>
              </w:rPr>
              <w:t>What the Rules say</w:t>
            </w:r>
          </w:p>
          <w:p w14:paraId="666B6991" w14:textId="77777777" w:rsidR="00D17286" w:rsidRDefault="00D17286" w:rsidP="00D17286">
            <w:r>
              <w:t xml:space="preserve">‘Old information’ (meaning claims information that is five or more years old) is treated differently under the Rules. It must be stored separately from other claims information and with personal identification components removed. Old information may only be linked with personal identification components in certain circumstances prescribed in the Rules. </w:t>
            </w:r>
          </w:p>
          <w:p w14:paraId="3EE24C96" w14:textId="41BDC760" w:rsidR="00D17286" w:rsidRPr="007B2FCE" w:rsidRDefault="00D17286" w:rsidP="00D17286">
            <w:pPr>
              <w:pStyle w:val="ListBullet"/>
              <w:numPr>
                <w:ilvl w:val="0"/>
                <w:numId w:val="0"/>
              </w:numPr>
            </w:pPr>
            <w:r>
              <w:t>As with other forms of linkage, old information linked to personal identification components must be subject to additional security requirements, destroyed as soon as practicable after it has achieved its purpose, and be reported to the OAIC.</w:t>
            </w:r>
          </w:p>
        </w:tc>
      </w:tr>
      <w:tr w:rsidR="00D17286" w:rsidRPr="007B2FCE" w14:paraId="487A8B95"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5D50061B" w14:textId="77777777" w:rsidR="00D17286" w:rsidRPr="007B2FCE" w:rsidRDefault="00D17286" w:rsidP="0064061F">
            <w:pPr>
              <w:rPr>
                <w:noProof/>
              </w:rPr>
            </w:pPr>
          </w:p>
        </w:tc>
        <w:tc>
          <w:tcPr>
            <w:tcW w:w="7936" w:type="dxa"/>
          </w:tcPr>
          <w:p w14:paraId="62072DF2" w14:textId="77777777" w:rsidR="00D17286" w:rsidRPr="007B2FCE" w:rsidRDefault="00D17286" w:rsidP="0064061F">
            <w:pPr>
              <w:cnfStyle w:val="000000000000" w:firstRow="0" w:lastRow="0" w:firstColumn="0" w:lastColumn="0" w:oddVBand="0" w:evenVBand="0" w:oddHBand="0" w:evenHBand="0" w:firstRowFirstColumn="0" w:firstRowLastColumn="0" w:lastRowFirstColumn="0" w:lastRowLastColumn="0"/>
              <w:rPr>
                <w:noProof/>
              </w:rPr>
            </w:pPr>
          </w:p>
        </w:tc>
      </w:tr>
    </w:tbl>
    <w:p w14:paraId="3AF62D58" w14:textId="77777777" w:rsidR="001B515A" w:rsidRDefault="001B515A" w:rsidP="009F1502"/>
    <w:p w14:paraId="0D6AF817" w14:textId="0D0CB130" w:rsidR="001B515A" w:rsidRDefault="001B515A" w:rsidP="009F1502">
      <w:r>
        <w:t xml:space="preserve">The National Health Act states that the Rules must regulate the handling of ‘old information’. In particular, they must require old information to be stored without personal identification </w:t>
      </w:r>
      <w:r>
        <w:lastRenderedPageBreak/>
        <w:t>components and specify the circumstances in which old information may be re-linked with those components. Therefore, the OAIC cannot revise the Rules to change this storage requirement for old information. However, the OAIC can vary the circumstances in which old information may be re-linked.</w:t>
      </w:r>
    </w:p>
    <w:tbl>
      <w:tblPr>
        <w:tblStyle w:val="CalloutC1"/>
        <w:tblW w:w="0" w:type="auto"/>
        <w:tblLayout w:type="fixed"/>
        <w:tblLook w:val="01E0" w:firstRow="1" w:lastRow="1" w:firstColumn="1" w:lastColumn="1" w:noHBand="0" w:noVBand="0"/>
      </w:tblPr>
      <w:tblGrid>
        <w:gridCol w:w="1134"/>
        <w:gridCol w:w="7936"/>
      </w:tblGrid>
      <w:tr w:rsidR="00D17286" w:rsidRPr="007B2FCE" w14:paraId="5A45E48E"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3E82ED6D" w14:textId="77777777" w:rsidR="00D17286" w:rsidRPr="007B2FCE" w:rsidRDefault="00D17286" w:rsidP="0064061F">
            <w:pPr>
              <w:rPr>
                <w:noProof/>
              </w:rPr>
            </w:pPr>
          </w:p>
        </w:tc>
        <w:tc>
          <w:tcPr>
            <w:tcW w:w="7936" w:type="dxa"/>
          </w:tcPr>
          <w:p w14:paraId="3FDB472A" w14:textId="77777777" w:rsidR="00D17286" w:rsidRPr="007B2FCE" w:rsidRDefault="00D17286" w:rsidP="0064061F">
            <w:pPr>
              <w:cnfStyle w:val="000000000000" w:firstRow="0" w:lastRow="0" w:firstColumn="0" w:lastColumn="0" w:oddVBand="0" w:evenVBand="0" w:oddHBand="0" w:evenHBand="0" w:firstRowFirstColumn="0" w:firstRowLastColumn="0" w:lastRowFirstColumn="0" w:lastRowLastColumn="0"/>
              <w:rPr>
                <w:noProof/>
              </w:rPr>
            </w:pPr>
          </w:p>
        </w:tc>
      </w:tr>
      <w:tr w:rsidR="00D17286" w:rsidRPr="007B2FCE" w14:paraId="51D134DD" w14:textId="77777777" w:rsidTr="0064061F">
        <w:tc>
          <w:tcPr>
            <w:tcW w:w="9070" w:type="dxa"/>
            <w:gridSpan w:val="2"/>
            <w:tcMar>
              <w:top w:w="198" w:type="dxa"/>
              <w:bottom w:w="227" w:type="dxa"/>
            </w:tcMar>
          </w:tcPr>
          <w:p w14:paraId="465E14AC" w14:textId="77777777" w:rsidR="00D17286" w:rsidRPr="00C34D0D" w:rsidRDefault="00D17286" w:rsidP="0064061F">
            <w:pPr>
              <w:pStyle w:val="ListNumber"/>
              <w:numPr>
                <w:ilvl w:val="0"/>
                <w:numId w:val="0"/>
              </w:numPr>
              <w:ind w:left="284" w:hanging="284"/>
              <w:rPr>
                <w:b/>
                <w:bCs/>
              </w:rPr>
            </w:pPr>
            <w:r>
              <w:rPr>
                <w:b/>
                <w:bCs/>
              </w:rPr>
              <w:t>Questions</w:t>
            </w:r>
          </w:p>
          <w:p w14:paraId="56A0F137" w14:textId="77777777" w:rsidR="001B515A" w:rsidRDefault="001B515A" w:rsidP="001B515A">
            <w:pPr>
              <w:pStyle w:val="ListNumber"/>
            </w:pPr>
            <w:r>
              <w:t>Are the provisions applying to old information appropriate?</w:t>
            </w:r>
          </w:p>
          <w:p w14:paraId="224BD258" w14:textId="7752A890" w:rsidR="001B515A" w:rsidRPr="0010199A" w:rsidRDefault="001B515A" w:rsidP="001B515A">
            <w:pPr>
              <w:pStyle w:val="ListNumber"/>
              <w:rPr>
                <w:rFonts w:eastAsiaTheme="minorEastAsia"/>
                <w:szCs w:val="20"/>
              </w:rPr>
            </w:pPr>
            <w:r>
              <w:t>In what circumstances (if any) should old information be able to be re-linked with personal identification components? How could this be done in a way that continues to protect privacy?</w:t>
            </w:r>
          </w:p>
        </w:tc>
      </w:tr>
      <w:tr w:rsidR="00D17286" w:rsidRPr="007B2FCE" w14:paraId="6E3D32E6"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61E5D348" w14:textId="77777777" w:rsidR="00D17286" w:rsidRPr="007B2FCE" w:rsidRDefault="00D17286" w:rsidP="0064061F">
            <w:pPr>
              <w:pStyle w:val="BodyText"/>
              <w:rPr>
                <w:noProof/>
              </w:rPr>
            </w:pPr>
          </w:p>
        </w:tc>
        <w:tc>
          <w:tcPr>
            <w:tcW w:w="7936" w:type="dxa"/>
          </w:tcPr>
          <w:p w14:paraId="48E7588F" w14:textId="77777777" w:rsidR="00D17286" w:rsidRPr="007B2FCE" w:rsidRDefault="00D17286" w:rsidP="0064061F">
            <w:pPr>
              <w:pStyle w:val="BodyText"/>
              <w:cnfStyle w:val="000000000000" w:firstRow="0" w:lastRow="0" w:firstColumn="0" w:lastColumn="0" w:oddVBand="0" w:evenVBand="0" w:oddHBand="0" w:evenHBand="0" w:firstRowFirstColumn="0" w:firstRowLastColumn="0" w:lastRowFirstColumn="0" w:lastRowLastColumn="0"/>
              <w:rPr>
                <w:noProof/>
              </w:rPr>
            </w:pPr>
          </w:p>
        </w:tc>
      </w:tr>
    </w:tbl>
    <w:p w14:paraId="41C091C9" w14:textId="7207A356" w:rsidR="009F1502" w:rsidRDefault="009F1502" w:rsidP="00D17286">
      <w:pPr>
        <w:pStyle w:val="Heading3"/>
        <w:numPr>
          <w:ilvl w:val="0"/>
          <w:numId w:val="0"/>
        </w:numPr>
      </w:pPr>
      <w:bookmarkStart w:id="91" w:name="_Toc70428109"/>
      <w:bookmarkStart w:id="92" w:name="_Toc70438330"/>
      <w:bookmarkStart w:id="93" w:name="_Toc71034711"/>
      <w:r>
        <w:t>Disclosure of claims information for medical research</w:t>
      </w:r>
      <w:bookmarkEnd w:id="91"/>
      <w:bookmarkEnd w:id="92"/>
      <w:bookmarkEnd w:id="93"/>
    </w:p>
    <w:tbl>
      <w:tblPr>
        <w:tblStyle w:val="CalloutD1"/>
        <w:tblW w:w="0" w:type="auto"/>
        <w:tblLayout w:type="fixed"/>
        <w:tblLook w:val="01E0" w:firstRow="1" w:lastRow="1" w:firstColumn="1" w:lastColumn="1" w:noHBand="0" w:noVBand="0"/>
      </w:tblPr>
      <w:tblGrid>
        <w:gridCol w:w="1134"/>
        <w:gridCol w:w="7936"/>
      </w:tblGrid>
      <w:tr w:rsidR="00D17286" w:rsidRPr="007B2FCE" w14:paraId="0A57CC09"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6DB56844" w14:textId="77777777" w:rsidR="00D17286" w:rsidRPr="007B2FCE" w:rsidRDefault="00D17286" w:rsidP="0064061F">
            <w:pPr>
              <w:rPr>
                <w:noProof/>
              </w:rPr>
            </w:pPr>
          </w:p>
        </w:tc>
        <w:tc>
          <w:tcPr>
            <w:tcW w:w="7936" w:type="dxa"/>
          </w:tcPr>
          <w:p w14:paraId="636DE785" w14:textId="77777777" w:rsidR="00D17286" w:rsidRPr="007B2FCE" w:rsidRDefault="00D17286" w:rsidP="0064061F">
            <w:pPr>
              <w:cnfStyle w:val="000000000000" w:firstRow="0" w:lastRow="0" w:firstColumn="0" w:lastColumn="0" w:oddVBand="0" w:evenVBand="0" w:oddHBand="0" w:evenHBand="0" w:firstRowFirstColumn="0" w:firstRowLastColumn="0" w:lastRowFirstColumn="0" w:lastRowLastColumn="0"/>
              <w:rPr>
                <w:noProof/>
              </w:rPr>
            </w:pPr>
          </w:p>
        </w:tc>
      </w:tr>
      <w:tr w:rsidR="00D17286" w:rsidRPr="007B2FCE" w14:paraId="2C99F8DD" w14:textId="77777777" w:rsidTr="0064061F">
        <w:tc>
          <w:tcPr>
            <w:tcW w:w="9070" w:type="dxa"/>
            <w:gridSpan w:val="2"/>
            <w:tcMar>
              <w:top w:w="198" w:type="dxa"/>
              <w:bottom w:w="227" w:type="dxa"/>
            </w:tcMar>
          </w:tcPr>
          <w:p w14:paraId="653B2C44" w14:textId="77777777" w:rsidR="00D17286" w:rsidRDefault="00D17286" w:rsidP="0064061F">
            <w:pPr>
              <w:pStyle w:val="NoSpacing"/>
              <w:rPr>
                <w:b/>
                <w:bCs/>
              </w:rPr>
            </w:pPr>
            <w:r w:rsidRPr="00B77E81">
              <w:rPr>
                <w:b/>
                <w:bCs/>
              </w:rPr>
              <w:t>What the Rules say</w:t>
            </w:r>
          </w:p>
          <w:p w14:paraId="5ECAFEB3" w14:textId="0ADB121C" w:rsidR="001B515A" w:rsidRPr="007B2FCE" w:rsidRDefault="001B515A" w:rsidP="0064061F">
            <w:pPr>
              <w:pStyle w:val="ListBullet"/>
              <w:numPr>
                <w:ilvl w:val="0"/>
                <w:numId w:val="0"/>
              </w:numPr>
            </w:pPr>
            <w:r>
              <w:t>The Rules permit</w:t>
            </w:r>
            <w:r w:rsidRPr="00CD08A0">
              <w:t xml:space="preserve"> Services</w:t>
            </w:r>
            <w:r>
              <w:t xml:space="preserve"> Australia</w:t>
            </w:r>
            <w:r w:rsidRPr="00CD08A0">
              <w:t xml:space="preserve"> to disclose claims information to researchers for the purpose of medical research in certain circumstances. Claims information that identifies an individual may only be disclosed with that individual’s consent or in compliance with the guidelines issued by the National Health and Medical Research Council (NHMRC) under section 95 of the Privacy Act.</w:t>
            </w:r>
          </w:p>
        </w:tc>
      </w:tr>
      <w:tr w:rsidR="00D17286" w:rsidRPr="007B2FCE" w14:paraId="17BF7A29"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29ECF5FA" w14:textId="77777777" w:rsidR="00D17286" w:rsidRPr="007B2FCE" w:rsidRDefault="00D17286" w:rsidP="0064061F">
            <w:pPr>
              <w:rPr>
                <w:noProof/>
              </w:rPr>
            </w:pPr>
          </w:p>
        </w:tc>
        <w:tc>
          <w:tcPr>
            <w:tcW w:w="7936" w:type="dxa"/>
          </w:tcPr>
          <w:p w14:paraId="02A53A70" w14:textId="77777777" w:rsidR="00D17286" w:rsidRPr="007B2FCE" w:rsidRDefault="00D17286" w:rsidP="0064061F">
            <w:pPr>
              <w:cnfStyle w:val="000000000000" w:firstRow="0" w:lastRow="0" w:firstColumn="0" w:lastColumn="0" w:oddVBand="0" w:evenVBand="0" w:oddHBand="0" w:evenHBand="0" w:firstRowFirstColumn="0" w:firstRowLastColumn="0" w:lastRowFirstColumn="0" w:lastRowLastColumn="0"/>
              <w:rPr>
                <w:noProof/>
              </w:rPr>
            </w:pPr>
          </w:p>
        </w:tc>
      </w:tr>
    </w:tbl>
    <w:p w14:paraId="5C63817D" w14:textId="273A84E5" w:rsidR="001B515A" w:rsidRDefault="009F1502" w:rsidP="009F1502">
      <w:r>
        <w:br/>
      </w:r>
      <w:r w:rsidR="001B515A">
        <w:t>These arrangements reflect obligations that would apply under the Privacy Act and related laws regardless. However, the inclusion of this provision relating to medical research is to clarify and provide certainty regarding how claims information may be used for medical research purposes.</w:t>
      </w:r>
      <w:r w:rsidR="001B515A">
        <w:rPr>
          <w:rStyle w:val="FootnoteReference"/>
        </w:rPr>
        <w:footnoteReference w:id="12"/>
      </w:r>
    </w:p>
    <w:tbl>
      <w:tblPr>
        <w:tblStyle w:val="CalloutC1"/>
        <w:tblW w:w="0" w:type="auto"/>
        <w:tblLayout w:type="fixed"/>
        <w:tblLook w:val="01E0" w:firstRow="1" w:lastRow="1" w:firstColumn="1" w:lastColumn="1" w:noHBand="0" w:noVBand="0"/>
      </w:tblPr>
      <w:tblGrid>
        <w:gridCol w:w="1134"/>
        <w:gridCol w:w="7936"/>
      </w:tblGrid>
      <w:tr w:rsidR="00D17286" w:rsidRPr="007B2FCE" w14:paraId="065D0F44"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5EA9F03B" w14:textId="77777777" w:rsidR="00D17286" w:rsidRPr="007B2FCE" w:rsidRDefault="00D17286" w:rsidP="0064061F">
            <w:pPr>
              <w:rPr>
                <w:noProof/>
              </w:rPr>
            </w:pPr>
          </w:p>
        </w:tc>
        <w:tc>
          <w:tcPr>
            <w:tcW w:w="7936" w:type="dxa"/>
          </w:tcPr>
          <w:p w14:paraId="3871F1FB" w14:textId="77777777" w:rsidR="00D17286" w:rsidRPr="007B2FCE" w:rsidRDefault="00D17286" w:rsidP="0064061F">
            <w:pPr>
              <w:cnfStyle w:val="000000000000" w:firstRow="0" w:lastRow="0" w:firstColumn="0" w:lastColumn="0" w:oddVBand="0" w:evenVBand="0" w:oddHBand="0" w:evenHBand="0" w:firstRowFirstColumn="0" w:firstRowLastColumn="0" w:lastRowFirstColumn="0" w:lastRowLastColumn="0"/>
              <w:rPr>
                <w:noProof/>
              </w:rPr>
            </w:pPr>
          </w:p>
        </w:tc>
      </w:tr>
      <w:tr w:rsidR="00D17286" w:rsidRPr="007B2FCE" w14:paraId="34E132F2" w14:textId="77777777" w:rsidTr="0064061F">
        <w:tc>
          <w:tcPr>
            <w:tcW w:w="9070" w:type="dxa"/>
            <w:gridSpan w:val="2"/>
            <w:tcMar>
              <w:top w:w="198" w:type="dxa"/>
              <w:bottom w:w="227" w:type="dxa"/>
            </w:tcMar>
          </w:tcPr>
          <w:p w14:paraId="3B1F5874" w14:textId="77777777" w:rsidR="00D17286" w:rsidRPr="00C34D0D" w:rsidRDefault="00D17286" w:rsidP="0064061F">
            <w:pPr>
              <w:pStyle w:val="ListNumber"/>
              <w:numPr>
                <w:ilvl w:val="0"/>
                <w:numId w:val="0"/>
              </w:numPr>
              <w:ind w:left="284" w:hanging="284"/>
              <w:rPr>
                <w:b/>
                <w:bCs/>
              </w:rPr>
            </w:pPr>
            <w:r>
              <w:rPr>
                <w:b/>
                <w:bCs/>
              </w:rPr>
              <w:t>Questions</w:t>
            </w:r>
          </w:p>
          <w:p w14:paraId="28CBFE22" w14:textId="220D09EC" w:rsidR="001B515A" w:rsidRPr="0010199A" w:rsidRDefault="001B515A" w:rsidP="00D17286">
            <w:pPr>
              <w:pStyle w:val="ListNumber"/>
              <w:rPr>
                <w:rFonts w:eastAsiaTheme="minorEastAsia"/>
                <w:szCs w:val="20"/>
              </w:rPr>
            </w:pPr>
            <w:r>
              <w:t>Is this provision necessary given it already applies under the Privacy Act? If yes, does it need to be modified in any way? Should claims information be able to be used for other forms of research? If yes, should there be any limitation on this use?</w:t>
            </w:r>
          </w:p>
        </w:tc>
      </w:tr>
      <w:tr w:rsidR="00D17286" w:rsidRPr="007B2FCE" w14:paraId="07FEAE5E"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3E6C4A87" w14:textId="77777777" w:rsidR="00D17286" w:rsidRPr="007B2FCE" w:rsidRDefault="00D17286" w:rsidP="0064061F">
            <w:pPr>
              <w:pStyle w:val="BodyText"/>
              <w:rPr>
                <w:noProof/>
              </w:rPr>
            </w:pPr>
          </w:p>
        </w:tc>
        <w:tc>
          <w:tcPr>
            <w:tcW w:w="7936" w:type="dxa"/>
          </w:tcPr>
          <w:p w14:paraId="5B73E400" w14:textId="77777777" w:rsidR="00D17286" w:rsidRPr="007B2FCE" w:rsidRDefault="00D17286" w:rsidP="0064061F">
            <w:pPr>
              <w:pStyle w:val="BodyText"/>
              <w:cnfStyle w:val="000000000000" w:firstRow="0" w:lastRow="0" w:firstColumn="0" w:lastColumn="0" w:oddVBand="0" w:evenVBand="0" w:oddHBand="0" w:evenHBand="0" w:firstRowFirstColumn="0" w:firstRowLastColumn="0" w:lastRowFirstColumn="0" w:lastRowLastColumn="0"/>
              <w:rPr>
                <w:noProof/>
              </w:rPr>
            </w:pPr>
          </w:p>
        </w:tc>
      </w:tr>
    </w:tbl>
    <w:p w14:paraId="7971CE17" w14:textId="7D8D031F" w:rsidR="009F1502" w:rsidRDefault="009F1502" w:rsidP="00D17286">
      <w:pPr>
        <w:pStyle w:val="Heading3"/>
        <w:numPr>
          <w:ilvl w:val="0"/>
          <w:numId w:val="0"/>
        </w:numPr>
      </w:pPr>
      <w:bookmarkStart w:id="94" w:name="_Toc70428110"/>
      <w:bookmarkStart w:id="95" w:name="_Toc70438331"/>
      <w:bookmarkStart w:id="96" w:name="_Toc71034712"/>
      <w:r>
        <w:t>Use of claims information</w:t>
      </w:r>
      <w:bookmarkEnd w:id="94"/>
      <w:bookmarkEnd w:id="95"/>
      <w:bookmarkEnd w:id="96"/>
    </w:p>
    <w:tbl>
      <w:tblPr>
        <w:tblStyle w:val="CalloutD1"/>
        <w:tblW w:w="0" w:type="auto"/>
        <w:tblLayout w:type="fixed"/>
        <w:tblLook w:val="01E0" w:firstRow="1" w:lastRow="1" w:firstColumn="1" w:lastColumn="1" w:noHBand="0" w:noVBand="0"/>
      </w:tblPr>
      <w:tblGrid>
        <w:gridCol w:w="1134"/>
        <w:gridCol w:w="7936"/>
      </w:tblGrid>
      <w:tr w:rsidR="00D17286" w:rsidRPr="007B2FCE" w14:paraId="27AED96D"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74E8A733" w14:textId="77777777" w:rsidR="00D17286" w:rsidRPr="007B2FCE" w:rsidRDefault="00D17286" w:rsidP="0064061F">
            <w:pPr>
              <w:rPr>
                <w:noProof/>
              </w:rPr>
            </w:pPr>
          </w:p>
        </w:tc>
        <w:tc>
          <w:tcPr>
            <w:tcW w:w="7936" w:type="dxa"/>
          </w:tcPr>
          <w:p w14:paraId="1C634731" w14:textId="77777777" w:rsidR="00D17286" w:rsidRPr="007B2FCE" w:rsidRDefault="00D17286" w:rsidP="0064061F">
            <w:pPr>
              <w:cnfStyle w:val="000000000000" w:firstRow="0" w:lastRow="0" w:firstColumn="0" w:lastColumn="0" w:oddVBand="0" w:evenVBand="0" w:oddHBand="0" w:evenHBand="0" w:firstRowFirstColumn="0" w:firstRowLastColumn="0" w:lastRowFirstColumn="0" w:lastRowLastColumn="0"/>
              <w:rPr>
                <w:noProof/>
              </w:rPr>
            </w:pPr>
          </w:p>
        </w:tc>
      </w:tr>
      <w:tr w:rsidR="00D17286" w:rsidRPr="007B2FCE" w14:paraId="2F090B94" w14:textId="77777777" w:rsidTr="0064061F">
        <w:tc>
          <w:tcPr>
            <w:tcW w:w="9070" w:type="dxa"/>
            <w:gridSpan w:val="2"/>
            <w:tcMar>
              <w:top w:w="198" w:type="dxa"/>
              <w:bottom w:w="227" w:type="dxa"/>
            </w:tcMar>
          </w:tcPr>
          <w:p w14:paraId="79D7EE08" w14:textId="77777777" w:rsidR="00D17286" w:rsidRDefault="00D17286" w:rsidP="0064061F">
            <w:pPr>
              <w:pStyle w:val="NoSpacing"/>
              <w:rPr>
                <w:b/>
                <w:bCs/>
              </w:rPr>
            </w:pPr>
            <w:r w:rsidRPr="00B77E81">
              <w:rPr>
                <w:b/>
                <w:bCs/>
              </w:rPr>
              <w:lastRenderedPageBreak/>
              <w:t>What the Rules say</w:t>
            </w:r>
          </w:p>
          <w:p w14:paraId="1F9F4D57" w14:textId="77777777" w:rsidR="001B515A" w:rsidRDefault="001B515A" w:rsidP="001B515A">
            <w:r>
              <w:t xml:space="preserve">The Rules say that the Department of Health may store claims information indefinitely as long as personal identification components are removed. The Secretary to the Department may authorise other uses of MBS and PBS information but a use involving linkage is subject to certain conditions. For example, the linkage (other than linkage permitted in other parts of the Rules) using the Medicare PIN may only occur where: </w:t>
            </w:r>
          </w:p>
          <w:p w14:paraId="3D66D69A" w14:textId="77777777" w:rsidR="001B515A" w:rsidRPr="001B515A" w:rsidRDefault="001B515A" w:rsidP="001B515A">
            <w:pPr>
              <w:pStyle w:val="ListBullet"/>
              <w:rPr>
                <w:rFonts w:eastAsiaTheme="minorEastAsia"/>
                <w:szCs w:val="20"/>
              </w:rPr>
            </w:pPr>
            <w:r w:rsidRPr="001B515A">
              <w:rPr>
                <w:rFonts w:eastAsiaTheme="minorEastAsia"/>
                <w:szCs w:val="20"/>
              </w:rPr>
              <w:t>claims information (identified by the PIN or any personal identification components) is used solely as a necessary intermediate step to obtain aggregate or de-identified information; and</w:t>
            </w:r>
          </w:p>
          <w:p w14:paraId="2D439D2D" w14:textId="77777777" w:rsidR="001B515A" w:rsidRPr="001B515A" w:rsidRDefault="001B515A" w:rsidP="001B515A">
            <w:pPr>
              <w:pStyle w:val="ListBullet"/>
              <w:rPr>
                <w:rFonts w:eastAsiaTheme="minorEastAsia"/>
                <w:szCs w:val="20"/>
              </w:rPr>
            </w:pPr>
            <w:r w:rsidRPr="001B515A">
              <w:rPr>
                <w:rFonts w:eastAsiaTheme="minorEastAsia"/>
                <w:szCs w:val="20"/>
              </w:rPr>
              <w:t>such linked records are destroyed within one month of their creation.</w:t>
            </w:r>
          </w:p>
          <w:p w14:paraId="6BD39507" w14:textId="15F188EA" w:rsidR="001B515A" w:rsidRPr="007B2FCE" w:rsidRDefault="001B515A" w:rsidP="001B515A">
            <w:pPr>
              <w:pStyle w:val="ListBullet"/>
              <w:numPr>
                <w:ilvl w:val="0"/>
                <w:numId w:val="0"/>
              </w:numPr>
            </w:pPr>
            <w:r>
              <w:t>The Department of Health may only disclose claims information if the recipient cannot identify the subjects of the information (unless an exception in the Rules applies).</w:t>
            </w:r>
          </w:p>
        </w:tc>
      </w:tr>
      <w:tr w:rsidR="00D17286" w:rsidRPr="007B2FCE" w14:paraId="23DCE5C3"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090E051C" w14:textId="77777777" w:rsidR="00D17286" w:rsidRPr="007B2FCE" w:rsidRDefault="00D17286" w:rsidP="0064061F">
            <w:pPr>
              <w:rPr>
                <w:noProof/>
              </w:rPr>
            </w:pPr>
          </w:p>
        </w:tc>
        <w:tc>
          <w:tcPr>
            <w:tcW w:w="7936" w:type="dxa"/>
          </w:tcPr>
          <w:p w14:paraId="79E6BC90" w14:textId="77777777" w:rsidR="00D17286" w:rsidRPr="007B2FCE" w:rsidRDefault="00D17286" w:rsidP="0064061F">
            <w:pPr>
              <w:cnfStyle w:val="000000000000" w:firstRow="0" w:lastRow="0" w:firstColumn="0" w:lastColumn="0" w:oddVBand="0" w:evenVBand="0" w:oddHBand="0" w:evenHBand="0" w:firstRowFirstColumn="0" w:firstRowLastColumn="0" w:lastRowFirstColumn="0" w:lastRowLastColumn="0"/>
              <w:rPr>
                <w:noProof/>
              </w:rPr>
            </w:pPr>
          </w:p>
        </w:tc>
      </w:tr>
    </w:tbl>
    <w:p w14:paraId="4260E870" w14:textId="0A6D5289" w:rsidR="009F1502" w:rsidRDefault="009F1502" w:rsidP="009F1502"/>
    <w:p w14:paraId="57E13AAD" w14:textId="7694EDD0" w:rsidR="00117C07" w:rsidRDefault="00117C07" w:rsidP="009F1502">
      <w:r>
        <w:t>The Rules enable linkage by the Department of Health but only in a temporary manner with a short retention period. Moreover, MBS and PBS claims information may only be linked in this temporary manner in conjunction with the Medicare PIN where there is no practical alternative.</w:t>
      </w:r>
    </w:p>
    <w:tbl>
      <w:tblPr>
        <w:tblStyle w:val="CalloutC1"/>
        <w:tblW w:w="0" w:type="auto"/>
        <w:tblLayout w:type="fixed"/>
        <w:tblLook w:val="01E0" w:firstRow="1" w:lastRow="1" w:firstColumn="1" w:lastColumn="1" w:noHBand="0" w:noVBand="0"/>
      </w:tblPr>
      <w:tblGrid>
        <w:gridCol w:w="1134"/>
        <w:gridCol w:w="7936"/>
      </w:tblGrid>
      <w:tr w:rsidR="00D17286" w:rsidRPr="007B2FCE" w14:paraId="4C8356C3"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6B746E9E" w14:textId="77777777" w:rsidR="00D17286" w:rsidRPr="007B2FCE" w:rsidRDefault="00D17286" w:rsidP="0064061F">
            <w:pPr>
              <w:rPr>
                <w:noProof/>
              </w:rPr>
            </w:pPr>
          </w:p>
        </w:tc>
        <w:tc>
          <w:tcPr>
            <w:tcW w:w="7936" w:type="dxa"/>
          </w:tcPr>
          <w:p w14:paraId="6CC4948A" w14:textId="77777777" w:rsidR="00D17286" w:rsidRPr="007B2FCE" w:rsidRDefault="00D17286" w:rsidP="0064061F">
            <w:pPr>
              <w:cnfStyle w:val="000000000000" w:firstRow="0" w:lastRow="0" w:firstColumn="0" w:lastColumn="0" w:oddVBand="0" w:evenVBand="0" w:oddHBand="0" w:evenHBand="0" w:firstRowFirstColumn="0" w:firstRowLastColumn="0" w:lastRowFirstColumn="0" w:lastRowLastColumn="0"/>
              <w:rPr>
                <w:noProof/>
              </w:rPr>
            </w:pPr>
          </w:p>
        </w:tc>
      </w:tr>
      <w:tr w:rsidR="00D17286" w:rsidRPr="007B2FCE" w14:paraId="7C7BF965" w14:textId="77777777" w:rsidTr="0064061F">
        <w:tc>
          <w:tcPr>
            <w:tcW w:w="9070" w:type="dxa"/>
            <w:gridSpan w:val="2"/>
            <w:tcMar>
              <w:top w:w="198" w:type="dxa"/>
              <w:bottom w:w="227" w:type="dxa"/>
            </w:tcMar>
          </w:tcPr>
          <w:p w14:paraId="65A44E94" w14:textId="77777777" w:rsidR="00D17286" w:rsidRPr="00C34D0D" w:rsidRDefault="00D17286" w:rsidP="0064061F">
            <w:pPr>
              <w:pStyle w:val="ListNumber"/>
              <w:numPr>
                <w:ilvl w:val="0"/>
                <w:numId w:val="0"/>
              </w:numPr>
              <w:ind w:left="284" w:hanging="284"/>
              <w:rPr>
                <w:b/>
                <w:bCs/>
              </w:rPr>
            </w:pPr>
            <w:r>
              <w:rPr>
                <w:b/>
                <w:bCs/>
              </w:rPr>
              <w:t>Questions</w:t>
            </w:r>
          </w:p>
          <w:p w14:paraId="531D5BAA" w14:textId="77777777" w:rsidR="00117C07" w:rsidRDefault="00117C07" w:rsidP="00117C07">
            <w:pPr>
              <w:pStyle w:val="ListNumber"/>
            </w:pPr>
            <w:r>
              <w:t>Should the Department of Health be able to link claims information in a wider range of circumstances? What circumstances?</w:t>
            </w:r>
          </w:p>
          <w:p w14:paraId="7B86C68D" w14:textId="28526E70" w:rsidR="00117C07" w:rsidRPr="0010199A" w:rsidRDefault="00117C07" w:rsidP="00117C07">
            <w:pPr>
              <w:pStyle w:val="ListNumber"/>
              <w:rPr>
                <w:rFonts w:eastAsiaTheme="minorEastAsia"/>
                <w:szCs w:val="20"/>
              </w:rPr>
            </w:pPr>
            <w:r>
              <w:t>Are provisions enabling disclosure of claims information by the Department of Health appropriate?</w:t>
            </w:r>
          </w:p>
        </w:tc>
      </w:tr>
      <w:tr w:rsidR="00D17286" w:rsidRPr="007B2FCE" w14:paraId="2822DEE1"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3B1B805E" w14:textId="77777777" w:rsidR="00D17286" w:rsidRPr="007B2FCE" w:rsidRDefault="00D17286" w:rsidP="0064061F">
            <w:pPr>
              <w:pStyle w:val="BodyText"/>
              <w:rPr>
                <w:noProof/>
              </w:rPr>
            </w:pPr>
          </w:p>
        </w:tc>
        <w:tc>
          <w:tcPr>
            <w:tcW w:w="7936" w:type="dxa"/>
          </w:tcPr>
          <w:p w14:paraId="2918668C" w14:textId="77777777" w:rsidR="00D17286" w:rsidRPr="007B2FCE" w:rsidRDefault="00D17286" w:rsidP="0064061F">
            <w:pPr>
              <w:pStyle w:val="BodyText"/>
              <w:cnfStyle w:val="000000000000" w:firstRow="0" w:lastRow="0" w:firstColumn="0" w:lastColumn="0" w:oddVBand="0" w:evenVBand="0" w:oddHBand="0" w:evenHBand="0" w:firstRowFirstColumn="0" w:firstRowLastColumn="0" w:lastRowFirstColumn="0" w:lastRowLastColumn="0"/>
              <w:rPr>
                <w:noProof/>
              </w:rPr>
            </w:pPr>
          </w:p>
        </w:tc>
      </w:tr>
    </w:tbl>
    <w:p w14:paraId="360310F1" w14:textId="2F90A3C7" w:rsidR="009F1502" w:rsidRDefault="009F1502" w:rsidP="00D17286">
      <w:pPr>
        <w:pStyle w:val="Heading3"/>
        <w:numPr>
          <w:ilvl w:val="0"/>
          <w:numId w:val="0"/>
        </w:numPr>
      </w:pPr>
      <w:bookmarkStart w:id="97" w:name="_Toc70428111"/>
      <w:bookmarkStart w:id="98" w:name="_Toc70438332"/>
      <w:bookmarkStart w:id="99" w:name="_Toc71034713"/>
      <w:r>
        <w:t>Name linkage</w:t>
      </w:r>
      <w:bookmarkEnd w:id="97"/>
      <w:bookmarkEnd w:id="98"/>
      <w:bookmarkEnd w:id="99"/>
    </w:p>
    <w:tbl>
      <w:tblPr>
        <w:tblStyle w:val="CalloutD1"/>
        <w:tblW w:w="0" w:type="auto"/>
        <w:tblLayout w:type="fixed"/>
        <w:tblLook w:val="01E0" w:firstRow="1" w:lastRow="1" w:firstColumn="1" w:lastColumn="1" w:noHBand="0" w:noVBand="0"/>
      </w:tblPr>
      <w:tblGrid>
        <w:gridCol w:w="1134"/>
        <w:gridCol w:w="7936"/>
      </w:tblGrid>
      <w:tr w:rsidR="00EF7815" w:rsidRPr="007B2FCE" w14:paraId="26E9F33A"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0B1D1EFF" w14:textId="77777777" w:rsidR="00EF7815" w:rsidRPr="007B2FCE" w:rsidRDefault="00EF7815" w:rsidP="0064061F">
            <w:pPr>
              <w:rPr>
                <w:noProof/>
              </w:rPr>
            </w:pPr>
          </w:p>
        </w:tc>
        <w:tc>
          <w:tcPr>
            <w:tcW w:w="7936" w:type="dxa"/>
          </w:tcPr>
          <w:p w14:paraId="773AD428" w14:textId="77777777" w:rsidR="00EF7815" w:rsidRPr="007B2FCE" w:rsidRDefault="00EF7815" w:rsidP="0064061F">
            <w:pPr>
              <w:cnfStyle w:val="000000000000" w:firstRow="0" w:lastRow="0" w:firstColumn="0" w:lastColumn="0" w:oddVBand="0" w:evenVBand="0" w:oddHBand="0" w:evenHBand="0" w:firstRowFirstColumn="0" w:firstRowLastColumn="0" w:lastRowFirstColumn="0" w:lastRowLastColumn="0"/>
              <w:rPr>
                <w:noProof/>
              </w:rPr>
            </w:pPr>
          </w:p>
        </w:tc>
      </w:tr>
      <w:tr w:rsidR="00EF7815" w:rsidRPr="007B2FCE" w14:paraId="51214F73" w14:textId="77777777" w:rsidTr="0064061F">
        <w:tc>
          <w:tcPr>
            <w:tcW w:w="9070" w:type="dxa"/>
            <w:gridSpan w:val="2"/>
            <w:tcMar>
              <w:top w:w="198" w:type="dxa"/>
              <w:bottom w:w="227" w:type="dxa"/>
            </w:tcMar>
          </w:tcPr>
          <w:p w14:paraId="7824B2BC" w14:textId="77777777" w:rsidR="00EF7815" w:rsidRDefault="00EF7815" w:rsidP="0064061F">
            <w:pPr>
              <w:pStyle w:val="NoSpacing"/>
              <w:rPr>
                <w:b/>
                <w:bCs/>
              </w:rPr>
            </w:pPr>
            <w:r w:rsidRPr="00B77E81">
              <w:rPr>
                <w:b/>
                <w:bCs/>
              </w:rPr>
              <w:t>What the Rules say</w:t>
            </w:r>
          </w:p>
          <w:p w14:paraId="640C3244" w14:textId="77777777" w:rsidR="00117C07" w:rsidRDefault="00117C07" w:rsidP="00117C07">
            <w:r>
              <w:t xml:space="preserve">The </w:t>
            </w:r>
            <w:r w:rsidRPr="00775779">
              <w:t xml:space="preserve">Department of Health </w:t>
            </w:r>
            <w:r>
              <w:t>may</w:t>
            </w:r>
            <w:r w:rsidRPr="00775779">
              <w:t xml:space="preserve"> obtain the personal identification components that belong to a particular Medicare PIN from Services</w:t>
            </w:r>
            <w:r>
              <w:t xml:space="preserve"> Australia</w:t>
            </w:r>
            <w:r w:rsidRPr="00775779">
              <w:t xml:space="preserve"> </w:t>
            </w:r>
            <w:r>
              <w:t>where it is authorised by the Secretary of the Department of Health and is necessary:</w:t>
            </w:r>
          </w:p>
          <w:p w14:paraId="42F15330" w14:textId="77777777" w:rsidR="00117C07" w:rsidRPr="00117C07" w:rsidRDefault="00117C07" w:rsidP="00117C07">
            <w:pPr>
              <w:pStyle w:val="ListBullet"/>
              <w:rPr>
                <w:rFonts w:eastAsiaTheme="minorEastAsia"/>
                <w:szCs w:val="20"/>
              </w:rPr>
            </w:pPr>
            <w:r w:rsidRPr="00117C07">
              <w:rPr>
                <w:rFonts w:eastAsiaTheme="minorEastAsia"/>
                <w:szCs w:val="20"/>
              </w:rPr>
              <w:t>to clarify which information relates to a particular individual where doubt has arisen in the conduct of an activity involving the linkage of de-identified information or</w:t>
            </w:r>
          </w:p>
          <w:p w14:paraId="32E9DF1E" w14:textId="3F1140BD" w:rsidR="00117C07" w:rsidRPr="007B2FCE" w:rsidRDefault="00117C07" w:rsidP="00117C07">
            <w:pPr>
              <w:pStyle w:val="ListBullet"/>
            </w:pPr>
            <w:r w:rsidRPr="00117C07">
              <w:rPr>
                <w:rFonts w:eastAsiaTheme="minorEastAsia"/>
                <w:szCs w:val="20"/>
              </w:rPr>
              <w:lastRenderedPageBreak/>
              <w:t>for the purpose of disclosing personal information in a specific case or in a specific set of circumstances as expressly authorised or required by or under law.</w:t>
            </w:r>
          </w:p>
        </w:tc>
      </w:tr>
      <w:tr w:rsidR="00EF7815" w:rsidRPr="007B2FCE" w14:paraId="57634D09"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05F1C88C" w14:textId="77777777" w:rsidR="00EF7815" w:rsidRPr="007B2FCE" w:rsidRDefault="00EF7815" w:rsidP="0064061F">
            <w:pPr>
              <w:rPr>
                <w:noProof/>
              </w:rPr>
            </w:pPr>
          </w:p>
        </w:tc>
        <w:tc>
          <w:tcPr>
            <w:tcW w:w="7936" w:type="dxa"/>
          </w:tcPr>
          <w:p w14:paraId="27A74734" w14:textId="77777777" w:rsidR="00EF7815" w:rsidRPr="007B2FCE" w:rsidRDefault="00EF7815" w:rsidP="0064061F">
            <w:pPr>
              <w:cnfStyle w:val="000000000000" w:firstRow="0" w:lastRow="0" w:firstColumn="0" w:lastColumn="0" w:oddVBand="0" w:evenVBand="0" w:oddHBand="0" w:evenHBand="0" w:firstRowFirstColumn="0" w:firstRowLastColumn="0" w:lastRowFirstColumn="0" w:lastRowLastColumn="0"/>
              <w:rPr>
                <w:noProof/>
              </w:rPr>
            </w:pPr>
          </w:p>
        </w:tc>
      </w:tr>
    </w:tbl>
    <w:p w14:paraId="77E528EE" w14:textId="77777777" w:rsidR="00117C07" w:rsidRDefault="009F1502" w:rsidP="00117C07">
      <w:r>
        <w:br/>
      </w:r>
      <w:r w:rsidR="00117C07">
        <w:t>There are circumstances in which it may be necessary for the Department of Health to have access to identified claims information. The Rules enable this and set restrictions on how this may occur.</w:t>
      </w:r>
    </w:p>
    <w:tbl>
      <w:tblPr>
        <w:tblStyle w:val="CalloutC1"/>
        <w:tblW w:w="0" w:type="auto"/>
        <w:tblLayout w:type="fixed"/>
        <w:tblLook w:val="01E0" w:firstRow="1" w:lastRow="1" w:firstColumn="1" w:lastColumn="1" w:noHBand="0" w:noVBand="0"/>
      </w:tblPr>
      <w:tblGrid>
        <w:gridCol w:w="1134"/>
        <w:gridCol w:w="7936"/>
      </w:tblGrid>
      <w:tr w:rsidR="006F348C" w:rsidRPr="007B2FCE" w14:paraId="424D18C9"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43019F9B" w14:textId="77777777" w:rsidR="006F348C" w:rsidRPr="007B2FCE" w:rsidRDefault="006F348C" w:rsidP="0064061F">
            <w:pPr>
              <w:rPr>
                <w:noProof/>
              </w:rPr>
            </w:pPr>
          </w:p>
        </w:tc>
        <w:tc>
          <w:tcPr>
            <w:tcW w:w="7936" w:type="dxa"/>
          </w:tcPr>
          <w:p w14:paraId="3054DA72" w14:textId="77777777" w:rsidR="006F348C" w:rsidRPr="007B2FCE" w:rsidRDefault="006F348C" w:rsidP="0064061F">
            <w:pPr>
              <w:cnfStyle w:val="000000000000" w:firstRow="0" w:lastRow="0" w:firstColumn="0" w:lastColumn="0" w:oddVBand="0" w:evenVBand="0" w:oddHBand="0" w:evenHBand="0" w:firstRowFirstColumn="0" w:firstRowLastColumn="0" w:lastRowFirstColumn="0" w:lastRowLastColumn="0"/>
              <w:rPr>
                <w:noProof/>
              </w:rPr>
            </w:pPr>
          </w:p>
        </w:tc>
      </w:tr>
      <w:tr w:rsidR="006F348C" w:rsidRPr="007B2FCE" w14:paraId="3D4E8B11" w14:textId="77777777" w:rsidTr="0064061F">
        <w:tc>
          <w:tcPr>
            <w:tcW w:w="9070" w:type="dxa"/>
            <w:gridSpan w:val="2"/>
            <w:tcMar>
              <w:top w:w="198" w:type="dxa"/>
              <w:bottom w:w="227" w:type="dxa"/>
            </w:tcMar>
          </w:tcPr>
          <w:p w14:paraId="22BCBAE7" w14:textId="77777777" w:rsidR="006F348C" w:rsidRPr="00C34D0D" w:rsidRDefault="006F348C" w:rsidP="0064061F">
            <w:pPr>
              <w:pStyle w:val="ListNumber"/>
              <w:numPr>
                <w:ilvl w:val="0"/>
                <w:numId w:val="0"/>
              </w:numPr>
              <w:ind w:left="284" w:hanging="284"/>
              <w:rPr>
                <w:b/>
                <w:bCs/>
              </w:rPr>
            </w:pPr>
            <w:r>
              <w:rPr>
                <w:b/>
                <w:bCs/>
              </w:rPr>
              <w:t>Questions</w:t>
            </w:r>
          </w:p>
          <w:p w14:paraId="638D42F5" w14:textId="7B70F131" w:rsidR="006F348C" w:rsidRPr="0010199A" w:rsidRDefault="00117C07" w:rsidP="006F348C">
            <w:pPr>
              <w:pStyle w:val="ListNumber"/>
              <w:rPr>
                <w:rFonts w:eastAsiaTheme="minorEastAsia"/>
                <w:szCs w:val="20"/>
              </w:rPr>
            </w:pPr>
            <w:r>
              <w:t>Are name linkage provisions appropriate? Should name linkage be allowed in any other circumstances?</w:t>
            </w:r>
          </w:p>
        </w:tc>
      </w:tr>
      <w:tr w:rsidR="006F348C" w:rsidRPr="007B2FCE" w14:paraId="7F1BA26C"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0939F1C2" w14:textId="77777777" w:rsidR="006F348C" w:rsidRPr="007B2FCE" w:rsidRDefault="006F348C" w:rsidP="0064061F">
            <w:pPr>
              <w:pStyle w:val="BodyText"/>
              <w:rPr>
                <w:noProof/>
              </w:rPr>
            </w:pPr>
          </w:p>
        </w:tc>
        <w:tc>
          <w:tcPr>
            <w:tcW w:w="7936" w:type="dxa"/>
          </w:tcPr>
          <w:p w14:paraId="0EFC4625" w14:textId="77777777" w:rsidR="006F348C" w:rsidRPr="007B2FCE" w:rsidRDefault="006F348C" w:rsidP="0064061F">
            <w:pPr>
              <w:pStyle w:val="BodyText"/>
              <w:cnfStyle w:val="000000000000" w:firstRow="0" w:lastRow="0" w:firstColumn="0" w:lastColumn="0" w:oddVBand="0" w:evenVBand="0" w:oddHBand="0" w:evenHBand="0" w:firstRowFirstColumn="0" w:firstRowLastColumn="0" w:lastRowFirstColumn="0" w:lastRowLastColumn="0"/>
              <w:rPr>
                <w:noProof/>
              </w:rPr>
            </w:pPr>
          </w:p>
        </w:tc>
      </w:tr>
    </w:tbl>
    <w:p w14:paraId="07E78E41" w14:textId="28E45E4D" w:rsidR="009F1502" w:rsidRDefault="009F1502" w:rsidP="00927F6F">
      <w:pPr>
        <w:pStyle w:val="Heading3"/>
        <w:numPr>
          <w:ilvl w:val="0"/>
          <w:numId w:val="0"/>
        </w:numPr>
      </w:pPr>
      <w:bookmarkStart w:id="100" w:name="_Toc70428112"/>
      <w:bookmarkStart w:id="101" w:name="_Toc70438333"/>
      <w:bookmarkStart w:id="102" w:name="_Toc71034714"/>
      <w:r>
        <w:t>Other matters including management of paper copies</w:t>
      </w:r>
      <w:bookmarkEnd w:id="100"/>
      <w:bookmarkEnd w:id="101"/>
      <w:bookmarkEnd w:id="102"/>
    </w:p>
    <w:tbl>
      <w:tblPr>
        <w:tblStyle w:val="CalloutD1"/>
        <w:tblW w:w="0" w:type="auto"/>
        <w:tblLayout w:type="fixed"/>
        <w:tblLook w:val="01E0" w:firstRow="1" w:lastRow="1" w:firstColumn="1" w:lastColumn="1" w:noHBand="0" w:noVBand="0"/>
      </w:tblPr>
      <w:tblGrid>
        <w:gridCol w:w="1134"/>
        <w:gridCol w:w="7936"/>
      </w:tblGrid>
      <w:tr w:rsidR="00927F6F" w:rsidRPr="007B2FCE" w14:paraId="56E3D7B5"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4782C5AA" w14:textId="77777777" w:rsidR="00927F6F" w:rsidRPr="007B2FCE" w:rsidRDefault="00927F6F" w:rsidP="0064061F">
            <w:pPr>
              <w:rPr>
                <w:noProof/>
              </w:rPr>
            </w:pPr>
          </w:p>
        </w:tc>
        <w:tc>
          <w:tcPr>
            <w:tcW w:w="7936" w:type="dxa"/>
          </w:tcPr>
          <w:p w14:paraId="7EE5F48E" w14:textId="77777777" w:rsidR="00927F6F" w:rsidRPr="007B2FCE" w:rsidRDefault="00927F6F" w:rsidP="0064061F">
            <w:pPr>
              <w:cnfStyle w:val="000000000000" w:firstRow="0" w:lastRow="0" w:firstColumn="0" w:lastColumn="0" w:oddVBand="0" w:evenVBand="0" w:oddHBand="0" w:evenHBand="0" w:firstRowFirstColumn="0" w:firstRowLastColumn="0" w:lastRowFirstColumn="0" w:lastRowLastColumn="0"/>
              <w:rPr>
                <w:noProof/>
              </w:rPr>
            </w:pPr>
          </w:p>
        </w:tc>
      </w:tr>
      <w:tr w:rsidR="00927F6F" w:rsidRPr="007B2FCE" w14:paraId="44E0E8E4" w14:textId="77777777" w:rsidTr="0064061F">
        <w:tc>
          <w:tcPr>
            <w:tcW w:w="9070" w:type="dxa"/>
            <w:gridSpan w:val="2"/>
            <w:tcMar>
              <w:top w:w="198" w:type="dxa"/>
              <w:bottom w:w="227" w:type="dxa"/>
            </w:tcMar>
          </w:tcPr>
          <w:p w14:paraId="7DD718C9" w14:textId="77777777" w:rsidR="00927F6F" w:rsidRDefault="00927F6F" w:rsidP="0064061F">
            <w:pPr>
              <w:pStyle w:val="NoSpacing"/>
              <w:rPr>
                <w:b/>
                <w:bCs/>
              </w:rPr>
            </w:pPr>
            <w:r w:rsidRPr="00B77E81">
              <w:rPr>
                <w:b/>
                <w:bCs/>
              </w:rPr>
              <w:t>What the Rules say</w:t>
            </w:r>
          </w:p>
          <w:p w14:paraId="4AA34DAB" w14:textId="77777777" w:rsidR="00117C07" w:rsidRDefault="00117C07" w:rsidP="00117C07">
            <w:pPr>
              <w:rPr>
                <w:rFonts w:cs="Arial"/>
                <w:szCs w:val="20"/>
              </w:rPr>
            </w:pPr>
            <w:r>
              <w:t xml:space="preserve">The Rules say that while paper copies of information may be made of MBS and PBS information, </w:t>
            </w:r>
            <w:r>
              <w:rPr>
                <w:rFonts w:cs="Arial"/>
                <w:szCs w:val="20"/>
              </w:rPr>
              <w:t>paper copies may not be made of the complete or a major proportion of either the MBS or the PBS claims databases.</w:t>
            </w:r>
          </w:p>
          <w:p w14:paraId="54F1373C" w14:textId="75E784DD" w:rsidR="00117C07" w:rsidRPr="007B2FCE" w:rsidRDefault="00117C07" w:rsidP="00117C07">
            <w:pPr>
              <w:pStyle w:val="ListBullet"/>
              <w:numPr>
                <w:ilvl w:val="0"/>
                <w:numId w:val="0"/>
              </w:numPr>
            </w:pPr>
            <w:r>
              <w:t>Services Australia and the Department of Health must make staff aware of the need to protect privacy in relation to claims information. They must also tell the OAIC of what delegations and authorisations they have in place under the Rules.</w:t>
            </w:r>
          </w:p>
        </w:tc>
      </w:tr>
      <w:tr w:rsidR="00927F6F" w:rsidRPr="007B2FCE" w14:paraId="6702BD01"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0353427B" w14:textId="77777777" w:rsidR="00927F6F" w:rsidRPr="007B2FCE" w:rsidRDefault="00927F6F" w:rsidP="0064061F">
            <w:pPr>
              <w:rPr>
                <w:noProof/>
              </w:rPr>
            </w:pPr>
          </w:p>
        </w:tc>
        <w:tc>
          <w:tcPr>
            <w:tcW w:w="7936" w:type="dxa"/>
          </w:tcPr>
          <w:p w14:paraId="2C2A1F62" w14:textId="77777777" w:rsidR="00927F6F" w:rsidRPr="007B2FCE" w:rsidRDefault="00927F6F" w:rsidP="0064061F">
            <w:pPr>
              <w:cnfStyle w:val="000000000000" w:firstRow="0" w:lastRow="0" w:firstColumn="0" w:lastColumn="0" w:oddVBand="0" w:evenVBand="0" w:oddHBand="0" w:evenHBand="0" w:firstRowFirstColumn="0" w:firstRowLastColumn="0" w:lastRowFirstColumn="0" w:lastRowLastColumn="0"/>
              <w:rPr>
                <w:noProof/>
              </w:rPr>
            </w:pPr>
          </w:p>
        </w:tc>
      </w:tr>
    </w:tbl>
    <w:p w14:paraId="02EFDD53" w14:textId="7F71A675" w:rsidR="009F1502" w:rsidRDefault="009F1502" w:rsidP="009F1502"/>
    <w:tbl>
      <w:tblPr>
        <w:tblStyle w:val="CalloutC1"/>
        <w:tblW w:w="0" w:type="auto"/>
        <w:tblLayout w:type="fixed"/>
        <w:tblLook w:val="01E0" w:firstRow="1" w:lastRow="1" w:firstColumn="1" w:lastColumn="1" w:noHBand="0" w:noVBand="0"/>
      </w:tblPr>
      <w:tblGrid>
        <w:gridCol w:w="1134"/>
        <w:gridCol w:w="7936"/>
      </w:tblGrid>
      <w:tr w:rsidR="002E296D" w:rsidRPr="007B2FCE" w14:paraId="6FF955ED" w14:textId="77777777" w:rsidTr="0064061F">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4E611920" w14:textId="77777777" w:rsidR="002E296D" w:rsidRPr="007B2FCE" w:rsidRDefault="002E296D" w:rsidP="0064061F">
            <w:pPr>
              <w:rPr>
                <w:noProof/>
              </w:rPr>
            </w:pPr>
          </w:p>
        </w:tc>
        <w:tc>
          <w:tcPr>
            <w:tcW w:w="7936" w:type="dxa"/>
          </w:tcPr>
          <w:p w14:paraId="7E0DBC2F" w14:textId="77777777" w:rsidR="002E296D" w:rsidRPr="007B2FCE" w:rsidRDefault="002E296D" w:rsidP="0064061F">
            <w:pPr>
              <w:cnfStyle w:val="000000000000" w:firstRow="0" w:lastRow="0" w:firstColumn="0" w:lastColumn="0" w:oddVBand="0" w:evenVBand="0" w:oddHBand="0" w:evenHBand="0" w:firstRowFirstColumn="0" w:firstRowLastColumn="0" w:lastRowFirstColumn="0" w:lastRowLastColumn="0"/>
              <w:rPr>
                <w:noProof/>
              </w:rPr>
            </w:pPr>
          </w:p>
        </w:tc>
      </w:tr>
      <w:tr w:rsidR="002E296D" w:rsidRPr="007B2FCE" w14:paraId="48AC0E19" w14:textId="77777777" w:rsidTr="0064061F">
        <w:tc>
          <w:tcPr>
            <w:tcW w:w="9070" w:type="dxa"/>
            <w:gridSpan w:val="2"/>
            <w:tcMar>
              <w:top w:w="198" w:type="dxa"/>
              <w:bottom w:w="227" w:type="dxa"/>
            </w:tcMar>
          </w:tcPr>
          <w:p w14:paraId="4B6252DE" w14:textId="77777777" w:rsidR="002E296D" w:rsidRPr="00C34D0D" w:rsidRDefault="002E296D" w:rsidP="0064061F">
            <w:pPr>
              <w:pStyle w:val="ListNumber"/>
              <w:numPr>
                <w:ilvl w:val="0"/>
                <w:numId w:val="0"/>
              </w:numPr>
              <w:ind w:left="284" w:hanging="284"/>
              <w:rPr>
                <w:b/>
                <w:bCs/>
              </w:rPr>
            </w:pPr>
            <w:r>
              <w:rPr>
                <w:b/>
                <w:bCs/>
              </w:rPr>
              <w:t>Questions</w:t>
            </w:r>
          </w:p>
          <w:p w14:paraId="1611EC89" w14:textId="6DA35E8D" w:rsidR="002E296D" w:rsidRPr="0010199A" w:rsidRDefault="00117C07" w:rsidP="0064061F">
            <w:pPr>
              <w:pStyle w:val="ListNumber"/>
              <w:rPr>
                <w:rFonts w:eastAsiaTheme="minorEastAsia"/>
                <w:szCs w:val="20"/>
              </w:rPr>
            </w:pPr>
            <w:r>
              <w:t>Are provisions relating to paper copies of claims information appropriate? Why or why not?</w:t>
            </w:r>
          </w:p>
        </w:tc>
      </w:tr>
      <w:tr w:rsidR="002E296D" w:rsidRPr="007B2FCE" w14:paraId="458AD5AD" w14:textId="77777777" w:rsidTr="0064061F">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0BA5B61E" w14:textId="77777777" w:rsidR="002E296D" w:rsidRPr="007B2FCE" w:rsidRDefault="002E296D" w:rsidP="0064061F">
            <w:pPr>
              <w:pStyle w:val="BodyText"/>
              <w:rPr>
                <w:noProof/>
              </w:rPr>
            </w:pPr>
          </w:p>
        </w:tc>
        <w:tc>
          <w:tcPr>
            <w:tcW w:w="7936" w:type="dxa"/>
          </w:tcPr>
          <w:p w14:paraId="6F4858FD" w14:textId="77777777" w:rsidR="002E296D" w:rsidRPr="007B2FCE" w:rsidRDefault="002E296D" w:rsidP="0064061F">
            <w:pPr>
              <w:pStyle w:val="BodyText"/>
              <w:cnfStyle w:val="000000000000" w:firstRow="0" w:lastRow="0" w:firstColumn="0" w:lastColumn="0" w:oddVBand="0" w:evenVBand="0" w:oddHBand="0" w:evenHBand="0" w:firstRowFirstColumn="0" w:firstRowLastColumn="0" w:lastRowFirstColumn="0" w:lastRowLastColumn="0"/>
              <w:rPr>
                <w:noProof/>
              </w:rPr>
            </w:pPr>
          </w:p>
        </w:tc>
      </w:tr>
    </w:tbl>
    <w:p w14:paraId="07C8BC20" w14:textId="77777777" w:rsidR="004E29FF" w:rsidRDefault="004E29FF" w:rsidP="00647201"/>
    <w:p w14:paraId="6C245988" w14:textId="77777777" w:rsidR="005F5077" w:rsidRDefault="005F5077" w:rsidP="002543AD"/>
    <w:sectPr w:rsidR="005F5077" w:rsidSect="00C5616C">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440" w:right="1440" w:bottom="1440" w:left="1134" w:header="556" w:footer="143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34642" w14:textId="77777777" w:rsidR="003B3CDF" w:rsidRDefault="003B3CDF" w:rsidP="008A4C80">
      <w:r>
        <w:separator/>
      </w:r>
    </w:p>
    <w:p w14:paraId="495B1629" w14:textId="77777777" w:rsidR="003B3CDF" w:rsidRDefault="003B3CDF" w:rsidP="008A4C80"/>
    <w:p w14:paraId="466E07F9" w14:textId="77777777" w:rsidR="003B3CDF" w:rsidRDefault="003B3CDF" w:rsidP="008A4C80"/>
  </w:endnote>
  <w:endnote w:type="continuationSeparator" w:id="0">
    <w:p w14:paraId="2F4CD416" w14:textId="77777777" w:rsidR="003B3CDF" w:rsidRDefault="003B3CDF" w:rsidP="008A4C80">
      <w:r>
        <w:continuationSeparator/>
      </w:r>
    </w:p>
    <w:p w14:paraId="317109B0" w14:textId="77777777" w:rsidR="003B3CDF" w:rsidRDefault="003B3CDF" w:rsidP="008A4C80"/>
    <w:p w14:paraId="588D7988" w14:textId="77777777" w:rsidR="003B3CDF" w:rsidRDefault="003B3CDF" w:rsidP="008A4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urce Sans Pro">
    <w:altName w:val="Source Sans Pro"/>
    <w:panose1 w:val="020B0503030403020204"/>
    <w:charset w:val="00"/>
    <w:family w:val="swiss"/>
    <w:notTrueType/>
    <w:pitch w:val="variable"/>
    <w:sig w:usb0="600002F7" w:usb1="0200000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ource Sans Pro Semibold">
    <w:altName w:val="Source Sans Pro Semibold"/>
    <w:panose1 w:val="020B0703030403020204"/>
    <w:charset w:val="00"/>
    <w:family w:val="swiss"/>
    <w:notTrueType/>
    <w:pitch w:val="variable"/>
    <w:sig w:usb0="600002F7" w:usb1="00000003"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ource Sans Pro Light">
    <w:altName w:val="Source Sans Pro Light"/>
    <w:panose1 w:val="020B0403030403020204"/>
    <w:charset w:val="00"/>
    <w:family w:val="swiss"/>
    <w:notTrueType/>
    <w:pitch w:val="variable"/>
    <w:sig w:usb0="600002F7" w:usb1="0200000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Caption w:val="Footer Grid"/>
      <w:tblDescription w:val="Footer Grid — Containing page number"/>
    </w:tblPr>
    <w:tblGrid>
      <w:gridCol w:w="9332"/>
    </w:tblGrid>
    <w:tr w:rsidR="00117C07" w14:paraId="7B95F19C" w14:textId="77777777" w:rsidTr="00156E08">
      <w:trPr>
        <w:tblHeader/>
      </w:trPr>
      <w:tc>
        <w:tcPr>
          <w:tcW w:w="9570" w:type="dxa"/>
        </w:tcPr>
        <w:p w14:paraId="2C275288" w14:textId="77777777" w:rsidR="00117C07" w:rsidRPr="00093B03" w:rsidRDefault="00117C07" w:rsidP="008A4C80">
          <w:pPr>
            <w:pStyle w:val="Footer"/>
            <w:rPr>
              <w:rStyle w:val="PageNumber"/>
            </w:rPr>
          </w:pPr>
          <w:r w:rsidRPr="00093B03">
            <w:rPr>
              <w:rStyle w:val="PageNumber"/>
            </w:rPr>
            <w:fldChar w:fldCharType="begin"/>
          </w:r>
          <w:r w:rsidRPr="00093B03">
            <w:rPr>
              <w:rStyle w:val="PageNumber"/>
            </w:rPr>
            <w:instrText xml:space="preserve"> PAGE  \* Arabic  \* MERGEFORMAT </w:instrText>
          </w:r>
          <w:r w:rsidRPr="00093B03">
            <w:rPr>
              <w:rStyle w:val="PageNumber"/>
            </w:rPr>
            <w:fldChar w:fldCharType="separate"/>
          </w:r>
          <w:r>
            <w:rPr>
              <w:rStyle w:val="PageNumber"/>
              <w:noProof/>
            </w:rPr>
            <w:t>4</w:t>
          </w:r>
          <w:r w:rsidRPr="00093B03">
            <w:rPr>
              <w:rStyle w:val="PageNumber"/>
            </w:rPr>
            <w:fldChar w:fldCharType="end"/>
          </w:r>
        </w:p>
      </w:tc>
    </w:tr>
  </w:tbl>
  <w:p w14:paraId="4262F571" w14:textId="77777777" w:rsidR="00117C07" w:rsidRDefault="00117C07" w:rsidP="008A4C80">
    <w:pPr>
      <w:pStyle w:val="Footer"/>
    </w:pPr>
    <w:r>
      <w:rPr>
        <w:noProof/>
        <w:lang w:eastAsia="en-AU"/>
      </w:rPr>
      <w:drawing>
        <wp:anchor distT="0" distB="0" distL="114300" distR="114300" simplePos="0" relativeHeight="251661312" behindDoc="1" locked="1" layoutInCell="0" allowOverlap="1" wp14:anchorId="6C44069E" wp14:editId="08BECAF8">
          <wp:simplePos x="0" y="0"/>
          <wp:positionH relativeFrom="page">
            <wp:posOffset>0</wp:posOffset>
          </wp:positionH>
          <wp:positionV relativeFrom="page">
            <wp:align>bottom</wp:align>
          </wp:positionV>
          <wp:extent cx="7635600" cy="156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a:extLst>
                      <a:ext uri="{28A0092B-C50C-407E-A947-70E740481C1C}">
                        <a14:useLocalDpi xmlns:a14="http://schemas.microsoft.com/office/drawing/2010/main" val="0"/>
                      </a:ext>
                    </a:extLst>
                  </a:blip>
                  <a:stretch>
                    <a:fillRect/>
                  </a:stretch>
                </pic:blipFill>
                <pic:spPr>
                  <a:xfrm flipH="1">
                    <a:off x="0" y="0"/>
                    <a:ext cx="7635600" cy="1569600"/>
                  </a:xfrm>
                  <a:prstGeom prst="rect">
                    <a:avLst/>
                  </a:prstGeom>
                </pic:spPr>
              </pic:pic>
            </a:graphicData>
          </a:graphic>
          <wp14:sizeRelH relativeFrom="page">
            <wp14:pctWidth>0</wp14:pctWidth>
          </wp14:sizeRelH>
          <wp14:sizeRelV relativeFrom="page">
            <wp14:pctHeight>0</wp14:pctHeight>
          </wp14:sizeRelV>
        </wp:anchor>
      </w:drawing>
    </w:r>
  </w:p>
  <w:p w14:paraId="696ECEFC" w14:textId="77777777" w:rsidR="00117C07" w:rsidRDefault="00117C07" w:rsidP="008A4C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E8574" w14:textId="77777777" w:rsidR="00117C07" w:rsidRDefault="00117C07" w:rsidP="008A4C80">
    <w:pPr>
      <w:pStyle w:val="Footer"/>
    </w:pPr>
  </w:p>
  <w:p w14:paraId="6A429AD7" w14:textId="77777777" w:rsidR="00117C07" w:rsidRDefault="00117C07" w:rsidP="008A4C80">
    <w:pPr>
      <w:pStyle w:val="Footer"/>
    </w:pPr>
    <w:r>
      <w:rPr>
        <w:noProof/>
      </w:rPr>
      <mc:AlternateContent>
        <mc:Choice Requires="wps">
          <w:drawing>
            <wp:anchor distT="45720" distB="45720" distL="114300" distR="114300" simplePos="0" relativeHeight="251667456" behindDoc="0" locked="0" layoutInCell="1" allowOverlap="1" wp14:anchorId="1A7D5168" wp14:editId="54A8B6EE">
              <wp:simplePos x="0" y="0"/>
              <wp:positionH relativeFrom="margin">
                <wp:posOffset>0</wp:posOffset>
              </wp:positionH>
              <wp:positionV relativeFrom="paragraph">
                <wp:posOffset>116738</wp:posOffset>
              </wp:positionV>
              <wp:extent cx="49530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FFFFFF"/>
                      </a:solidFill>
                      <a:ln w="9525">
                        <a:noFill/>
                        <a:miter lim="800000"/>
                        <a:headEnd/>
                        <a:tailEnd/>
                      </a:ln>
                    </wps:spPr>
                    <wps:txbx>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5E6FD8B0" w14:textId="7D469787" w:rsidR="00117C07" w:rsidRPr="00754D44" w:rsidRDefault="00117C07" w:rsidP="007F5854">
                              <w:pPr>
                                <w:pStyle w:val="Footer"/>
                              </w:pPr>
                              <w:r>
                                <w:t>Consultation Paper: National Health (Privacy) Rules 2018 review</w:t>
                              </w:r>
                            </w:p>
                          </w:sdtContent>
                        </w:sdt>
                        <w:p w14:paraId="03D8AEC9" w14:textId="77777777" w:rsidR="00117C07" w:rsidRPr="00754D44" w:rsidRDefault="00117C07" w:rsidP="007F5854">
                          <w:pPr>
                            <w:pStyle w:val="Footer"/>
                          </w:pPr>
                          <w:r w:rsidRPr="00754D44">
                            <w:t>oaic.gov.au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A7D5168" id="_x0000_t202" coordsize="21600,21600" o:spt="202" path="m,l,21600r21600,l21600,xe">
              <v:stroke joinstyle="miter"/>
              <v:path gradientshapeok="t" o:connecttype="rect"/>
            </v:shapetype>
            <v:shape id="Text Box 2" o:spid="_x0000_s1026" type="#_x0000_t202" style="position:absolute;margin-left:0;margin-top:9.2pt;width:390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" stroked="f">
              <v:textbox inset="0,0,0,0">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Content>
                      <w:p w14:paraId="5E6FD8B0" w14:textId="7D469787" w:rsidR="00117C07" w:rsidRPr="00754D44" w:rsidRDefault="00117C07" w:rsidP="007F5854">
                        <w:pPr>
                          <w:pStyle w:val="Footer"/>
                        </w:pPr>
                        <w:r>
                          <w:t>Consultation Paper: National Health (Privacy) Rules 2018 review</w:t>
                        </w:r>
                      </w:p>
                    </w:sdtContent>
                  </w:sdt>
                  <w:p w14:paraId="03D8AEC9" w14:textId="77777777" w:rsidR="00117C07" w:rsidRPr="00754D44" w:rsidRDefault="00117C07" w:rsidP="007F5854">
                    <w:pPr>
                      <w:pStyle w:val="Footer"/>
                    </w:pPr>
                    <w:r w:rsidRPr="00754D44">
                      <w:t>oaic.gov.au</w:t>
                    </w:r>
                  </w:p>
                </w:txbxContent>
              </v:textbox>
              <w10:wrap anchorx="margin"/>
            </v:shape>
          </w:pict>
        </mc:Fallback>
      </mc:AlternateContent>
    </w:r>
  </w:p>
  <w:p w14:paraId="183B12EF" w14:textId="77777777" w:rsidR="00117C07" w:rsidRPr="00462513" w:rsidRDefault="00117C07" w:rsidP="007F5854">
    <w:pPr>
      <w:pStyle w:val="Footer"/>
      <w:jc w:val="right"/>
    </w:pPr>
    <w:r>
      <w:t xml:space="preserve">Page </w:t>
    </w:r>
    <w:r w:rsidRPr="00462513">
      <w:fldChar w:fldCharType="begin"/>
    </w:r>
    <w:r w:rsidRPr="00462513">
      <w:instrText xml:space="preserve"> PAGE   \* MERGEFORMAT </w:instrText>
    </w:r>
    <w:r w:rsidRPr="00462513">
      <w:fldChar w:fldCharType="separate"/>
    </w:r>
    <w:r>
      <w:rPr>
        <w:noProof/>
      </w:rPr>
      <w:t>2</w:t>
    </w:r>
    <w:r w:rsidRPr="004625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12710" w14:textId="77777777" w:rsidR="00117C07" w:rsidRDefault="00117C07" w:rsidP="008A4C80">
    <w:pPr>
      <w:pStyle w:val="Footer"/>
    </w:pPr>
    <w:r>
      <w:rPr>
        <w:noProof/>
      </w:rPr>
      <w:drawing>
        <wp:anchor distT="0" distB="0" distL="114300" distR="114300" simplePos="0" relativeHeight="251665408" behindDoc="0" locked="0" layoutInCell="1" allowOverlap="1" wp14:anchorId="51D99944" wp14:editId="23D9AE88">
          <wp:simplePos x="0" y="0"/>
          <wp:positionH relativeFrom="column">
            <wp:posOffset>5334000</wp:posOffset>
          </wp:positionH>
          <wp:positionV relativeFrom="paragraph">
            <wp:posOffset>-352425</wp:posOffset>
          </wp:positionV>
          <wp:extent cx="838200" cy="83820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838200" cy="838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3A1EC" w14:textId="77777777" w:rsidR="003B3CDF" w:rsidRDefault="003B3CDF" w:rsidP="008A4C80">
      <w:r>
        <w:separator/>
      </w:r>
    </w:p>
  </w:footnote>
  <w:footnote w:type="continuationSeparator" w:id="0">
    <w:p w14:paraId="789003F1" w14:textId="77777777" w:rsidR="003B3CDF" w:rsidRDefault="003B3CDF" w:rsidP="008A4C80">
      <w:r>
        <w:continuationSeparator/>
      </w:r>
    </w:p>
    <w:p w14:paraId="47F42F35" w14:textId="77777777" w:rsidR="003B3CDF" w:rsidRDefault="003B3CDF" w:rsidP="008A4C80"/>
    <w:p w14:paraId="7DC3EB6D" w14:textId="77777777" w:rsidR="003B3CDF" w:rsidRDefault="003B3CDF" w:rsidP="008A4C80"/>
  </w:footnote>
  <w:footnote w:id="1">
    <w:p w14:paraId="5546498E" w14:textId="77777777" w:rsidR="00117C07" w:rsidRPr="007B1401" w:rsidRDefault="00117C07" w:rsidP="00BD7520">
      <w:pPr>
        <w:pStyle w:val="FootnoteText"/>
        <w:spacing w:line="276" w:lineRule="auto"/>
      </w:pPr>
      <w:r>
        <w:rPr>
          <w:rStyle w:val="FootnoteReference"/>
        </w:rPr>
        <w:footnoteRef/>
      </w:r>
      <w:r>
        <w:t xml:space="preserve"> Personal identification components includes any of the following: (a) the name of the person to whom the information relates; (b) the person’s address; (c) the person’s Medicare card number; (d) the person’s Pharmaceutical entitlements number – see National Health Act, s 135</w:t>
      </w:r>
      <w:proofErr w:type="gramStart"/>
      <w:r>
        <w:t>AA(</w:t>
      </w:r>
      <w:proofErr w:type="gramEnd"/>
      <w:r>
        <w:t>11).</w:t>
      </w:r>
    </w:p>
  </w:footnote>
  <w:footnote w:id="2">
    <w:p w14:paraId="67058F56" w14:textId="77777777" w:rsidR="00117C07" w:rsidRPr="007B1401" w:rsidRDefault="00117C07" w:rsidP="00F31C2D">
      <w:pPr>
        <w:pStyle w:val="FootnoteText"/>
      </w:pPr>
      <w:r>
        <w:rPr>
          <w:rStyle w:val="FootnoteReference"/>
        </w:rPr>
        <w:footnoteRef/>
      </w:r>
      <w:r>
        <w:t xml:space="preserve"> See </w:t>
      </w:r>
      <w:hyperlink r:id="rId1" w:history="1">
        <w:r w:rsidRPr="007A41C5">
          <w:rPr>
            <w:rStyle w:val="Hyperlink"/>
          </w:rPr>
          <w:t>https://www.ag.gov.au/integrity/consultations/review-privacy-act-1988</w:t>
        </w:r>
      </w:hyperlink>
    </w:p>
  </w:footnote>
  <w:footnote w:id="3">
    <w:p w14:paraId="00CD1E9C" w14:textId="77777777" w:rsidR="00117C07" w:rsidRPr="007B1401" w:rsidRDefault="00117C07" w:rsidP="009E3805">
      <w:pPr>
        <w:pStyle w:val="FootnoteText"/>
      </w:pPr>
      <w:r>
        <w:rPr>
          <w:rStyle w:val="FootnoteReference"/>
        </w:rPr>
        <w:footnoteRef/>
      </w:r>
      <w:r>
        <w:t xml:space="preserve"> See National Health (Privacy) Rules 2018, cl 15(4).</w:t>
      </w:r>
    </w:p>
  </w:footnote>
  <w:footnote w:id="4">
    <w:p w14:paraId="45AD89FA" w14:textId="77777777" w:rsidR="00117C07" w:rsidRDefault="00117C07" w:rsidP="009E3805">
      <w:pPr>
        <w:pStyle w:val="FootnoteText"/>
      </w:pPr>
      <w:r>
        <w:rPr>
          <w:rStyle w:val="FootnoteReference"/>
        </w:rPr>
        <w:footnoteRef/>
      </w:r>
      <w:r>
        <w:t xml:space="preserve"> </w:t>
      </w:r>
      <w:hyperlink r:id="rId2" w:history="1">
        <w:r>
          <w:rPr>
            <w:rStyle w:val="Hyperlink"/>
          </w:rPr>
          <w:t xml:space="preserve">Senate Select Committee on Health, Sixth Interim Report, Big health data: Australia's big potential </w:t>
        </w:r>
      </w:hyperlink>
      <w:r>
        <w:t xml:space="preserve"> at 4.19.</w:t>
      </w:r>
    </w:p>
  </w:footnote>
  <w:footnote w:id="5">
    <w:p w14:paraId="7E57FF51" w14:textId="77777777" w:rsidR="00117C07" w:rsidRPr="00A23FFE" w:rsidRDefault="00117C07" w:rsidP="009E3805">
      <w:pPr>
        <w:pStyle w:val="FootnoteText"/>
      </w:pPr>
      <w:r>
        <w:rPr>
          <w:rStyle w:val="FootnoteReference"/>
        </w:rPr>
        <w:footnoteRef/>
      </w:r>
      <w:r>
        <w:t xml:space="preserve"> See National Health (Privacy) Rules 2018, cl 7.</w:t>
      </w:r>
    </w:p>
  </w:footnote>
  <w:footnote w:id="6">
    <w:p w14:paraId="10EAB998" w14:textId="77777777" w:rsidR="00117C07" w:rsidRPr="00A23FFE" w:rsidRDefault="00117C07" w:rsidP="009E3805">
      <w:pPr>
        <w:pStyle w:val="FootnoteText"/>
      </w:pPr>
      <w:r>
        <w:rPr>
          <w:rStyle w:val="FootnoteReference"/>
        </w:rPr>
        <w:footnoteRef/>
      </w:r>
      <w:r>
        <w:t xml:space="preserve"> See </w:t>
      </w:r>
      <w:r>
        <w:rPr>
          <w:i/>
          <w:iCs/>
        </w:rPr>
        <w:t>National Health Act 1953</w:t>
      </w:r>
      <w:r>
        <w:t>, s 135AA(5)(d).</w:t>
      </w:r>
    </w:p>
  </w:footnote>
  <w:footnote w:id="7">
    <w:p w14:paraId="17DEB6BE" w14:textId="77777777" w:rsidR="00117C07" w:rsidRPr="00602764" w:rsidRDefault="00117C07" w:rsidP="009E3805">
      <w:pPr>
        <w:pStyle w:val="FootnoteText"/>
      </w:pPr>
      <w:r>
        <w:rPr>
          <w:rStyle w:val="FootnoteReference"/>
        </w:rPr>
        <w:footnoteRef/>
      </w:r>
      <w:r>
        <w:t xml:space="preserve"> National Health (Privacy) Rules 2018 </w:t>
      </w:r>
      <w:hyperlink r:id="rId3" w:history="1">
        <w:r w:rsidRPr="00104222">
          <w:rPr>
            <w:rStyle w:val="Hyperlink"/>
          </w:rPr>
          <w:t>Explanatory Statement</w:t>
        </w:r>
      </w:hyperlink>
      <w:r>
        <w:t>.</w:t>
      </w:r>
    </w:p>
  </w:footnote>
  <w:footnote w:id="8">
    <w:p w14:paraId="3326CC26" w14:textId="77777777" w:rsidR="00117C07" w:rsidRPr="00BF4C07" w:rsidRDefault="00117C07" w:rsidP="009E3805">
      <w:pPr>
        <w:pStyle w:val="FootnoteText"/>
      </w:pPr>
      <w:r>
        <w:rPr>
          <w:rStyle w:val="FootnoteReference"/>
        </w:rPr>
        <w:footnoteRef/>
      </w:r>
      <w:r>
        <w:t xml:space="preserve"> See National Health (Privacy) Rules 2018, cl 8(4). See also National Health (Privacy) Rules 2018 </w:t>
      </w:r>
      <w:hyperlink r:id="rId4" w:history="1">
        <w:r w:rsidRPr="00104222">
          <w:rPr>
            <w:rStyle w:val="Hyperlink"/>
          </w:rPr>
          <w:t>Explanatory Statement</w:t>
        </w:r>
      </w:hyperlink>
      <w:r>
        <w:t>.</w:t>
      </w:r>
    </w:p>
  </w:footnote>
  <w:footnote w:id="9">
    <w:p w14:paraId="72729F19" w14:textId="77777777" w:rsidR="00117C07" w:rsidRPr="00652E4F" w:rsidRDefault="00117C07" w:rsidP="009E3805">
      <w:pPr>
        <w:pStyle w:val="FootnoteText"/>
      </w:pPr>
      <w:r>
        <w:rPr>
          <w:rStyle w:val="FootnoteReference"/>
        </w:rPr>
        <w:footnoteRef/>
      </w:r>
      <w:r>
        <w:t xml:space="preserve"> National Health (Privacy) Rules 2018, cl 8(5).</w:t>
      </w:r>
    </w:p>
  </w:footnote>
  <w:footnote w:id="10">
    <w:p w14:paraId="723AE1E9" w14:textId="77777777" w:rsidR="00117C07" w:rsidRPr="00104222" w:rsidRDefault="00117C07" w:rsidP="00472BD7">
      <w:pPr>
        <w:pStyle w:val="FootnoteText"/>
      </w:pPr>
      <w:r>
        <w:rPr>
          <w:rStyle w:val="FootnoteReference"/>
        </w:rPr>
        <w:footnoteRef/>
      </w:r>
      <w:r>
        <w:t xml:space="preserve"> National Health (Privacy) Rules 2018 </w:t>
      </w:r>
      <w:hyperlink r:id="rId5" w:history="1">
        <w:r w:rsidRPr="00104222">
          <w:rPr>
            <w:rStyle w:val="Hyperlink"/>
          </w:rPr>
          <w:t>Explanatory Statement</w:t>
        </w:r>
      </w:hyperlink>
      <w:r>
        <w:t>.</w:t>
      </w:r>
    </w:p>
  </w:footnote>
  <w:footnote w:id="11">
    <w:p w14:paraId="71A61E7E" w14:textId="77777777" w:rsidR="00117C07" w:rsidRPr="001C4F34" w:rsidRDefault="00117C07" w:rsidP="001B515A">
      <w:pPr>
        <w:pStyle w:val="FootnoteText"/>
      </w:pPr>
      <w:r>
        <w:rPr>
          <w:rStyle w:val="FootnoteReference"/>
        </w:rPr>
        <w:footnoteRef/>
      </w:r>
      <w:r>
        <w:t xml:space="preserve"> See National Health (Privacy) Rules 2018, cl 9(1).</w:t>
      </w:r>
    </w:p>
  </w:footnote>
  <w:footnote w:id="12">
    <w:p w14:paraId="69496209" w14:textId="77777777" w:rsidR="00117C07" w:rsidRPr="0007130A" w:rsidRDefault="00117C07" w:rsidP="001B515A">
      <w:pPr>
        <w:pStyle w:val="FootnoteText"/>
      </w:pPr>
      <w:r>
        <w:rPr>
          <w:rStyle w:val="FootnoteReference"/>
        </w:rPr>
        <w:footnoteRef/>
      </w:r>
      <w:r>
        <w:t xml:space="preserve"> See National Health (Privacy) Rules 2018, Explanatory Statement.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Borders>
        <w:bottom w:val="single" w:sz="4" w:space="0" w:color="DDD8D9" w:themeColor="accent1"/>
      </w:tblBorders>
      <w:tblLayout w:type="fixed"/>
      <w:tblLook w:val="04A0" w:firstRow="1" w:lastRow="0" w:firstColumn="1" w:lastColumn="0" w:noHBand="0" w:noVBand="1"/>
      <w:tblCaption w:val="Header Grid — Containing title and date"/>
      <w:tblDescription w:val="Header Grid — Containing title and date"/>
    </w:tblPr>
    <w:tblGrid>
      <w:gridCol w:w="9332"/>
    </w:tblGrid>
    <w:tr w:rsidR="00117C07" w14:paraId="2DFF4E54" w14:textId="77777777" w:rsidTr="00156E08">
      <w:trPr>
        <w:trHeight w:hRule="exact" w:val="539"/>
        <w:tblHeader/>
      </w:trPr>
      <w:tc>
        <w:tcPr>
          <w:tcW w:w="9354" w:type="dxa"/>
          <w:vAlign w:val="center"/>
        </w:tcPr>
        <w:p w14:paraId="1EB5580B" w14:textId="77777777" w:rsidR="00117C07" w:rsidRDefault="00117C07" w:rsidP="00E37BA7">
          <w:pPr>
            <w:pStyle w:val="HeaderTitle"/>
          </w:pPr>
          <w:r>
            <w:fldChar w:fldCharType="begin"/>
          </w:r>
          <w:r>
            <w:instrText xml:space="preserve"> STYLEREF  "Heading 1" </w:instrText>
          </w:r>
          <w:r>
            <w:fldChar w:fldCharType="separate"/>
          </w:r>
          <w:r>
            <w:rPr>
              <w:b/>
              <w:bCs/>
              <w:noProof/>
              <w:lang w:val="en-US"/>
            </w:rPr>
            <w:t>Error! No text of specified style in document.</w:t>
          </w:r>
          <w:r>
            <w:rPr>
              <w:noProof/>
            </w:rPr>
            <w:fldChar w:fldCharType="end"/>
          </w:r>
          <w:r w:rsidRPr="00916546">
            <w:t xml:space="preserve">, </w:t>
          </w:r>
          <w:r>
            <w:fldChar w:fldCharType="begin"/>
          </w:r>
          <w:r>
            <w:instrText xml:space="preserve"> STYLEREF  "Cover Date" </w:instrText>
          </w:r>
          <w:r>
            <w:fldChar w:fldCharType="separate"/>
          </w:r>
          <w:r>
            <w:rPr>
              <w:b/>
              <w:bCs/>
              <w:noProof/>
              <w:lang w:val="en-US"/>
            </w:rPr>
            <w:t>Error! No text of specified style in document.</w:t>
          </w:r>
          <w:r>
            <w:rPr>
              <w:noProof/>
            </w:rPr>
            <w:fldChar w:fldCharType="end"/>
          </w:r>
        </w:p>
      </w:tc>
    </w:tr>
  </w:tbl>
  <w:p w14:paraId="366CA610" w14:textId="77777777" w:rsidR="00117C07" w:rsidRDefault="00117C07" w:rsidP="008A4C80">
    <w:pPr>
      <w:pStyle w:val="Header"/>
    </w:pPr>
  </w:p>
  <w:p w14:paraId="012B7A79" w14:textId="77777777" w:rsidR="00117C07" w:rsidRDefault="00117C07" w:rsidP="008A4C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A2BFD" w14:textId="561D4B09" w:rsidR="00117C07" w:rsidRPr="00947173" w:rsidRDefault="003B3CDF" w:rsidP="00E37BA7">
    <w:pPr>
      <w:pStyle w:val="HeaderTitle"/>
    </w:pPr>
    <w:sdt>
      <w:sdtPr>
        <w:alias w:val="Publish Date"/>
        <w:tag w:val=""/>
        <w:id w:val="-1389961487"/>
        <w:dataBinding w:prefixMappings="xmlns:ns0='http://schemas.microsoft.com/office/2006/coverPageProps' " w:xpath="/ns0:CoverPageProperties[1]/ns0:PublishDate[1]" w:storeItemID="{55AF091B-3C7A-41E3-B477-F2FDAA23CFDA}"/>
        <w:date w:fullDate="2020-05-05T00:00:00Z">
          <w:dateFormat w:val="MMMM yyyy"/>
          <w:lid w:val="en-AU"/>
          <w:storeMappedDataAs w:val="dateTime"/>
          <w:calendar w:val="gregorian"/>
        </w:date>
      </w:sdtPr>
      <w:sdtEndPr/>
      <w:sdtContent>
        <w:r w:rsidR="00117C07">
          <w:t>May 2020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50A04" w14:textId="77777777" w:rsidR="00117C07" w:rsidRDefault="00117C07" w:rsidP="008A4C80">
    <w:pPr>
      <w:pStyle w:val="Header"/>
    </w:pPr>
    <w:r>
      <w:rPr>
        <w:noProof/>
      </w:rPr>
      <w:drawing>
        <wp:anchor distT="0" distB="0" distL="114300" distR="114300" simplePos="0" relativeHeight="251660287" behindDoc="0" locked="0" layoutInCell="1" allowOverlap="1" wp14:anchorId="677EB27B" wp14:editId="029219B7">
          <wp:simplePos x="0" y="0"/>
          <wp:positionH relativeFrom="column">
            <wp:posOffset>-1237972</wp:posOffset>
          </wp:positionH>
          <wp:positionV relativeFrom="paragraph">
            <wp:posOffset>-586740</wp:posOffset>
          </wp:positionV>
          <wp:extent cx="7410450" cy="10324218"/>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410450" cy="10324218"/>
                  </a:xfrm>
                  <a:prstGeom prst="rect">
                    <a:avLst/>
                  </a:prstGeom>
                </pic:spPr>
              </pic:pic>
            </a:graphicData>
          </a:graphic>
          <wp14:sizeRelH relativeFrom="margin">
            <wp14:pctWidth>0</wp14:pctWidth>
          </wp14:sizeRelH>
          <wp14:sizeRelV relativeFrom="margin">
            <wp14:pctHeight>0</wp14:pctHeight>
          </wp14:sizeRelV>
        </wp:anchor>
      </w:drawing>
    </w:r>
    <w:r w:rsidRPr="00181133">
      <w:rPr>
        <w:noProof/>
      </w:rPr>
      <w:drawing>
        <wp:anchor distT="0" distB="0" distL="114300" distR="114300" simplePos="0" relativeHeight="251663360" behindDoc="0" locked="0" layoutInCell="1" allowOverlap="1" wp14:anchorId="39F12CB7" wp14:editId="744D3AE7">
          <wp:simplePos x="0" y="0"/>
          <wp:positionH relativeFrom="column">
            <wp:posOffset>0</wp:posOffset>
          </wp:positionH>
          <wp:positionV relativeFrom="paragraph">
            <wp:posOffset>514350</wp:posOffset>
          </wp:positionV>
          <wp:extent cx="4648200" cy="673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0" cy="673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2356"/>
    <w:multiLevelType w:val="hybridMultilevel"/>
    <w:tmpl w:val="3E0837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A73B59"/>
    <w:multiLevelType w:val="multilevel"/>
    <w:tmpl w:val="677EED32"/>
    <w:styleLink w:val="NumbersOAIC"/>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2" w15:restartNumberingAfterBreak="0">
    <w:nsid w:val="08612297"/>
    <w:multiLevelType w:val="multilevel"/>
    <w:tmpl w:val="F314CDAC"/>
    <w:styleLink w:val="IndentNumbersOAIC"/>
    <w:lvl w:ilvl="0">
      <w:start w:val="1"/>
      <w:numFmt w:val="lowerLetter"/>
      <w:pStyle w:val="List"/>
      <w:lvlText w:val="%1."/>
      <w:lvlJc w:val="left"/>
      <w:pPr>
        <w:ind w:left="851" w:hanging="284"/>
      </w:pPr>
      <w:rPr>
        <w:rFonts w:hint="default"/>
      </w:rPr>
    </w:lvl>
    <w:lvl w:ilvl="1">
      <w:start w:val="1"/>
      <w:numFmt w:val="lowerRoman"/>
      <w:pStyle w:val="List2"/>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3"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F65BD3"/>
    <w:multiLevelType w:val="multilevel"/>
    <w:tmpl w:val="677EED32"/>
    <w:numStyleLink w:val="NumbersOAIC"/>
  </w:abstractNum>
  <w:abstractNum w:abstractNumId="5" w15:restartNumberingAfterBreak="0">
    <w:nsid w:val="0E200221"/>
    <w:multiLevelType w:val="multilevel"/>
    <w:tmpl w:val="4E0A37FE"/>
    <w:styleLink w:val="Notes"/>
    <w:lvl w:ilvl="0">
      <w:start w:val="1"/>
      <w:numFmt w:val="lowerLetter"/>
      <w:pStyle w:val="TableNotes"/>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A1534B"/>
    <w:multiLevelType w:val="multilevel"/>
    <w:tmpl w:val="4E9C4C7E"/>
    <w:styleLink w:val="BulletsOAIC"/>
    <w:lvl w:ilvl="0">
      <w:start w:val="1"/>
      <w:numFmt w:val="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7" w15:restartNumberingAfterBreak="0">
    <w:nsid w:val="159E766F"/>
    <w:multiLevelType w:val="multilevel"/>
    <w:tmpl w:val="CCEABB40"/>
    <w:lvl w:ilvl="0">
      <w:start w:val="1"/>
      <w:numFmt w:val="decimal"/>
      <w:pStyle w:val="Heading1-Numbered"/>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8"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9" w15:restartNumberingAfterBreak="0">
    <w:nsid w:val="293D48F1"/>
    <w:multiLevelType w:val="multilevel"/>
    <w:tmpl w:val="F3E668B6"/>
    <w:lvl w:ilvl="0">
      <w:start w:val="1"/>
      <w:numFmt w:val="decimal"/>
      <w:lvlText w:val="%1."/>
      <w:lvlJc w:val="left"/>
      <w:pPr>
        <w:ind w:left="720" w:hanging="360"/>
      </w:pPr>
      <w:rPr>
        <w:rFonts w:hint="default"/>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30641B3E"/>
    <w:multiLevelType w:val="multilevel"/>
    <w:tmpl w:val="4E0A37FE"/>
    <w:numStyleLink w:val="Notes"/>
  </w:abstractNum>
  <w:abstractNum w:abstractNumId="11" w15:restartNumberingAfterBreak="0">
    <w:nsid w:val="34D57C5A"/>
    <w:multiLevelType w:val="multilevel"/>
    <w:tmpl w:val="D3700BCE"/>
    <w:styleLink w:val="NumberedParagraphsList"/>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2" w15:restartNumberingAfterBreak="0">
    <w:nsid w:val="3AAF78E5"/>
    <w:multiLevelType w:val="multilevel"/>
    <w:tmpl w:val="01BE18CC"/>
    <w:styleLink w:val="IndentBullet"/>
    <w:lvl w:ilvl="0">
      <w:start w:val="1"/>
      <w:numFmt w:val="bullet"/>
      <w:pStyle w:val="IndentBullet1"/>
      <w:lvlText w:val=""/>
      <w:lvlJc w:val="left"/>
      <w:pPr>
        <w:ind w:left="567" w:hanging="283"/>
      </w:pPr>
      <w:rPr>
        <w:rFonts w:ascii="Symbol" w:hAnsi="Symbol" w:cs="Courier New" w:hint="default"/>
      </w:rPr>
    </w:lvl>
    <w:lvl w:ilvl="1">
      <w:start w:val="1"/>
      <w:numFmt w:val="bullet"/>
      <w:pStyle w:val="IndentBullet2"/>
      <w:lvlText w:val="o"/>
      <w:lvlJc w:val="left"/>
      <w:pPr>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DD77D1"/>
    <w:multiLevelType w:val="multilevel"/>
    <w:tmpl w:val="1AA6B84C"/>
    <w:lvl w:ilvl="0">
      <w:start w:val="1"/>
      <w:numFmt w:val="decimal"/>
      <w:pStyle w:val="NumberedMultilevelList-1"/>
      <w:lvlText w:val="%1."/>
      <w:lvlJc w:val="left"/>
      <w:pPr>
        <w:ind w:left="283" w:hanging="283"/>
      </w:pPr>
      <w:rPr>
        <w:rFonts w:ascii="Arial" w:hAnsi="Arial" w:cs="Times New Roman" w:hint="default"/>
        <w:b w:val="0"/>
        <w:bCs w:val="0"/>
        <w:i w:val="0"/>
        <w:iCs w:val="0"/>
        <w:caps w:val="0"/>
        <w:smallCaps w:val="0"/>
        <w:strike w:val="0"/>
        <w:dstrike w:val="0"/>
        <w:noProof w:val="0"/>
        <w:vanish w:val="0"/>
        <w:color w:val="F3DD6D" w:themeColor="accent2"/>
        <w:spacing w:val="0"/>
        <w:kern w:val="0"/>
        <w:position w:val="0"/>
        <w:sz w:val="20"/>
        <w:u w:val="none"/>
        <w:effect w:val="none"/>
        <w:vertAlign w:val="baseline"/>
        <w:em w:val="none"/>
        <w:specVanish w:val="0"/>
      </w:rPr>
    </w:lvl>
    <w:lvl w:ilvl="1">
      <w:start w:val="1"/>
      <w:numFmt w:val="lowerLetter"/>
      <w:pStyle w:val="NumberedMultilevelList-a"/>
      <w:lvlText w:val="(%2)"/>
      <w:lvlJc w:val="left"/>
      <w:pPr>
        <w:ind w:left="850" w:hanging="425"/>
      </w:pPr>
      <w:rPr>
        <w:rFonts w:ascii="Arial" w:hAnsi="Arial" w:hint="default"/>
        <w:color w:val="F3DD6D" w:themeColor="accent2"/>
        <w:sz w:val="20"/>
      </w:rPr>
    </w:lvl>
    <w:lvl w:ilvl="2">
      <w:start w:val="1"/>
      <w:numFmt w:val="lowerRoman"/>
      <w:pStyle w:val="NumberedMultilevelList-i"/>
      <w:lvlText w:val="(%3)"/>
      <w:lvlJc w:val="left"/>
      <w:pPr>
        <w:ind w:left="1275" w:hanging="425"/>
      </w:pPr>
      <w:rPr>
        <w:rFonts w:ascii="Arial" w:hAnsi="Arial" w:hint="default"/>
        <w:color w:val="F3DD6D" w:themeColor="accent2"/>
        <w:sz w:val="20"/>
      </w:rPr>
    </w:lvl>
    <w:lvl w:ilvl="3">
      <w:start w:val="1"/>
      <w:numFmt w:val="upperLetter"/>
      <w:pStyle w:val="NumberedMultilevelList-A0"/>
      <w:lvlText w:val="%4."/>
      <w:lvlJc w:val="left"/>
      <w:pPr>
        <w:ind w:left="1701" w:hanging="426"/>
      </w:pPr>
      <w:rPr>
        <w:rFonts w:ascii="Arial" w:hAnsi="Arial" w:hint="default"/>
        <w:color w:val="F3DD6D" w:themeColor="accent2"/>
        <w:sz w:val="20"/>
      </w:rPr>
    </w:lvl>
    <w:lvl w:ilvl="4">
      <w:start w:val="1"/>
      <w:numFmt w:val="lowerLetter"/>
      <w:lvlText w:val="%5."/>
      <w:lvlJc w:val="left"/>
      <w:pPr>
        <w:tabs>
          <w:tab w:val="num" w:pos="3403"/>
        </w:tabs>
        <w:ind w:left="3261" w:hanging="709"/>
      </w:pPr>
      <w:rPr>
        <w:rFonts w:hint="default"/>
      </w:rPr>
    </w:lvl>
    <w:lvl w:ilvl="5">
      <w:start w:val="1"/>
      <w:numFmt w:val="lowerRoman"/>
      <w:lvlText w:val="%6."/>
      <w:lvlJc w:val="left"/>
      <w:pPr>
        <w:tabs>
          <w:tab w:val="num" w:pos="4112"/>
        </w:tabs>
        <w:ind w:left="3970" w:hanging="709"/>
      </w:pPr>
      <w:rPr>
        <w:rFonts w:hint="default"/>
      </w:rPr>
    </w:lvl>
    <w:lvl w:ilvl="6">
      <w:start w:val="1"/>
      <w:numFmt w:val="decimal"/>
      <w:lvlText w:val="%7."/>
      <w:lvlJc w:val="left"/>
      <w:pPr>
        <w:tabs>
          <w:tab w:val="num" w:pos="4821"/>
        </w:tabs>
        <w:ind w:left="4679" w:hanging="709"/>
      </w:pPr>
      <w:rPr>
        <w:rFonts w:hint="default"/>
      </w:rPr>
    </w:lvl>
    <w:lvl w:ilvl="7">
      <w:start w:val="1"/>
      <w:numFmt w:val="lowerLetter"/>
      <w:lvlText w:val="%8."/>
      <w:lvlJc w:val="left"/>
      <w:pPr>
        <w:tabs>
          <w:tab w:val="num" w:pos="5530"/>
        </w:tabs>
        <w:ind w:left="5388" w:hanging="709"/>
      </w:pPr>
      <w:rPr>
        <w:rFonts w:hint="default"/>
      </w:rPr>
    </w:lvl>
    <w:lvl w:ilvl="8">
      <w:start w:val="1"/>
      <w:numFmt w:val="lowerRoman"/>
      <w:lvlText w:val="%9."/>
      <w:lvlJc w:val="left"/>
      <w:pPr>
        <w:tabs>
          <w:tab w:val="num" w:pos="6239"/>
        </w:tabs>
        <w:ind w:left="6097" w:hanging="709"/>
      </w:pPr>
      <w:rPr>
        <w:rFonts w:hint="default"/>
      </w:rPr>
    </w:lvl>
  </w:abstractNum>
  <w:abstractNum w:abstractNumId="14" w15:restartNumberingAfterBreak="0">
    <w:nsid w:val="3E575E1A"/>
    <w:multiLevelType w:val="multilevel"/>
    <w:tmpl w:val="2DDA5A1C"/>
    <w:styleLink w:val="Bullets"/>
    <w:lvl w:ilvl="0">
      <w:start w:val="1"/>
      <w:numFmt w:val="bullet"/>
      <w:pStyle w:val="ListBullet"/>
      <w:lvlText w:val=""/>
      <w:lvlJc w:val="left"/>
      <w:pPr>
        <w:ind w:left="284" w:hanging="284"/>
      </w:pPr>
      <w:rPr>
        <w:rFonts w:ascii="Symbol" w:hAnsi="Symbol" w:cs="Times New Roman" w:hint="default"/>
      </w:rPr>
    </w:lvl>
    <w:lvl w:ilvl="1">
      <w:start w:val="1"/>
      <w:numFmt w:val="bullet"/>
      <w:pStyle w:val="ListBullet2"/>
      <w:lvlText w:val="−"/>
      <w:lvlJc w:val="left"/>
      <w:pPr>
        <w:ind w:left="567" w:hanging="283"/>
      </w:pPr>
      <w:rPr>
        <w:rFonts w:ascii="Times New Roman" w:hAnsi="Times New Roman" w:cs="Times New Roman" w:hint="default"/>
        <w:w w:val="90"/>
      </w:rPr>
    </w:lvl>
    <w:lvl w:ilvl="2">
      <w:start w:val="1"/>
      <w:numFmt w:val="bullet"/>
      <w:pStyle w:val="ListBullet3"/>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15" w15:restartNumberingAfterBreak="0">
    <w:nsid w:val="43D51381"/>
    <w:multiLevelType w:val="multilevel"/>
    <w:tmpl w:val="D1203646"/>
    <w:numStyleLink w:val="TableNumbersOAIC"/>
  </w:abstractNum>
  <w:abstractNum w:abstractNumId="16" w15:restartNumberingAfterBreak="0">
    <w:nsid w:val="45C01679"/>
    <w:multiLevelType w:val="multilevel"/>
    <w:tmpl w:val="F8B86660"/>
    <w:styleLink w:val="TOC"/>
    <w:lvl w:ilvl="0">
      <w:start w:val="1"/>
      <w:numFmt w:val="decimal"/>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B2F1A50"/>
    <w:multiLevelType w:val="multilevel"/>
    <w:tmpl w:val="22A6C150"/>
    <w:lvl w:ilvl="0">
      <w:start w:val="1"/>
      <w:numFmt w:val="decimal"/>
      <w:pStyle w:val="Heading2-Numbered"/>
      <w:suff w:val="space"/>
      <w:lvlText w:val="Part %1:"/>
      <w:lvlJc w:val="left"/>
      <w:pPr>
        <w:ind w:left="0" w:firstLine="0"/>
      </w:pPr>
      <w:rPr>
        <w:rFonts w:hint="default"/>
      </w:rPr>
    </w:lvl>
    <w:lvl w:ilvl="1">
      <w:start w:val="1"/>
      <w:numFmt w:val="decimal"/>
      <w:pStyle w:val="NumberedParagraphs"/>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8" w15:restartNumberingAfterBreak="0">
    <w:nsid w:val="516F549E"/>
    <w:multiLevelType w:val="multilevel"/>
    <w:tmpl w:val="24226E8E"/>
    <w:lvl w:ilvl="0">
      <w:start w:val="1"/>
      <w:numFmt w:val="bullet"/>
      <w:pStyle w:val="NormalBullet1"/>
      <w:lvlText w:val=""/>
      <w:lvlJc w:val="left"/>
      <w:pPr>
        <w:ind w:left="567" w:hanging="567"/>
      </w:pPr>
      <w:rPr>
        <w:rFonts w:ascii="Wingdings" w:hAnsi="Wingdings" w:hint="default"/>
        <w:color w:val="F3DD6D" w:themeColor="accent2"/>
        <w:sz w:val="16"/>
        <w:szCs w:val="14"/>
      </w:rPr>
    </w:lvl>
    <w:lvl w:ilvl="1">
      <w:start w:val="1"/>
      <w:numFmt w:val="bullet"/>
      <w:pStyle w:val="NormalBullet2"/>
      <w:lvlText w:val="o"/>
      <w:lvlJc w:val="left"/>
      <w:pPr>
        <w:ind w:left="1134" w:hanging="567"/>
      </w:pPr>
      <w:rPr>
        <w:rFonts w:ascii="Courier New" w:hAnsi="Courier New" w:hint="default"/>
        <w:color w:val="F3DD6D" w:themeColor="accent2"/>
        <w:sz w:val="24"/>
      </w:rPr>
    </w:lvl>
    <w:lvl w:ilvl="2">
      <w:start w:val="1"/>
      <w:numFmt w:val="bullet"/>
      <w:pStyle w:val="NormalBullet3"/>
      <w:lvlText w:val=""/>
      <w:lvlJc w:val="left"/>
      <w:pPr>
        <w:ind w:left="1701" w:hanging="567"/>
      </w:pPr>
      <w:rPr>
        <w:rFonts w:ascii="Symbol" w:hAnsi="Symbol" w:hint="default"/>
        <w:color w:val="F3DD6D" w:themeColor="accent2"/>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60515739"/>
    <w:multiLevelType w:val="multilevel"/>
    <w:tmpl w:val="85AA55EE"/>
    <w:lvl w:ilvl="0">
      <w:start w:val="1"/>
      <w:numFmt w:val="decimal"/>
      <w:lvlText w:val="%1."/>
      <w:lvlJc w:val="left"/>
      <w:pPr>
        <w:ind w:left="851" w:hanging="491"/>
      </w:pPr>
      <w:rPr>
        <w:rFonts w:hint="default"/>
      </w:rPr>
    </w:lvl>
    <w:lvl w:ilvl="1">
      <w:start w:val="1"/>
      <w:numFmt w:val="decimal"/>
      <w:isLgl/>
      <w:lvlText w:val="%1.%2"/>
      <w:lvlJc w:val="left"/>
      <w:pPr>
        <w:ind w:left="426" w:hanging="284"/>
      </w:pPr>
      <w:rPr>
        <w:rFonts w:hint="default"/>
      </w:rPr>
    </w:lvl>
    <w:lvl w:ilvl="2">
      <w:start w:val="1"/>
      <w:numFmt w:val="decimal"/>
      <w:isLgl/>
      <w:lvlText w:val="%1.%2.%3"/>
      <w:lvlJc w:val="left"/>
      <w:pPr>
        <w:ind w:left="1561" w:hanging="851"/>
      </w:pPr>
      <w:rPr>
        <w:rFonts w:hint="default"/>
      </w:rPr>
    </w:lvl>
    <w:lvl w:ilvl="3">
      <w:start w:val="1"/>
      <w:numFmt w:val="decimal"/>
      <w:isLgl/>
      <w:lvlText w:val="%1.%2.%3.%4"/>
      <w:lvlJc w:val="left"/>
      <w:pPr>
        <w:ind w:left="1134" w:hanging="77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7D057DA"/>
    <w:multiLevelType w:val="multilevel"/>
    <w:tmpl w:val="F6F4ACE0"/>
    <w:styleLink w:val="Numbers"/>
    <w:lvl w:ilvl="0">
      <w:start w:val="1"/>
      <w:numFmt w:val="decimal"/>
      <w:lvlText w:val="%1."/>
      <w:lvlJc w:val="left"/>
      <w:pPr>
        <w:tabs>
          <w:tab w:val="num" w:pos="360"/>
        </w:tabs>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73195C"/>
    <w:multiLevelType w:val="hybridMultilevel"/>
    <w:tmpl w:val="158AC6A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2"/>
  </w:num>
  <w:num w:numId="4">
    <w:abstractNumId w:val="8"/>
  </w:num>
  <w:num w:numId="5">
    <w:abstractNumId w:val="3"/>
  </w:num>
  <w:num w:numId="6">
    <w:abstractNumId w:val="6"/>
  </w:num>
  <w:num w:numId="7">
    <w:abstractNumId w:val="7"/>
  </w:num>
  <w:num w:numId="8">
    <w:abstractNumId w:val="15"/>
  </w:num>
  <w:num w:numId="9">
    <w:abstractNumId w:val="11"/>
  </w:num>
  <w:num w:numId="10">
    <w:abstractNumId w:val="2"/>
  </w:num>
  <w:num w:numId="11">
    <w:abstractNumId w:val="14"/>
  </w:num>
  <w:num w:numId="12">
    <w:abstractNumId w:val="16"/>
  </w:num>
  <w:num w:numId="13">
    <w:abstractNumId w:val="20"/>
  </w:num>
  <w:num w:numId="14">
    <w:abstractNumId w:val="5"/>
  </w:num>
  <w:num w:numId="15">
    <w:abstractNumId w:val="4"/>
  </w:num>
  <w:num w:numId="16">
    <w:abstractNumId w:val="10"/>
    <w:lvlOverride w:ilvl="0">
      <w:lvl w:ilvl="0">
        <w:start w:val="1"/>
        <w:numFmt w:val="lowerLetter"/>
        <w:pStyle w:val="TableNotes"/>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12"/>
  </w:num>
  <w:num w:numId="18">
    <w:abstractNumId w:val="17"/>
  </w:num>
  <w:num w:numId="19">
    <w:abstractNumId w:val="18"/>
  </w:num>
  <w:num w:numId="20">
    <w:abstractNumId w:val="9"/>
  </w:num>
  <w:num w:numId="21">
    <w:abstractNumId w:val="13"/>
  </w:num>
  <w:num w:numId="22">
    <w:abstractNumId w:val="0"/>
  </w:num>
  <w:num w:numId="23">
    <w:abstractNumId w:val="9"/>
  </w:num>
  <w:num w:numId="24">
    <w:abstractNumId w:val="9"/>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9"/>
  </w:num>
  <w:num w:numId="32">
    <w:abstractNumId w:val="4"/>
  </w:num>
  <w:num w:numId="33">
    <w:abstractNumId w:val="14"/>
  </w:num>
  <w:num w:numId="34">
    <w:abstractNumId w:val="4"/>
  </w:num>
  <w:num w:numId="35">
    <w:abstractNumId w:val="14"/>
  </w:num>
  <w:num w:numId="36">
    <w:abstractNumId w:val="14"/>
  </w:num>
  <w:num w:numId="37">
    <w:abstractNumId w:val="14"/>
  </w:num>
  <w:num w:numId="38">
    <w:abstractNumId w:val="14"/>
  </w:num>
  <w:num w:numId="39">
    <w:abstractNumId w:val="14"/>
  </w:num>
  <w:num w:numId="4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FE"/>
    <w:rsid w:val="000000CD"/>
    <w:rsid w:val="000008CD"/>
    <w:rsid w:val="00003276"/>
    <w:rsid w:val="00005974"/>
    <w:rsid w:val="00007404"/>
    <w:rsid w:val="000113D7"/>
    <w:rsid w:val="0001377B"/>
    <w:rsid w:val="00015173"/>
    <w:rsid w:val="000151F4"/>
    <w:rsid w:val="0002032D"/>
    <w:rsid w:val="00021409"/>
    <w:rsid w:val="00021925"/>
    <w:rsid w:val="00026AD8"/>
    <w:rsid w:val="000358D7"/>
    <w:rsid w:val="0004248F"/>
    <w:rsid w:val="00043C6D"/>
    <w:rsid w:val="00043E5C"/>
    <w:rsid w:val="0004554D"/>
    <w:rsid w:val="00045FD2"/>
    <w:rsid w:val="00046586"/>
    <w:rsid w:val="0005135D"/>
    <w:rsid w:val="000515ED"/>
    <w:rsid w:val="00052C6A"/>
    <w:rsid w:val="000542A7"/>
    <w:rsid w:val="00055300"/>
    <w:rsid w:val="000554B4"/>
    <w:rsid w:val="00055BC5"/>
    <w:rsid w:val="00057E6D"/>
    <w:rsid w:val="0006123F"/>
    <w:rsid w:val="00061C69"/>
    <w:rsid w:val="0006462D"/>
    <w:rsid w:val="00065BA7"/>
    <w:rsid w:val="0007190A"/>
    <w:rsid w:val="00074379"/>
    <w:rsid w:val="00076A83"/>
    <w:rsid w:val="00076CA2"/>
    <w:rsid w:val="00076E5F"/>
    <w:rsid w:val="00077607"/>
    <w:rsid w:val="0008280F"/>
    <w:rsid w:val="0008385D"/>
    <w:rsid w:val="000842DF"/>
    <w:rsid w:val="00086F15"/>
    <w:rsid w:val="000916CB"/>
    <w:rsid w:val="00093B03"/>
    <w:rsid w:val="000940E7"/>
    <w:rsid w:val="000A002E"/>
    <w:rsid w:val="000A0AFA"/>
    <w:rsid w:val="000A2526"/>
    <w:rsid w:val="000A2FE7"/>
    <w:rsid w:val="000A443D"/>
    <w:rsid w:val="000A44A0"/>
    <w:rsid w:val="000B1EAB"/>
    <w:rsid w:val="000B2663"/>
    <w:rsid w:val="000B34E7"/>
    <w:rsid w:val="000B5E58"/>
    <w:rsid w:val="000B6108"/>
    <w:rsid w:val="000B6B1F"/>
    <w:rsid w:val="000C10E9"/>
    <w:rsid w:val="000C5B9F"/>
    <w:rsid w:val="000D0EEB"/>
    <w:rsid w:val="000D318B"/>
    <w:rsid w:val="000D3B87"/>
    <w:rsid w:val="000D5790"/>
    <w:rsid w:val="000D57DE"/>
    <w:rsid w:val="000D5B27"/>
    <w:rsid w:val="000D5DC6"/>
    <w:rsid w:val="000D7A38"/>
    <w:rsid w:val="000D7EFA"/>
    <w:rsid w:val="000E03D0"/>
    <w:rsid w:val="000E3CDD"/>
    <w:rsid w:val="000E4646"/>
    <w:rsid w:val="000E48B4"/>
    <w:rsid w:val="000F06F5"/>
    <w:rsid w:val="000F3540"/>
    <w:rsid w:val="000F3D06"/>
    <w:rsid w:val="000F5CC5"/>
    <w:rsid w:val="000F75EF"/>
    <w:rsid w:val="0010067C"/>
    <w:rsid w:val="0010199A"/>
    <w:rsid w:val="00105CEF"/>
    <w:rsid w:val="00105DB0"/>
    <w:rsid w:val="00106E78"/>
    <w:rsid w:val="00107459"/>
    <w:rsid w:val="001124D0"/>
    <w:rsid w:val="001146F2"/>
    <w:rsid w:val="001148AD"/>
    <w:rsid w:val="0011669B"/>
    <w:rsid w:val="00116D63"/>
    <w:rsid w:val="00117C07"/>
    <w:rsid w:val="00117E0C"/>
    <w:rsid w:val="00124B5E"/>
    <w:rsid w:val="00136DA2"/>
    <w:rsid w:val="001466FF"/>
    <w:rsid w:val="00147E3A"/>
    <w:rsid w:val="00156E08"/>
    <w:rsid w:val="00161F10"/>
    <w:rsid w:val="00166916"/>
    <w:rsid w:val="001712FA"/>
    <w:rsid w:val="00181133"/>
    <w:rsid w:val="00181BA6"/>
    <w:rsid w:val="001821F2"/>
    <w:rsid w:val="00185A3F"/>
    <w:rsid w:val="00186984"/>
    <w:rsid w:val="0018766F"/>
    <w:rsid w:val="00193A40"/>
    <w:rsid w:val="0019558A"/>
    <w:rsid w:val="00197B06"/>
    <w:rsid w:val="00197F3E"/>
    <w:rsid w:val="001A0085"/>
    <w:rsid w:val="001A07AB"/>
    <w:rsid w:val="001A0CBD"/>
    <w:rsid w:val="001A51DE"/>
    <w:rsid w:val="001A67D5"/>
    <w:rsid w:val="001B13E7"/>
    <w:rsid w:val="001B28BF"/>
    <w:rsid w:val="001B30FA"/>
    <w:rsid w:val="001B47E4"/>
    <w:rsid w:val="001B515A"/>
    <w:rsid w:val="001C0B8C"/>
    <w:rsid w:val="001C1932"/>
    <w:rsid w:val="001C2BE2"/>
    <w:rsid w:val="001C51D3"/>
    <w:rsid w:val="001C55BC"/>
    <w:rsid w:val="001C638D"/>
    <w:rsid w:val="001D3B38"/>
    <w:rsid w:val="001D4824"/>
    <w:rsid w:val="001D5594"/>
    <w:rsid w:val="001D63F4"/>
    <w:rsid w:val="001D72E6"/>
    <w:rsid w:val="001E05E0"/>
    <w:rsid w:val="001E2153"/>
    <w:rsid w:val="001E2ECF"/>
    <w:rsid w:val="001E3D79"/>
    <w:rsid w:val="001E70D0"/>
    <w:rsid w:val="001F1C08"/>
    <w:rsid w:val="001F1EE8"/>
    <w:rsid w:val="001F4257"/>
    <w:rsid w:val="001F617D"/>
    <w:rsid w:val="001F77CC"/>
    <w:rsid w:val="00202E34"/>
    <w:rsid w:val="00205585"/>
    <w:rsid w:val="00206CC0"/>
    <w:rsid w:val="00206D1A"/>
    <w:rsid w:val="002077F4"/>
    <w:rsid w:val="00207961"/>
    <w:rsid w:val="002115E2"/>
    <w:rsid w:val="00213795"/>
    <w:rsid w:val="002149FE"/>
    <w:rsid w:val="0022295A"/>
    <w:rsid w:val="0022304F"/>
    <w:rsid w:val="002253C5"/>
    <w:rsid w:val="002270B2"/>
    <w:rsid w:val="00230376"/>
    <w:rsid w:val="00230642"/>
    <w:rsid w:val="00232A46"/>
    <w:rsid w:val="00233C56"/>
    <w:rsid w:val="002348D9"/>
    <w:rsid w:val="00241D54"/>
    <w:rsid w:val="00242383"/>
    <w:rsid w:val="0024260D"/>
    <w:rsid w:val="002500E4"/>
    <w:rsid w:val="002507B8"/>
    <w:rsid w:val="00250D3C"/>
    <w:rsid w:val="002543AD"/>
    <w:rsid w:val="00254F72"/>
    <w:rsid w:val="00255D68"/>
    <w:rsid w:val="00256993"/>
    <w:rsid w:val="002641BA"/>
    <w:rsid w:val="00264D98"/>
    <w:rsid w:val="00266DD3"/>
    <w:rsid w:val="002734AC"/>
    <w:rsid w:val="0027463E"/>
    <w:rsid w:val="00277A19"/>
    <w:rsid w:val="002808CC"/>
    <w:rsid w:val="00281336"/>
    <w:rsid w:val="00283019"/>
    <w:rsid w:val="002832D6"/>
    <w:rsid w:val="0028351B"/>
    <w:rsid w:val="002836FB"/>
    <w:rsid w:val="00283B45"/>
    <w:rsid w:val="00286E35"/>
    <w:rsid w:val="00293316"/>
    <w:rsid w:val="002936B5"/>
    <w:rsid w:val="00293735"/>
    <w:rsid w:val="00293CCF"/>
    <w:rsid w:val="00293F6F"/>
    <w:rsid w:val="0029492B"/>
    <w:rsid w:val="00294DA2"/>
    <w:rsid w:val="0029647C"/>
    <w:rsid w:val="00297D3A"/>
    <w:rsid w:val="002A0F4A"/>
    <w:rsid w:val="002A1DE3"/>
    <w:rsid w:val="002A79FB"/>
    <w:rsid w:val="002B1AA3"/>
    <w:rsid w:val="002B32A7"/>
    <w:rsid w:val="002B428B"/>
    <w:rsid w:val="002B4725"/>
    <w:rsid w:val="002B514F"/>
    <w:rsid w:val="002B5C36"/>
    <w:rsid w:val="002C22AD"/>
    <w:rsid w:val="002C2474"/>
    <w:rsid w:val="002C40E5"/>
    <w:rsid w:val="002C42B6"/>
    <w:rsid w:val="002C4886"/>
    <w:rsid w:val="002C7328"/>
    <w:rsid w:val="002C76A7"/>
    <w:rsid w:val="002D0A76"/>
    <w:rsid w:val="002D17ED"/>
    <w:rsid w:val="002D621F"/>
    <w:rsid w:val="002D6AC3"/>
    <w:rsid w:val="002E296D"/>
    <w:rsid w:val="002E4A1E"/>
    <w:rsid w:val="002E4F86"/>
    <w:rsid w:val="002E57B7"/>
    <w:rsid w:val="002E585D"/>
    <w:rsid w:val="002E72DE"/>
    <w:rsid w:val="002F1254"/>
    <w:rsid w:val="00301758"/>
    <w:rsid w:val="00302B5A"/>
    <w:rsid w:val="00303B29"/>
    <w:rsid w:val="00304567"/>
    <w:rsid w:val="00307610"/>
    <w:rsid w:val="00307FDC"/>
    <w:rsid w:val="00312E73"/>
    <w:rsid w:val="00315D13"/>
    <w:rsid w:val="00316AFA"/>
    <w:rsid w:val="00324E31"/>
    <w:rsid w:val="00325120"/>
    <w:rsid w:val="00330482"/>
    <w:rsid w:val="00330776"/>
    <w:rsid w:val="003338BA"/>
    <w:rsid w:val="00333C8A"/>
    <w:rsid w:val="003360CA"/>
    <w:rsid w:val="00342EB6"/>
    <w:rsid w:val="0035470A"/>
    <w:rsid w:val="00360CB1"/>
    <w:rsid w:val="00360E12"/>
    <w:rsid w:val="00360E79"/>
    <w:rsid w:val="00362321"/>
    <w:rsid w:val="0036443F"/>
    <w:rsid w:val="00365520"/>
    <w:rsid w:val="0036665E"/>
    <w:rsid w:val="00366B5C"/>
    <w:rsid w:val="00367110"/>
    <w:rsid w:val="003674A9"/>
    <w:rsid w:val="00372985"/>
    <w:rsid w:val="003730C1"/>
    <w:rsid w:val="0037381F"/>
    <w:rsid w:val="00380805"/>
    <w:rsid w:val="00380EA9"/>
    <w:rsid w:val="003830F4"/>
    <w:rsid w:val="0038352B"/>
    <w:rsid w:val="00390015"/>
    <w:rsid w:val="0039012F"/>
    <w:rsid w:val="00391109"/>
    <w:rsid w:val="00392224"/>
    <w:rsid w:val="00394D69"/>
    <w:rsid w:val="00394DCA"/>
    <w:rsid w:val="00394DF3"/>
    <w:rsid w:val="003A0617"/>
    <w:rsid w:val="003A348E"/>
    <w:rsid w:val="003A598F"/>
    <w:rsid w:val="003B3874"/>
    <w:rsid w:val="003B3CDF"/>
    <w:rsid w:val="003B3D1B"/>
    <w:rsid w:val="003B4FC5"/>
    <w:rsid w:val="003B57E6"/>
    <w:rsid w:val="003B62A1"/>
    <w:rsid w:val="003B734A"/>
    <w:rsid w:val="003C05A4"/>
    <w:rsid w:val="003C34FA"/>
    <w:rsid w:val="003C3F9F"/>
    <w:rsid w:val="003C6162"/>
    <w:rsid w:val="003D02DD"/>
    <w:rsid w:val="003D0A8C"/>
    <w:rsid w:val="003D2B59"/>
    <w:rsid w:val="003D36B6"/>
    <w:rsid w:val="003D3945"/>
    <w:rsid w:val="003D78F2"/>
    <w:rsid w:val="003E2396"/>
    <w:rsid w:val="003E3F17"/>
    <w:rsid w:val="003E3F49"/>
    <w:rsid w:val="003E5C63"/>
    <w:rsid w:val="003E61BE"/>
    <w:rsid w:val="003E63C6"/>
    <w:rsid w:val="003E75F3"/>
    <w:rsid w:val="003E7A44"/>
    <w:rsid w:val="003F0539"/>
    <w:rsid w:val="003F1683"/>
    <w:rsid w:val="003F20EA"/>
    <w:rsid w:val="003F31E6"/>
    <w:rsid w:val="003F3624"/>
    <w:rsid w:val="00400802"/>
    <w:rsid w:val="00400EAE"/>
    <w:rsid w:val="00402399"/>
    <w:rsid w:val="00404B07"/>
    <w:rsid w:val="004062F2"/>
    <w:rsid w:val="004067C9"/>
    <w:rsid w:val="004069F9"/>
    <w:rsid w:val="004071C1"/>
    <w:rsid w:val="00411F2F"/>
    <w:rsid w:val="00413244"/>
    <w:rsid w:val="00413808"/>
    <w:rsid w:val="00415B1E"/>
    <w:rsid w:val="00415D98"/>
    <w:rsid w:val="00420F91"/>
    <w:rsid w:val="0042153B"/>
    <w:rsid w:val="00422ADB"/>
    <w:rsid w:val="00423426"/>
    <w:rsid w:val="0042421F"/>
    <w:rsid w:val="004247A4"/>
    <w:rsid w:val="0043053B"/>
    <w:rsid w:val="0043280B"/>
    <w:rsid w:val="004332EF"/>
    <w:rsid w:val="00434D00"/>
    <w:rsid w:val="00435342"/>
    <w:rsid w:val="00437762"/>
    <w:rsid w:val="00441B29"/>
    <w:rsid w:val="00444406"/>
    <w:rsid w:val="00445BE5"/>
    <w:rsid w:val="00447122"/>
    <w:rsid w:val="0044716A"/>
    <w:rsid w:val="00447D14"/>
    <w:rsid w:val="004500C1"/>
    <w:rsid w:val="00456CB5"/>
    <w:rsid w:val="00461D42"/>
    <w:rsid w:val="004624F9"/>
    <w:rsid w:val="00462513"/>
    <w:rsid w:val="004625AD"/>
    <w:rsid w:val="0046638E"/>
    <w:rsid w:val="00472BD7"/>
    <w:rsid w:val="004736E7"/>
    <w:rsid w:val="00475DD9"/>
    <w:rsid w:val="004766E3"/>
    <w:rsid w:val="00476F98"/>
    <w:rsid w:val="0048073D"/>
    <w:rsid w:val="004816F6"/>
    <w:rsid w:val="00481DF3"/>
    <w:rsid w:val="00482506"/>
    <w:rsid w:val="00483AC3"/>
    <w:rsid w:val="00484A84"/>
    <w:rsid w:val="0048519D"/>
    <w:rsid w:val="00485B78"/>
    <w:rsid w:val="00487486"/>
    <w:rsid w:val="00490F2A"/>
    <w:rsid w:val="004926E7"/>
    <w:rsid w:val="00492BC5"/>
    <w:rsid w:val="0049372D"/>
    <w:rsid w:val="00495C22"/>
    <w:rsid w:val="00497194"/>
    <w:rsid w:val="004A492E"/>
    <w:rsid w:val="004B7F1D"/>
    <w:rsid w:val="004C1753"/>
    <w:rsid w:val="004C1F5A"/>
    <w:rsid w:val="004C28AF"/>
    <w:rsid w:val="004C33FC"/>
    <w:rsid w:val="004D09B5"/>
    <w:rsid w:val="004D2388"/>
    <w:rsid w:val="004E0199"/>
    <w:rsid w:val="004E1F1B"/>
    <w:rsid w:val="004E254F"/>
    <w:rsid w:val="004E29FF"/>
    <w:rsid w:val="004E5840"/>
    <w:rsid w:val="004E6DAC"/>
    <w:rsid w:val="004E79F3"/>
    <w:rsid w:val="004F05EC"/>
    <w:rsid w:val="004F2931"/>
    <w:rsid w:val="004F38D5"/>
    <w:rsid w:val="004F4C09"/>
    <w:rsid w:val="00500AD1"/>
    <w:rsid w:val="0050188C"/>
    <w:rsid w:val="00502391"/>
    <w:rsid w:val="00503156"/>
    <w:rsid w:val="0050346C"/>
    <w:rsid w:val="00506C30"/>
    <w:rsid w:val="00512459"/>
    <w:rsid w:val="00517828"/>
    <w:rsid w:val="00517BE4"/>
    <w:rsid w:val="005213C8"/>
    <w:rsid w:val="00522B24"/>
    <w:rsid w:val="00522F26"/>
    <w:rsid w:val="00522FAE"/>
    <w:rsid w:val="00522FEB"/>
    <w:rsid w:val="00523270"/>
    <w:rsid w:val="00525DFC"/>
    <w:rsid w:val="00533108"/>
    <w:rsid w:val="005351B4"/>
    <w:rsid w:val="0053632E"/>
    <w:rsid w:val="00541BE4"/>
    <w:rsid w:val="005450A9"/>
    <w:rsid w:val="00545149"/>
    <w:rsid w:val="00546EE6"/>
    <w:rsid w:val="00551EC0"/>
    <w:rsid w:val="00552807"/>
    <w:rsid w:val="00555DE2"/>
    <w:rsid w:val="00557AA8"/>
    <w:rsid w:val="005619C1"/>
    <w:rsid w:val="005634DF"/>
    <w:rsid w:val="00564000"/>
    <w:rsid w:val="0056455C"/>
    <w:rsid w:val="005704C9"/>
    <w:rsid w:val="0057122E"/>
    <w:rsid w:val="00575D7E"/>
    <w:rsid w:val="005767C4"/>
    <w:rsid w:val="00576FE8"/>
    <w:rsid w:val="00580D19"/>
    <w:rsid w:val="00583C7D"/>
    <w:rsid w:val="00584DA6"/>
    <w:rsid w:val="00585E58"/>
    <w:rsid w:val="00586053"/>
    <w:rsid w:val="00591CB6"/>
    <w:rsid w:val="00591E8C"/>
    <w:rsid w:val="00595C92"/>
    <w:rsid w:val="005A3D55"/>
    <w:rsid w:val="005A5282"/>
    <w:rsid w:val="005B028C"/>
    <w:rsid w:val="005B03F4"/>
    <w:rsid w:val="005B268E"/>
    <w:rsid w:val="005B4DC2"/>
    <w:rsid w:val="005C05D1"/>
    <w:rsid w:val="005C06A7"/>
    <w:rsid w:val="005C0937"/>
    <w:rsid w:val="005C1740"/>
    <w:rsid w:val="005C2414"/>
    <w:rsid w:val="005D04A0"/>
    <w:rsid w:val="005D29FA"/>
    <w:rsid w:val="005D4816"/>
    <w:rsid w:val="005D50F3"/>
    <w:rsid w:val="005E2B4E"/>
    <w:rsid w:val="005E2E2F"/>
    <w:rsid w:val="005E34FB"/>
    <w:rsid w:val="005E3AAF"/>
    <w:rsid w:val="005E7E1B"/>
    <w:rsid w:val="005F14D0"/>
    <w:rsid w:val="005F5077"/>
    <w:rsid w:val="005F77A7"/>
    <w:rsid w:val="00604C90"/>
    <w:rsid w:val="006073E8"/>
    <w:rsid w:val="006075C5"/>
    <w:rsid w:val="00613ACA"/>
    <w:rsid w:val="00613AFF"/>
    <w:rsid w:val="00616F78"/>
    <w:rsid w:val="006205B0"/>
    <w:rsid w:val="00620FF1"/>
    <w:rsid w:val="00622B41"/>
    <w:rsid w:val="0062380F"/>
    <w:rsid w:val="00624F5A"/>
    <w:rsid w:val="006267EF"/>
    <w:rsid w:val="00632CE4"/>
    <w:rsid w:val="0064061F"/>
    <w:rsid w:val="0064065D"/>
    <w:rsid w:val="006435D4"/>
    <w:rsid w:val="00647201"/>
    <w:rsid w:val="00647785"/>
    <w:rsid w:val="00651B70"/>
    <w:rsid w:val="006554CD"/>
    <w:rsid w:val="00655902"/>
    <w:rsid w:val="0065602B"/>
    <w:rsid w:val="00657B03"/>
    <w:rsid w:val="006621CA"/>
    <w:rsid w:val="00663186"/>
    <w:rsid w:val="00664A40"/>
    <w:rsid w:val="00665D88"/>
    <w:rsid w:val="006666BB"/>
    <w:rsid w:val="00670F41"/>
    <w:rsid w:val="00671BE8"/>
    <w:rsid w:val="00672C57"/>
    <w:rsid w:val="00674C23"/>
    <w:rsid w:val="00677138"/>
    <w:rsid w:val="00680AE8"/>
    <w:rsid w:val="00683A70"/>
    <w:rsid w:val="00684F0B"/>
    <w:rsid w:val="006854DB"/>
    <w:rsid w:val="00685713"/>
    <w:rsid w:val="0069144C"/>
    <w:rsid w:val="00691F9F"/>
    <w:rsid w:val="00692835"/>
    <w:rsid w:val="0069635D"/>
    <w:rsid w:val="0069654E"/>
    <w:rsid w:val="00696ECA"/>
    <w:rsid w:val="006A37ED"/>
    <w:rsid w:val="006A5E38"/>
    <w:rsid w:val="006A6016"/>
    <w:rsid w:val="006B0953"/>
    <w:rsid w:val="006B3238"/>
    <w:rsid w:val="006B347B"/>
    <w:rsid w:val="006B56B7"/>
    <w:rsid w:val="006C09AE"/>
    <w:rsid w:val="006C15D6"/>
    <w:rsid w:val="006C4E86"/>
    <w:rsid w:val="006C5311"/>
    <w:rsid w:val="006C66AE"/>
    <w:rsid w:val="006D52EF"/>
    <w:rsid w:val="006E5A08"/>
    <w:rsid w:val="006F0893"/>
    <w:rsid w:val="006F348C"/>
    <w:rsid w:val="006F6614"/>
    <w:rsid w:val="006F7986"/>
    <w:rsid w:val="00702F81"/>
    <w:rsid w:val="00703B12"/>
    <w:rsid w:val="0070498D"/>
    <w:rsid w:val="00715D2F"/>
    <w:rsid w:val="00716900"/>
    <w:rsid w:val="00716C37"/>
    <w:rsid w:val="00717C85"/>
    <w:rsid w:val="00720131"/>
    <w:rsid w:val="00720500"/>
    <w:rsid w:val="00721F99"/>
    <w:rsid w:val="007224F1"/>
    <w:rsid w:val="0072322F"/>
    <w:rsid w:val="00726E7F"/>
    <w:rsid w:val="0073137D"/>
    <w:rsid w:val="00733F5D"/>
    <w:rsid w:val="0073449B"/>
    <w:rsid w:val="0074102D"/>
    <w:rsid w:val="0074651D"/>
    <w:rsid w:val="00746D9F"/>
    <w:rsid w:val="00747059"/>
    <w:rsid w:val="00747A36"/>
    <w:rsid w:val="00750C45"/>
    <w:rsid w:val="007522E3"/>
    <w:rsid w:val="00753224"/>
    <w:rsid w:val="00754D44"/>
    <w:rsid w:val="00755088"/>
    <w:rsid w:val="0075535D"/>
    <w:rsid w:val="00756760"/>
    <w:rsid w:val="007601D7"/>
    <w:rsid w:val="00760880"/>
    <w:rsid w:val="00761B31"/>
    <w:rsid w:val="00765023"/>
    <w:rsid w:val="0077106C"/>
    <w:rsid w:val="00771315"/>
    <w:rsid w:val="0077198B"/>
    <w:rsid w:val="007722F5"/>
    <w:rsid w:val="0077490C"/>
    <w:rsid w:val="007809D5"/>
    <w:rsid w:val="00780FE3"/>
    <w:rsid w:val="00781A36"/>
    <w:rsid w:val="00782E7A"/>
    <w:rsid w:val="00784138"/>
    <w:rsid w:val="007841E1"/>
    <w:rsid w:val="007841E8"/>
    <w:rsid w:val="00785AAB"/>
    <w:rsid w:val="0078709E"/>
    <w:rsid w:val="007874F8"/>
    <w:rsid w:val="00787531"/>
    <w:rsid w:val="00790743"/>
    <w:rsid w:val="00791C6F"/>
    <w:rsid w:val="00793A11"/>
    <w:rsid w:val="00794DCB"/>
    <w:rsid w:val="00795503"/>
    <w:rsid w:val="00796FAC"/>
    <w:rsid w:val="007A0472"/>
    <w:rsid w:val="007A53AF"/>
    <w:rsid w:val="007B042C"/>
    <w:rsid w:val="007B1235"/>
    <w:rsid w:val="007B2C2B"/>
    <w:rsid w:val="007B2E90"/>
    <w:rsid w:val="007B4549"/>
    <w:rsid w:val="007B65FF"/>
    <w:rsid w:val="007B6AD3"/>
    <w:rsid w:val="007B6AED"/>
    <w:rsid w:val="007B7A21"/>
    <w:rsid w:val="007C27CA"/>
    <w:rsid w:val="007D0529"/>
    <w:rsid w:val="007D0D4E"/>
    <w:rsid w:val="007D11F8"/>
    <w:rsid w:val="007D171E"/>
    <w:rsid w:val="007D475C"/>
    <w:rsid w:val="007D5554"/>
    <w:rsid w:val="007D7CB5"/>
    <w:rsid w:val="007E028C"/>
    <w:rsid w:val="007E4D1C"/>
    <w:rsid w:val="007E53DF"/>
    <w:rsid w:val="007E54DA"/>
    <w:rsid w:val="007E5605"/>
    <w:rsid w:val="007E724B"/>
    <w:rsid w:val="007E7A5F"/>
    <w:rsid w:val="007F0CAA"/>
    <w:rsid w:val="007F1E5C"/>
    <w:rsid w:val="007F211F"/>
    <w:rsid w:val="007F2DCC"/>
    <w:rsid w:val="007F4498"/>
    <w:rsid w:val="007F4C94"/>
    <w:rsid w:val="007F5854"/>
    <w:rsid w:val="007F713D"/>
    <w:rsid w:val="008006A1"/>
    <w:rsid w:val="00801315"/>
    <w:rsid w:val="008014B1"/>
    <w:rsid w:val="0080171D"/>
    <w:rsid w:val="00802D2E"/>
    <w:rsid w:val="00803DC8"/>
    <w:rsid w:val="008126EA"/>
    <w:rsid w:val="00816883"/>
    <w:rsid w:val="00820621"/>
    <w:rsid w:val="0082154C"/>
    <w:rsid w:val="00821581"/>
    <w:rsid w:val="008249AF"/>
    <w:rsid w:val="00824D8A"/>
    <w:rsid w:val="00825106"/>
    <w:rsid w:val="00834D0A"/>
    <w:rsid w:val="00837B68"/>
    <w:rsid w:val="00841D30"/>
    <w:rsid w:val="008439B4"/>
    <w:rsid w:val="008455E1"/>
    <w:rsid w:val="00847970"/>
    <w:rsid w:val="00847D7D"/>
    <w:rsid w:val="008502AC"/>
    <w:rsid w:val="00851FEB"/>
    <w:rsid w:val="008527B0"/>
    <w:rsid w:val="00852E5D"/>
    <w:rsid w:val="008530D8"/>
    <w:rsid w:val="00854349"/>
    <w:rsid w:val="00854794"/>
    <w:rsid w:val="008578C1"/>
    <w:rsid w:val="008607A5"/>
    <w:rsid w:val="00862533"/>
    <w:rsid w:val="008640FA"/>
    <w:rsid w:val="008667D6"/>
    <w:rsid w:val="00867C89"/>
    <w:rsid w:val="00871DB0"/>
    <w:rsid w:val="008755B2"/>
    <w:rsid w:val="00880B8F"/>
    <w:rsid w:val="00881B9C"/>
    <w:rsid w:val="00882CEB"/>
    <w:rsid w:val="0088300D"/>
    <w:rsid w:val="00884421"/>
    <w:rsid w:val="00884E1F"/>
    <w:rsid w:val="00886C6D"/>
    <w:rsid w:val="00887506"/>
    <w:rsid w:val="00887C3D"/>
    <w:rsid w:val="008933D0"/>
    <w:rsid w:val="0089434F"/>
    <w:rsid w:val="008967D5"/>
    <w:rsid w:val="00896DDE"/>
    <w:rsid w:val="008A17B1"/>
    <w:rsid w:val="008A3B36"/>
    <w:rsid w:val="008A48B4"/>
    <w:rsid w:val="008A4C80"/>
    <w:rsid w:val="008A50F4"/>
    <w:rsid w:val="008A5A45"/>
    <w:rsid w:val="008B04FA"/>
    <w:rsid w:val="008B1962"/>
    <w:rsid w:val="008B3132"/>
    <w:rsid w:val="008B6380"/>
    <w:rsid w:val="008B6437"/>
    <w:rsid w:val="008C09C8"/>
    <w:rsid w:val="008C337E"/>
    <w:rsid w:val="008C339D"/>
    <w:rsid w:val="008C3611"/>
    <w:rsid w:val="008C3EB1"/>
    <w:rsid w:val="008D00A9"/>
    <w:rsid w:val="008D0BC5"/>
    <w:rsid w:val="008D0C89"/>
    <w:rsid w:val="008D10E4"/>
    <w:rsid w:val="008D335C"/>
    <w:rsid w:val="008D352C"/>
    <w:rsid w:val="008D375E"/>
    <w:rsid w:val="008D4827"/>
    <w:rsid w:val="008D56E8"/>
    <w:rsid w:val="008D69F0"/>
    <w:rsid w:val="008E23BF"/>
    <w:rsid w:val="008E32E8"/>
    <w:rsid w:val="008E3F43"/>
    <w:rsid w:val="008E4B9C"/>
    <w:rsid w:val="008E56AF"/>
    <w:rsid w:val="008F13BD"/>
    <w:rsid w:val="008F3841"/>
    <w:rsid w:val="008F3D9B"/>
    <w:rsid w:val="008F4404"/>
    <w:rsid w:val="00900653"/>
    <w:rsid w:val="00910D9B"/>
    <w:rsid w:val="009118D1"/>
    <w:rsid w:val="00911AC0"/>
    <w:rsid w:val="00912E79"/>
    <w:rsid w:val="00916546"/>
    <w:rsid w:val="009174CD"/>
    <w:rsid w:val="00922141"/>
    <w:rsid w:val="00924A33"/>
    <w:rsid w:val="00924EF5"/>
    <w:rsid w:val="0092650A"/>
    <w:rsid w:val="00927AB8"/>
    <w:rsid w:val="00927F6F"/>
    <w:rsid w:val="00931591"/>
    <w:rsid w:val="00936949"/>
    <w:rsid w:val="009372EC"/>
    <w:rsid w:val="00937871"/>
    <w:rsid w:val="00937962"/>
    <w:rsid w:val="00937F0E"/>
    <w:rsid w:val="009402FD"/>
    <w:rsid w:val="009406C6"/>
    <w:rsid w:val="00940831"/>
    <w:rsid w:val="0094368C"/>
    <w:rsid w:val="00944703"/>
    <w:rsid w:val="009452FC"/>
    <w:rsid w:val="0094531B"/>
    <w:rsid w:val="00945539"/>
    <w:rsid w:val="00947173"/>
    <w:rsid w:val="00950DA9"/>
    <w:rsid w:val="009526FE"/>
    <w:rsid w:val="00954840"/>
    <w:rsid w:val="00955A36"/>
    <w:rsid w:val="00955B87"/>
    <w:rsid w:val="00960322"/>
    <w:rsid w:val="00961938"/>
    <w:rsid w:val="009673F6"/>
    <w:rsid w:val="00975489"/>
    <w:rsid w:val="00982927"/>
    <w:rsid w:val="00985B54"/>
    <w:rsid w:val="0098746C"/>
    <w:rsid w:val="0099154C"/>
    <w:rsid w:val="00992E20"/>
    <w:rsid w:val="00997CCE"/>
    <w:rsid w:val="009A06F5"/>
    <w:rsid w:val="009A120D"/>
    <w:rsid w:val="009A3F2B"/>
    <w:rsid w:val="009A6AA4"/>
    <w:rsid w:val="009B08C2"/>
    <w:rsid w:val="009B0C46"/>
    <w:rsid w:val="009B0D3A"/>
    <w:rsid w:val="009C4FEF"/>
    <w:rsid w:val="009C6EFB"/>
    <w:rsid w:val="009C72A3"/>
    <w:rsid w:val="009C72FB"/>
    <w:rsid w:val="009C7C76"/>
    <w:rsid w:val="009D140C"/>
    <w:rsid w:val="009D1510"/>
    <w:rsid w:val="009E2131"/>
    <w:rsid w:val="009E3805"/>
    <w:rsid w:val="009E3A96"/>
    <w:rsid w:val="009E3EC3"/>
    <w:rsid w:val="009E551C"/>
    <w:rsid w:val="009E5E3D"/>
    <w:rsid w:val="009E73F1"/>
    <w:rsid w:val="009E7464"/>
    <w:rsid w:val="009E7CD8"/>
    <w:rsid w:val="009F0763"/>
    <w:rsid w:val="009F0E5B"/>
    <w:rsid w:val="009F1502"/>
    <w:rsid w:val="009F4370"/>
    <w:rsid w:val="009F44ED"/>
    <w:rsid w:val="009F65D1"/>
    <w:rsid w:val="00A0089B"/>
    <w:rsid w:val="00A03766"/>
    <w:rsid w:val="00A041BE"/>
    <w:rsid w:val="00A07A2C"/>
    <w:rsid w:val="00A108EA"/>
    <w:rsid w:val="00A12019"/>
    <w:rsid w:val="00A14747"/>
    <w:rsid w:val="00A1662A"/>
    <w:rsid w:val="00A218D4"/>
    <w:rsid w:val="00A21AD6"/>
    <w:rsid w:val="00A22777"/>
    <w:rsid w:val="00A22F58"/>
    <w:rsid w:val="00A23AAF"/>
    <w:rsid w:val="00A24630"/>
    <w:rsid w:val="00A27B9A"/>
    <w:rsid w:val="00A302AE"/>
    <w:rsid w:val="00A30A08"/>
    <w:rsid w:val="00A31DC7"/>
    <w:rsid w:val="00A33FC7"/>
    <w:rsid w:val="00A3669A"/>
    <w:rsid w:val="00A37EFB"/>
    <w:rsid w:val="00A37FC2"/>
    <w:rsid w:val="00A42A7E"/>
    <w:rsid w:val="00A434B6"/>
    <w:rsid w:val="00A45501"/>
    <w:rsid w:val="00A51906"/>
    <w:rsid w:val="00A51B94"/>
    <w:rsid w:val="00A522D3"/>
    <w:rsid w:val="00A52EEC"/>
    <w:rsid w:val="00A52F78"/>
    <w:rsid w:val="00A54454"/>
    <w:rsid w:val="00A54FCC"/>
    <w:rsid w:val="00A5548C"/>
    <w:rsid w:val="00A55B19"/>
    <w:rsid w:val="00A652EE"/>
    <w:rsid w:val="00A65693"/>
    <w:rsid w:val="00A67621"/>
    <w:rsid w:val="00A67DB3"/>
    <w:rsid w:val="00A70272"/>
    <w:rsid w:val="00A70A9D"/>
    <w:rsid w:val="00A70D7A"/>
    <w:rsid w:val="00A72DB0"/>
    <w:rsid w:val="00A7601B"/>
    <w:rsid w:val="00A81F6B"/>
    <w:rsid w:val="00A83988"/>
    <w:rsid w:val="00A86570"/>
    <w:rsid w:val="00A90B4A"/>
    <w:rsid w:val="00A911F7"/>
    <w:rsid w:val="00A91D5D"/>
    <w:rsid w:val="00A92E97"/>
    <w:rsid w:val="00A963FB"/>
    <w:rsid w:val="00AA0162"/>
    <w:rsid w:val="00AA2A68"/>
    <w:rsid w:val="00AA676B"/>
    <w:rsid w:val="00AA6DD9"/>
    <w:rsid w:val="00AB059A"/>
    <w:rsid w:val="00AB1BDB"/>
    <w:rsid w:val="00AB1F31"/>
    <w:rsid w:val="00AB21FD"/>
    <w:rsid w:val="00AB4B70"/>
    <w:rsid w:val="00AB556F"/>
    <w:rsid w:val="00AB5674"/>
    <w:rsid w:val="00AC15B9"/>
    <w:rsid w:val="00AC1EA7"/>
    <w:rsid w:val="00AC2A7E"/>
    <w:rsid w:val="00AC2D20"/>
    <w:rsid w:val="00AC4B33"/>
    <w:rsid w:val="00AC52BE"/>
    <w:rsid w:val="00AC5FE6"/>
    <w:rsid w:val="00AD2642"/>
    <w:rsid w:val="00AD570C"/>
    <w:rsid w:val="00AD6121"/>
    <w:rsid w:val="00AD7CD5"/>
    <w:rsid w:val="00AE1D42"/>
    <w:rsid w:val="00AE3CA0"/>
    <w:rsid w:val="00AE43DF"/>
    <w:rsid w:val="00AE6096"/>
    <w:rsid w:val="00AE6376"/>
    <w:rsid w:val="00AE76B3"/>
    <w:rsid w:val="00AF1055"/>
    <w:rsid w:val="00AF22F8"/>
    <w:rsid w:val="00AF2931"/>
    <w:rsid w:val="00AF3690"/>
    <w:rsid w:val="00AF4C28"/>
    <w:rsid w:val="00AF53B5"/>
    <w:rsid w:val="00B00132"/>
    <w:rsid w:val="00B02FF0"/>
    <w:rsid w:val="00B031B0"/>
    <w:rsid w:val="00B05441"/>
    <w:rsid w:val="00B075CD"/>
    <w:rsid w:val="00B102F5"/>
    <w:rsid w:val="00B12108"/>
    <w:rsid w:val="00B12520"/>
    <w:rsid w:val="00B146AA"/>
    <w:rsid w:val="00B16297"/>
    <w:rsid w:val="00B1695B"/>
    <w:rsid w:val="00B16BD5"/>
    <w:rsid w:val="00B1752A"/>
    <w:rsid w:val="00B22F8D"/>
    <w:rsid w:val="00B3033B"/>
    <w:rsid w:val="00B32056"/>
    <w:rsid w:val="00B32EF0"/>
    <w:rsid w:val="00B3337B"/>
    <w:rsid w:val="00B35209"/>
    <w:rsid w:val="00B36E70"/>
    <w:rsid w:val="00B42513"/>
    <w:rsid w:val="00B46F1D"/>
    <w:rsid w:val="00B51F48"/>
    <w:rsid w:val="00B5396C"/>
    <w:rsid w:val="00B54097"/>
    <w:rsid w:val="00B54BE9"/>
    <w:rsid w:val="00B5581D"/>
    <w:rsid w:val="00B5798F"/>
    <w:rsid w:val="00B608C6"/>
    <w:rsid w:val="00B629B1"/>
    <w:rsid w:val="00B631D7"/>
    <w:rsid w:val="00B647FB"/>
    <w:rsid w:val="00B64FED"/>
    <w:rsid w:val="00B6582A"/>
    <w:rsid w:val="00B671CB"/>
    <w:rsid w:val="00B72080"/>
    <w:rsid w:val="00B72126"/>
    <w:rsid w:val="00B7479D"/>
    <w:rsid w:val="00B74824"/>
    <w:rsid w:val="00B764A4"/>
    <w:rsid w:val="00B77E81"/>
    <w:rsid w:val="00B81D0B"/>
    <w:rsid w:val="00B856CD"/>
    <w:rsid w:val="00B87AC3"/>
    <w:rsid w:val="00B90C6E"/>
    <w:rsid w:val="00B92DA9"/>
    <w:rsid w:val="00B93F6C"/>
    <w:rsid w:val="00B96AFE"/>
    <w:rsid w:val="00BA1F4B"/>
    <w:rsid w:val="00BA1FE9"/>
    <w:rsid w:val="00BA5180"/>
    <w:rsid w:val="00BA55B1"/>
    <w:rsid w:val="00BA5E45"/>
    <w:rsid w:val="00BB26B3"/>
    <w:rsid w:val="00BB2F25"/>
    <w:rsid w:val="00BB69E9"/>
    <w:rsid w:val="00BC3EB0"/>
    <w:rsid w:val="00BD0AC0"/>
    <w:rsid w:val="00BD0D1B"/>
    <w:rsid w:val="00BD2C11"/>
    <w:rsid w:val="00BD3CB0"/>
    <w:rsid w:val="00BD4671"/>
    <w:rsid w:val="00BD685C"/>
    <w:rsid w:val="00BD7520"/>
    <w:rsid w:val="00BE0369"/>
    <w:rsid w:val="00BE1AA0"/>
    <w:rsid w:val="00BE362C"/>
    <w:rsid w:val="00BE3B45"/>
    <w:rsid w:val="00BF4E4E"/>
    <w:rsid w:val="00BF6357"/>
    <w:rsid w:val="00BF6DB1"/>
    <w:rsid w:val="00BF7CEE"/>
    <w:rsid w:val="00BF7F30"/>
    <w:rsid w:val="00C025E3"/>
    <w:rsid w:val="00C05A56"/>
    <w:rsid w:val="00C05A67"/>
    <w:rsid w:val="00C06947"/>
    <w:rsid w:val="00C10083"/>
    <w:rsid w:val="00C107A6"/>
    <w:rsid w:val="00C11028"/>
    <w:rsid w:val="00C12959"/>
    <w:rsid w:val="00C253BC"/>
    <w:rsid w:val="00C25803"/>
    <w:rsid w:val="00C25D47"/>
    <w:rsid w:val="00C2685B"/>
    <w:rsid w:val="00C26B54"/>
    <w:rsid w:val="00C34D0D"/>
    <w:rsid w:val="00C35F07"/>
    <w:rsid w:val="00C36415"/>
    <w:rsid w:val="00C40ED3"/>
    <w:rsid w:val="00C426CF"/>
    <w:rsid w:val="00C43317"/>
    <w:rsid w:val="00C43C58"/>
    <w:rsid w:val="00C4606E"/>
    <w:rsid w:val="00C53E04"/>
    <w:rsid w:val="00C54D3D"/>
    <w:rsid w:val="00C5616C"/>
    <w:rsid w:val="00C60502"/>
    <w:rsid w:val="00C61E07"/>
    <w:rsid w:val="00C63761"/>
    <w:rsid w:val="00C64678"/>
    <w:rsid w:val="00C661AE"/>
    <w:rsid w:val="00C75501"/>
    <w:rsid w:val="00C80326"/>
    <w:rsid w:val="00C82194"/>
    <w:rsid w:val="00C831C9"/>
    <w:rsid w:val="00C847ED"/>
    <w:rsid w:val="00C85782"/>
    <w:rsid w:val="00C90482"/>
    <w:rsid w:val="00C9229E"/>
    <w:rsid w:val="00C922B6"/>
    <w:rsid w:val="00C933E5"/>
    <w:rsid w:val="00C945BB"/>
    <w:rsid w:val="00C94FA7"/>
    <w:rsid w:val="00CA0593"/>
    <w:rsid w:val="00CA1425"/>
    <w:rsid w:val="00CA305F"/>
    <w:rsid w:val="00CA362D"/>
    <w:rsid w:val="00CA582D"/>
    <w:rsid w:val="00CA70AA"/>
    <w:rsid w:val="00CB0482"/>
    <w:rsid w:val="00CB0A64"/>
    <w:rsid w:val="00CB5224"/>
    <w:rsid w:val="00CB6557"/>
    <w:rsid w:val="00CC1FC5"/>
    <w:rsid w:val="00CC47E4"/>
    <w:rsid w:val="00CC6896"/>
    <w:rsid w:val="00CD27ED"/>
    <w:rsid w:val="00CD3484"/>
    <w:rsid w:val="00CD5DFB"/>
    <w:rsid w:val="00CE01C8"/>
    <w:rsid w:val="00CE31F7"/>
    <w:rsid w:val="00CE42A2"/>
    <w:rsid w:val="00CE5F33"/>
    <w:rsid w:val="00CE7030"/>
    <w:rsid w:val="00CE71B0"/>
    <w:rsid w:val="00CF0041"/>
    <w:rsid w:val="00CF0547"/>
    <w:rsid w:val="00CF191C"/>
    <w:rsid w:val="00CF2B6F"/>
    <w:rsid w:val="00CF4CCF"/>
    <w:rsid w:val="00CF66D0"/>
    <w:rsid w:val="00CF6F3D"/>
    <w:rsid w:val="00D0312E"/>
    <w:rsid w:val="00D044F8"/>
    <w:rsid w:val="00D05566"/>
    <w:rsid w:val="00D05F18"/>
    <w:rsid w:val="00D07DDA"/>
    <w:rsid w:val="00D10083"/>
    <w:rsid w:val="00D10432"/>
    <w:rsid w:val="00D112C8"/>
    <w:rsid w:val="00D113AF"/>
    <w:rsid w:val="00D130A2"/>
    <w:rsid w:val="00D14AFC"/>
    <w:rsid w:val="00D14F13"/>
    <w:rsid w:val="00D1691C"/>
    <w:rsid w:val="00D17286"/>
    <w:rsid w:val="00D227D4"/>
    <w:rsid w:val="00D23652"/>
    <w:rsid w:val="00D23E34"/>
    <w:rsid w:val="00D258AB"/>
    <w:rsid w:val="00D317B1"/>
    <w:rsid w:val="00D36970"/>
    <w:rsid w:val="00D373EA"/>
    <w:rsid w:val="00D37572"/>
    <w:rsid w:val="00D4306F"/>
    <w:rsid w:val="00D46056"/>
    <w:rsid w:val="00D46376"/>
    <w:rsid w:val="00D46575"/>
    <w:rsid w:val="00D4690C"/>
    <w:rsid w:val="00D51E09"/>
    <w:rsid w:val="00D54E03"/>
    <w:rsid w:val="00D61F70"/>
    <w:rsid w:val="00D62A80"/>
    <w:rsid w:val="00D63D86"/>
    <w:rsid w:val="00D64898"/>
    <w:rsid w:val="00D703B2"/>
    <w:rsid w:val="00D7069E"/>
    <w:rsid w:val="00D71F97"/>
    <w:rsid w:val="00D75AC2"/>
    <w:rsid w:val="00D75C69"/>
    <w:rsid w:val="00D779C6"/>
    <w:rsid w:val="00D80492"/>
    <w:rsid w:val="00D8165A"/>
    <w:rsid w:val="00D8165D"/>
    <w:rsid w:val="00D82843"/>
    <w:rsid w:val="00D844EB"/>
    <w:rsid w:val="00D92F41"/>
    <w:rsid w:val="00D93E7C"/>
    <w:rsid w:val="00D960F8"/>
    <w:rsid w:val="00D9747E"/>
    <w:rsid w:val="00DB3169"/>
    <w:rsid w:val="00DB513A"/>
    <w:rsid w:val="00DB5E88"/>
    <w:rsid w:val="00DB667C"/>
    <w:rsid w:val="00DB6ED0"/>
    <w:rsid w:val="00DB7980"/>
    <w:rsid w:val="00DC05A5"/>
    <w:rsid w:val="00DC75D1"/>
    <w:rsid w:val="00DC789B"/>
    <w:rsid w:val="00DD439C"/>
    <w:rsid w:val="00DD5CFE"/>
    <w:rsid w:val="00DD619E"/>
    <w:rsid w:val="00DD659A"/>
    <w:rsid w:val="00DD6B1F"/>
    <w:rsid w:val="00DE0C93"/>
    <w:rsid w:val="00DE0DA7"/>
    <w:rsid w:val="00DE22F9"/>
    <w:rsid w:val="00DE50C6"/>
    <w:rsid w:val="00DE512D"/>
    <w:rsid w:val="00DE5191"/>
    <w:rsid w:val="00DE5E70"/>
    <w:rsid w:val="00DF11FE"/>
    <w:rsid w:val="00DF126C"/>
    <w:rsid w:val="00DF16E0"/>
    <w:rsid w:val="00DF1E5B"/>
    <w:rsid w:val="00DF3360"/>
    <w:rsid w:val="00DF3769"/>
    <w:rsid w:val="00E00993"/>
    <w:rsid w:val="00E03896"/>
    <w:rsid w:val="00E04C1A"/>
    <w:rsid w:val="00E053B8"/>
    <w:rsid w:val="00E055D2"/>
    <w:rsid w:val="00E06277"/>
    <w:rsid w:val="00E1276B"/>
    <w:rsid w:val="00E144CE"/>
    <w:rsid w:val="00E1485B"/>
    <w:rsid w:val="00E15ACE"/>
    <w:rsid w:val="00E15C0E"/>
    <w:rsid w:val="00E17C91"/>
    <w:rsid w:val="00E20521"/>
    <w:rsid w:val="00E22800"/>
    <w:rsid w:val="00E2293A"/>
    <w:rsid w:val="00E229A8"/>
    <w:rsid w:val="00E25E9D"/>
    <w:rsid w:val="00E27529"/>
    <w:rsid w:val="00E32ED0"/>
    <w:rsid w:val="00E33029"/>
    <w:rsid w:val="00E36063"/>
    <w:rsid w:val="00E365AC"/>
    <w:rsid w:val="00E36B90"/>
    <w:rsid w:val="00E37BA7"/>
    <w:rsid w:val="00E4118F"/>
    <w:rsid w:val="00E42770"/>
    <w:rsid w:val="00E42FCC"/>
    <w:rsid w:val="00E45029"/>
    <w:rsid w:val="00E459B4"/>
    <w:rsid w:val="00E4665E"/>
    <w:rsid w:val="00E46DA6"/>
    <w:rsid w:val="00E543AD"/>
    <w:rsid w:val="00E55773"/>
    <w:rsid w:val="00E572B2"/>
    <w:rsid w:val="00E60DDF"/>
    <w:rsid w:val="00E63FC8"/>
    <w:rsid w:val="00E70A0F"/>
    <w:rsid w:val="00E71205"/>
    <w:rsid w:val="00E71759"/>
    <w:rsid w:val="00E71A6B"/>
    <w:rsid w:val="00E751BA"/>
    <w:rsid w:val="00E7536E"/>
    <w:rsid w:val="00E75DF4"/>
    <w:rsid w:val="00E80007"/>
    <w:rsid w:val="00E80794"/>
    <w:rsid w:val="00E82B81"/>
    <w:rsid w:val="00E91731"/>
    <w:rsid w:val="00E941D7"/>
    <w:rsid w:val="00EA3D60"/>
    <w:rsid w:val="00EA4607"/>
    <w:rsid w:val="00EA7B29"/>
    <w:rsid w:val="00EB1C81"/>
    <w:rsid w:val="00EB214F"/>
    <w:rsid w:val="00EB2765"/>
    <w:rsid w:val="00EB40FA"/>
    <w:rsid w:val="00EB6529"/>
    <w:rsid w:val="00EC244D"/>
    <w:rsid w:val="00EC2701"/>
    <w:rsid w:val="00EC4876"/>
    <w:rsid w:val="00EC5810"/>
    <w:rsid w:val="00EC76F9"/>
    <w:rsid w:val="00ED5059"/>
    <w:rsid w:val="00ED5B33"/>
    <w:rsid w:val="00ED78F9"/>
    <w:rsid w:val="00EE3F3B"/>
    <w:rsid w:val="00EE51CF"/>
    <w:rsid w:val="00EE6041"/>
    <w:rsid w:val="00EF0A1C"/>
    <w:rsid w:val="00EF1A17"/>
    <w:rsid w:val="00EF2574"/>
    <w:rsid w:val="00EF2F05"/>
    <w:rsid w:val="00EF38F8"/>
    <w:rsid w:val="00EF3F6E"/>
    <w:rsid w:val="00EF4891"/>
    <w:rsid w:val="00EF59B4"/>
    <w:rsid w:val="00EF5B47"/>
    <w:rsid w:val="00EF630E"/>
    <w:rsid w:val="00EF6D13"/>
    <w:rsid w:val="00EF7815"/>
    <w:rsid w:val="00F000B9"/>
    <w:rsid w:val="00F0632C"/>
    <w:rsid w:val="00F0727D"/>
    <w:rsid w:val="00F1026C"/>
    <w:rsid w:val="00F10B41"/>
    <w:rsid w:val="00F1100A"/>
    <w:rsid w:val="00F1117F"/>
    <w:rsid w:val="00F13CED"/>
    <w:rsid w:val="00F165C3"/>
    <w:rsid w:val="00F20911"/>
    <w:rsid w:val="00F20A42"/>
    <w:rsid w:val="00F21039"/>
    <w:rsid w:val="00F23B9C"/>
    <w:rsid w:val="00F266D8"/>
    <w:rsid w:val="00F31C2D"/>
    <w:rsid w:val="00F34130"/>
    <w:rsid w:val="00F37C75"/>
    <w:rsid w:val="00F401C6"/>
    <w:rsid w:val="00F4079C"/>
    <w:rsid w:val="00F41D8A"/>
    <w:rsid w:val="00F44E31"/>
    <w:rsid w:val="00F467E2"/>
    <w:rsid w:val="00F51A00"/>
    <w:rsid w:val="00F5250F"/>
    <w:rsid w:val="00F545FF"/>
    <w:rsid w:val="00F61B78"/>
    <w:rsid w:val="00F6254B"/>
    <w:rsid w:val="00F634A0"/>
    <w:rsid w:val="00F66182"/>
    <w:rsid w:val="00F714F8"/>
    <w:rsid w:val="00F77DFE"/>
    <w:rsid w:val="00F811B2"/>
    <w:rsid w:val="00F81913"/>
    <w:rsid w:val="00F8697D"/>
    <w:rsid w:val="00F905E6"/>
    <w:rsid w:val="00F90984"/>
    <w:rsid w:val="00F926CE"/>
    <w:rsid w:val="00F9484A"/>
    <w:rsid w:val="00F94CC7"/>
    <w:rsid w:val="00F979D0"/>
    <w:rsid w:val="00FA1D38"/>
    <w:rsid w:val="00FA2D76"/>
    <w:rsid w:val="00FA439C"/>
    <w:rsid w:val="00FA4B96"/>
    <w:rsid w:val="00FA7F96"/>
    <w:rsid w:val="00FB005F"/>
    <w:rsid w:val="00FB09A9"/>
    <w:rsid w:val="00FB3032"/>
    <w:rsid w:val="00FB34BB"/>
    <w:rsid w:val="00FC0021"/>
    <w:rsid w:val="00FC0A98"/>
    <w:rsid w:val="00FC0D1B"/>
    <w:rsid w:val="00FC1EF7"/>
    <w:rsid w:val="00FC3190"/>
    <w:rsid w:val="00FC4358"/>
    <w:rsid w:val="00FC6005"/>
    <w:rsid w:val="00FC6FFE"/>
    <w:rsid w:val="00FC7ED0"/>
    <w:rsid w:val="00FD3665"/>
    <w:rsid w:val="00FD3666"/>
    <w:rsid w:val="00FD5BA7"/>
    <w:rsid w:val="00FD6748"/>
    <w:rsid w:val="00FD7074"/>
    <w:rsid w:val="00FD7307"/>
    <w:rsid w:val="00FE0720"/>
    <w:rsid w:val="00FE2294"/>
    <w:rsid w:val="00FE2550"/>
    <w:rsid w:val="00FE5AC5"/>
    <w:rsid w:val="00FE6EAB"/>
    <w:rsid w:val="00FF1BC9"/>
    <w:rsid w:val="00FF3DC0"/>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02DC67"/>
  <w15:docId w15:val="{31C58240-AF60-42FC-8ED3-018F8780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10" w:qFormat="1"/>
    <w:lsdException w:name="heading 2" w:uiPriority="11" w:qFormat="1"/>
    <w:lsdException w:name="heading 3" w:uiPriority="12" w:qFormat="1"/>
    <w:lsdException w:name="heading 4" w:uiPriority="13"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lsdException w:name="List Bullet 5" w:semiHidden="1" w:unhideWhenUsed="1"/>
    <w:lsdException w:name="List Number 2" w:qFormat="1"/>
    <w:lsdException w:name="List Number 3" w:semiHidden="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C80"/>
    <w:pPr>
      <w:spacing w:after="180"/>
      <w:ind w:left="0" w:firstLine="0"/>
    </w:pPr>
    <w:rPr>
      <w:rFonts w:asciiTheme="minorHAnsi" w:hAnsiTheme="minorHAnsi"/>
      <w:sz w:val="22"/>
      <w:lang w:eastAsia="en-US"/>
    </w:rPr>
  </w:style>
  <w:style w:type="paragraph" w:styleId="Heading1">
    <w:name w:val="heading 1"/>
    <w:basedOn w:val="Normal"/>
    <w:next w:val="Normal"/>
    <w:link w:val="Heading1Char"/>
    <w:autoRedefine/>
    <w:uiPriority w:val="10"/>
    <w:qFormat/>
    <w:rsid w:val="00F401C6"/>
    <w:pPr>
      <w:keepNext/>
      <w:keepLines/>
      <w:spacing w:before="240"/>
      <w:outlineLvl w:val="0"/>
    </w:pPr>
    <w:rPr>
      <w:rFonts w:ascii="Source Sans Pro" w:eastAsia="SimHei" w:hAnsi="Source Sans Pro"/>
      <w:color w:val="002A3A" w:themeColor="text2"/>
      <w:spacing w:val="1"/>
      <w:sz w:val="44"/>
      <w:szCs w:val="32"/>
    </w:rPr>
  </w:style>
  <w:style w:type="paragraph" w:styleId="Heading2">
    <w:name w:val="heading 2"/>
    <w:basedOn w:val="Normal"/>
    <w:next w:val="Normal"/>
    <w:link w:val="Heading2Char"/>
    <w:autoRedefine/>
    <w:uiPriority w:val="11"/>
    <w:qFormat/>
    <w:rsid w:val="00F401C6"/>
    <w:pPr>
      <w:keepNext/>
      <w:keepLines/>
      <w:spacing w:before="340" w:line="400" w:lineRule="exact"/>
      <w:outlineLvl w:val="1"/>
    </w:pPr>
    <w:rPr>
      <w:rFonts w:ascii="Source Sans Pro" w:eastAsia="SimHei" w:hAnsi="Source Sans Pro"/>
      <w:color w:val="002A3A" w:themeColor="text2"/>
      <w:spacing w:val="1"/>
      <w:sz w:val="40"/>
      <w:szCs w:val="26"/>
    </w:rPr>
  </w:style>
  <w:style w:type="paragraph" w:styleId="Heading3">
    <w:name w:val="heading 3"/>
    <w:basedOn w:val="Normal"/>
    <w:next w:val="Normal"/>
    <w:link w:val="Heading3Char"/>
    <w:autoRedefine/>
    <w:uiPriority w:val="12"/>
    <w:qFormat/>
    <w:rsid w:val="00315D13"/>
    <w:pPr>
      <w:keepNext/>
      <w:keepLines/>
      <w:numPr>
        <w:ilvl w:val="1"/>
        <w:numId w:val="20"/>
      </w:numPr>
      <w:spacing w:before="240"/>
      <w:outlineLvl w:val="2"/>
    </w:pPr>
    <w:rPr>
      <w:rFonts w:ascii="Source Sans Pro Semibold" w:eastAsiaTheme="majorEastAsia" w:hAnsi="Source Sans Pro Semibold" w:cstheme="majorBidi"/>
      <w:bCs/>
      <w:color w:val="002A3A" w:themeColor="text2"/>
      <w:sz w:val="34"/>
    </w:rPr>
  </w:style>
  <w:style w:type="paragraph" w:styleId="Heading4">
    <w:name w:val="heading 4"/>
    <w:basedOn w:val="Normal"/>
    <w:next w:val="Normal"/>
    <w:link w:val="Heading4Char"/>
    <w:autoRedefine/>
    <w:uiPriority w:val="13"/>
    <w:qFormat/>
    <w:rsid w:val="00315D13"/>
    <w:pPr>
      <w:keepNext/>
      <w:keepLines/>
      <w:numPr>
        <w:ilvl w:val="2"/>
        <w:numId w:val="20"/>
      </w:numPr>
      <w:spacing w:before="240"/>
      <w:outlineLvl w:val="3"/>
    </w:pPr>
    <w:rPr>
      <w:rFonts w:ascii="Source Sans Pro Semibold" w:eastAsiaTheme="majorEastAsia" w:hAnsi="Source Sans Pro Semibold" w:cstheme="majorBidi"/>
      <w:bCs/>
      <w:iCs/>
      <w:color w:val="002A3A" w:themeColor="text2"/>
      <w:sz w:val="28"/>
    </w:rPr>
  </w:style>
  <w:style w:type="paragraph" w:styleId="Heading5">
    <w:name w:val="heading 5"/>
    <w:basedOn w:val="Normal"/>
    <w:next w:val="Normal"/>
    <w:link w:val="Heading5Char"/>
    <w:autoRedefine/>
    <w:uiPriority w:val="9"/>
    <w:qFormat/>
    <w:rsid w:val="00F401C6"/>
    <w:pPr>
      <w:keepNext/>
      <w:keepLines/>
      <w:spacing w:before="240"/>
      <w:jc w:val="both"/>
      <w:outlineLvl w:val="4"/>
    </w:pPr>
    <w:rPr>
      <w:rFonts w:ascii="Source Sans Pro Semibold" w:eastAsiaTheme="majorEastAsia" w:hAnsi="Source Sans Pro Semibold" w:cstheme="majorBidi"/>
      <w:color w:val="002A3A" w:themeColor="text2"/>
      <w:sz w:val="24"/>
    </w:rPr>
  </w:style>
  <w:style w:type="paragraph" w:styleId="Heading6">
    <w:name w:val="heading 6"/>
    <w:basedOn w:val="Normal"/>
    <w:next w:val="Normal"/>
    <w:link w:val="Heading6Char"/>
    <w:autoRedefine/>
    <w:uiPriority w:val="9"/>
    <w:qFormat/>
    <w:rsid w:val="0064065D"/>
    <w:pPr>
      <w:keepNext/>
      <w:keepLines/>
      <w:spacing w:before="240"/>
      <w:outlineLvl w:val="5"/>
    </w:pPr>
    <w:rPr>
      <w:rFonts w:asciiTheme="majorHAnsi" w:eastAsiaTheme="majorEastAsia" w:hAnsiTheme="majorHAnsi" w:cstheme="majorBidi"/>
      <w:i/>
      <w:iCs/>
      <w:color w:val="002A3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color w:val="00141D" w:themeColor="text2" w:themeShade="80"/>
      <w:sz w:val="64"/>
      <w:lang w:eastAsia="en-AU"/>
    </w:rPr>
  </w:style>
  <w:style w:type="paragraph" w:customStyle="1" w:styleId="Company">
    <w:name w:val="Company"/>
    <w:basedOn w:val="Name"/>
    <w:semiHidden/>
    <w:qFormat/>
    <w:rsid w:val="00392224"/>
    <w:rPr>
      <w:b w:val="0"/>
      <w:color w:val="0070C0"/>
      <w:sz w:val="48"/>
    </w:rPr>
  </w:style>
  <w:style w:type="character" w:customStyle="1" w:styleId="Heading1Char">
    <w:name w:val="Heading 1 Char"/>
    <w:basedOn w:val="DefaultParagraphFont"/>
    <w:link w:val="Heading1"/>
    <w:uiPriority w:val="9"/>
    <w:rsid w:val="00F401C6"/>
    <w:rPr>
      <w:rFonts w:ascii="Source Sans Pro" w:eastAsia="SimHei" w:hAnsi="Source Sans Pro"/>
      <w:color w:val="002A3A" w:themeColor="text2"/>
      <w:spacing w:val="1"/>
      <w:sz w:val="44"/>
      <w:szCs w:val="32"/>
      <w:lang w:eastAsia="en-US"/>
    </w:rPr>
  </w:style>
  <w:style w:type="character" w:customStyle="1" w:styleId="Heading2Char">
    <w:name w:val="Heading 2 Char"/>
    <w:basedOn w:val="DefaultParagraphFont"/>
    <w:link w:val="Heading2"/>
    <w:uiPriority w:val="9"/>
    <w:rsid w:val="00F401C6"/>
    <w:rPr>
      <w:rFonts w:ascii="Source Sans Pro" w:eastAsia="SimHei" w:hAnsi="Source Sans Pro"/>
      <w:color w:val="002A3A" w:themeColor="text2"/>
      <w:spacing w:val="1"/>
      <w:sz w:val="40"/>
      <w:szCs w:val="26"/>
      <w:lang w:eastAsia="en-US"/>
    </w:rPr>
  </w:style>
  <w:style w:type="character" w:customStyle="1" w:styleId="Heading3Char">
    <w:name w:val="Heading 3 Char"/>
    <w:basedOn w:val="DefaultParagraphFont"/>
    <w:link w:val="Heading3"/>
    <w:uiPriority w:val="9"/>
    <w:rsid w:val="00315D13"/>
    <w:rPr>
      <w:rFonts w:ascii="Source Sans Pro Semibold" w:eastAsiaTheme="majorEastAsia" w:hAnsi="Source Sans Pro Semibold" w:cstheme="majorBidi"/>
      <w:bCs/>
      <w:color w:val="002A3A" w:themeColor="text2"/>
      <w:sz w:val="34"/>
      <w:lang w:eastAsia="en-US"/>
    </w:rPr>
  </w:style>
  <w:style w:type="character" w:customStyle="1" w:styleId="Heading4Char">
    <w:name w:val="Heading 4 Char"/>
    <w:basedOn w:val="DefaultParagraphFont"/>
    <w:link w:val="Heading4"/>
    <w:uiPriority w:val="9"/>
    <w:rsid w:val="00315D13"/>
    <w:rPr>
      <w:rFonts w:ascii="Source Sans Pro Semibold" w:eastAsiaTheme="majorEastAsia" w:hAnsi="Source Sans Pro Semibold" w:cstheme="majorBidi"/>
      <w:bCs/>
      <w:iCs/>
      <w:color w:val="002A3A" w:themeColor="text2"/>
      <w:sz w:val="28"/>
      <w:lang w:eastAsia="en-US"/>
    </w:rPr>
  </w:style>
  <w:style w:type="character" w:customStyle="1" w:styleId="Heading5Char">
    <w:name w:val="Heading 5 Char"/>
    <w:basedOn w:val="DefaultParagraphFont"/>
    <w:link w:val="Heading5"/>
    <w:uiPriority w:val="9"/>
    <w:rsid w:val="00F401C6"/>
    <w:rPr>
      <w:rFonts w:ascii="Source Sans Pro Semibold" w:eastAsiaTheme="majorEastAsia" w:hAnsi="Source Sans Pro Semibold" w:cstheme="majorBidi"/>
      <w:color w:val="002A3A" w:themeColor="text2"/>
      <w:sz w:val="24"/>
      <w:lang w:eastAsia="en-US"/>
    </w:rPr>
  </w:style>
  <w:style w:type="paragraph" w:styleId="ListParagraph">
    <w:name w:val="List Paragraph"/>
    <w:aliases w:val="List Paragraph1,List Paragraph11,List Paragraph2,Bulit List -  Paragraph,Main numbered paragraph,Numbered List Paragraph,Clause text,Recommendation,List Paragraph111,L,F5 List Paragraph,Dot pt,CV text,Table text,Medium Grid 1 - Accent 21"/>
    <w:basedOn w:val="Normal"/>
    <w:link w:val="ListParagraphChar"/>
    <w:uiPriority w:val="34"/>
    <w:qFormat/>
    <w:rsid w:val="00B6582A"/>
    <w:pPr>
      <w:ind w:left="720"/>
      <w:contextualSpacing/>
    </w:pPr>
  </w:style>
  <w:style w:type="paragraph" w:customStyle="1" w:styleId="Heading1-Numbered">
    <w:name w:val="Heading 1 - Numbered"/>
    <w:basedOn w:val="Heading1"/>
    <w:next w:val="Normal"/>
    <w:semiHidden/>
    <w:qFormat/>
    <w:rsid w:val="00CE01C8"/>
    <w:pPr>
      <w:numPr>
        <w:numId w:val="7"/>
      </w:numPr>
    </w:pPr>
  </w:style>
  <w:style w:type="paragraph" w:customStyle="1" w:styleId="Heading2-Numbered">
    <w:name w:val="Heading 2 - Numbered"/>
    <w:basedOn w:val="Heading2"/>
    <w:next w:val="Normal"/>
    <w:qFormat/>
    <w:rsid w:val="00CE01C8"/>
    <w:pPr>
      <w:numPr>
        <w:numId w:val="18"/>
      </w:numPr>
    </w:pPr>
  </w:style>
  <w:style w:type="paragraph" w:customStyle="1" w:styleId="Heading3-Numbered">
    <w:name w:val="Heading 3 - Numbered"/>
    <w:basedOn w:val="Heading3"/>
    <w:next w:val="Normal"/>
    <w:semiHidden/>
    <w:qFormat/>
    <w:rsid w:val="00CE01C8"/>
    <w:pPr>
      <w:numPr>
        <w:ilvl w:val="2"/>
        <w:numId w:val="7"/>
      </w:numPr>
    </w:pPr>
  </w:style>
  <w:style w:type="paragraph" w:customStyle="1" w:styleId="Heading4-Numbered">
    <w:name w:val="Heading 4 - Numbered"/>
    <w:basedOn w:val="Heading4"/>
    <w:next w:val="Normal"/>
    <w:semiHidden/>
    <w:qFormat/>
    <w:rsid w:val="00CE01C8"/>
    <w:pPr>
      <w:numPr>
        <w:ilvl w:val="3"/>
        <w:numId w:val="7"/>
      </w:numPr>
    </w:pPr>
  </w:style>
  <w:style w:type="paragraph" w:customStyle="1" w:styleId="Heading5-Numbered">
    <w:name w:val="Heading 5 - Numbered"/>
    <w:basedOn w:val="Heading5"/>
    <w:next w:val="Normal"/>
    <w:semiHidden/>
    <w:qFormat/>
    <w:rsid w:val="00CE01C8"/>
    <w:pPr>
      <w:numPr>
        <w:ilvl w:val="4"/>
        <w:numId w:val="7"/>
      </w:numPr>
    </w:pPr>
  </w:style>
  <w:style w:type="paragraph" w:styleId="Footer">
    <w:name w:val="footer"/>
    <w:basedOn w:val="Normal"/>
    <w:link w:val="FooterChar"/>
    <w:uiPriority w:val="99"/>
    <w:rsid w:val="007F5854"/>
    <w:pPr>
      <w:spacing w:after="0"/>
    </w:pPr>
    <w:rPr>
      <w:color w:val="000000" w:themeColor="text1"/>
      <w:sz w:val="18"/>
    </w:rPr>
  </w:style>
  <w:style w:type="character" w:customStyle="1" w:styleId="FooterChar">
    <w:name w:val="Footer Char"/>
    <w:basedOn w:val="DefaultParagraphFont"/>
    <w:link w:val="Footer"/>
    <w:uiPriority w:val="99"/>
    <w:rsid w:val="007F5854"/>
    <w:rPr>
      <w:rFonts w:asciiTheme="minorHAnsi" w:hAnsiTheme="minorHAnsi"/>
      <w:color w:val="000000" w:themeColor="text1"/>
      <w:sz w:val="18"/>
      <w:lang w:eastAsia="en-US"/>
    </w:rPr>
  </w:style>
  <w:style w:type="paragraph" w:styleId="Title">
    <w:name w:val="Title"/>
    <w:basedOn w:val="Normal"/>
    <w:next w:val="Normal"/>
    <w:link w:val="TitleChar"/>
    <w:autoRedefine/>
    <w:uiPriority w:val="10"/>
    <w:qFormat/>
    <w:rsid w:val="00F41D8A"/>
    <w:pPr>
      <w:framePr w:w="9072" w:wrap="around" w:vAnchor="page" w:hAnchor="page" w:x="1152" w:y="3687" w:anchorLock="1"/>
      <w:adjustRightInd w:val="0"/>
      <w:spacing w:after="240"/>
    </w:pPr>
    <w:rPr>
      <w:rFonts w:asciiTheme="majorHAnsi" w:eastAsiaTheme="majorEastAsia" w:hAnsiTheme="majorHAnsi" w:cstheme="majorBidi"/>
      <w:color w:val="002A3A" w:themeColor="text2"/>
      <w:spacing w:val="5"/>
      <w:kern w:val="28"/>
      <w:sz w:val="44"/>
      <w:szCs w:val="44"/>
    </w:rPr>
  </w:style>
  <w:style w:type="character" w:customStyle="1" w:styleId="TitleChar">
    <w:name w:val="Title Char"/>
    <w:basedOn w:val="DefaultParagraphFont"/>
    <w:link w:val="Title"/>
    <w:uiPriority w:val="10"/>
    <w:rsid w:val="00F41D8A"/>
    <w:rPr>
      <w:rFonts w:asciiTheme="majorHAnsi" w:eastAsiaTheme="majorEastAsia" w:hAnsiTheme="majorHAnsi" w:cstheme="majorBidi"/>
      <w:color w:val="002A3A" w:themeColor="text2"/>
      <w:spacing w:val="5"/>
      <w:kern w:val="28"/>
      <w:sz w:val="44"/>
      <w:szCs w:val="44"/>
    </w:rPr>
  </w:style>
  <w:style w:type="paragraph" w:customStyle="1" w:styleId="CoverURL">
    <w:name w:val="Cover URL"/>
    <w:basedOn w:val="Footer"/>
    <w:rsid w:val="00093B03"/>
    <w:rPr>
      <w:color w:val="002A3A" w:themeColor="text2"/>
      <w:spacing w:val="-10"/>
      <w:sz w:val="40"/>
    </w:rPr>
  </w:style>
  <w:style w:type="paragraph" w:styleId="ListBullet2">
    <w:name w:val="List Bullet 2"/>
    <w:basedOn w:val="Normal"/>
    <w:uiPriority w:val="99"/>
    <w:qFormat/>
    <w:rsid w:val="0069635D"/>
    <w:pPr>
      <w:numPr>
        <w:ilvl w:val="1"/>
        <w:numId w:val="11"/>
      </w:numPr>
      <w:adjustRightInd w:val="0"/>
      <w:ind w:left="1021" w:hanging="454"/>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CC47E4"/>
    <w:pPr>
      <w:numPr>
        <w:numId w:val="2"/>
      </w:numPr>
    </w:pPr>
  </w:style>
  <w:style w:type="table" w:styleId="TableGrid">
    <w:name w:val="Table Grid"/>
    <w:basedOn w:val="TableNormal"/>
    <w:uiPriority w:val="39"/>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60502"/>
    <w:pPr>
      <w:numPr>
        <w:numId w:val="15"/>
      </w:numPr>
    </w:pPr>
  </w:style>
  <w:style w:type="paragraph" w:styleId="ListNumber2">
    <w:name w:val="List Number 2"/>
    <w:basedOn w:val="Normal"/>
    <w:uiPriority w:val="99"/>
    <w:qFormat/>
    <w:rsid w:val="00C60502"/>
    <w:pPr>
      <w:numPr>
        <w:ilvl w:val="1"/>
        <w:numId w:val="15"/>
      </w:numPr>
      <w:ind w:left="1021" w:hanging="454"/>
    </w:pPr>
  </w:style>
  <w:style w:type="paragraph" w:customStyle="1" w:styleId="TableHeading">
    <w:name w:val="Table Heading"/>
    <w:basedOn w:val="Normal"/>
    <w:qFormat/>
    <w:rsid w:val="00E1485B"/>
    <w:pPr>
      <w:spacing w:after="0"/>
    </w:pPr>
    <w:rPr>
      <w:rFonts w:ascii="Source Sans Pro" w:eastAsia="Source Sans Pro" w:hAnsi="Source Sans Pro"/>
      <w:bCs/>
      <w:color w:val="000000" w:themeColor="text1"/>
      <w:spacing w:val="1"/>
      <w:szCs w:val="22"/>
      <w:lang w:val="en-GB" w:eastAsia="zh-CN"/>
    </w:rPr>
  </w:style>
  <w:style w:type="paragraph" w:customStyle="1" w:styleId="TableText">
    <w:name w:val="Table Text"/>
    <w:basedOn w:val="Normal"/>
    <w:autoRedefine/>
    <w:uiPriority w:val="60"/>
    <w:qFormat/>
    <w:rsid w:val="0078709E"/>
    <w:pPr>
      <w:spacing w:after="0"/>
    </w:pPr>
    <w:rPr>
      <w:rFonts w:ascii="Source Sans Pro" w:eastAsia="Source Sans Pro" w:hAnsi="Source Sans Pro"/>
      <w:spacing w:val="1"/>
      <w:szCs w:val="22"/>
      <w:lang w:val="en-GB" w:eastAsia="zh-CN"/>
    </w:rPr>
  </w:style>
  <w:style w:type="paragraph" w:customStyle="1" w:styleId="TableBullet">
    <w:name w:val="Table Bullet"/>
    <w:basedOn w:val="TableText"/>
    <w:link w:val="TableBulletChar"/>
    <w:qFormat/>
    <w:rsid w:val="003D78F2"/>
    <w:pPr>
      <w:numPr>
        <w:numId w:val="3"/>
      </w:numPr>
      <w:ind w:left="284" w:hanging="284"/>
    </w:pPr>
  </w:style>
  <w:style w:type="paragraph" w:styleId="Caption">
    <w:name w:val="caption"/>
    <w:basedOn w:val="Normal"/>
    <w:next w:val="Normal"/>
    <w:uiPriority w:val="35"/>
    <w:qFormat/>
    <w:rsid w:val="00551EC0"/>
    <w:pPr>
      <w:spacing w:before="240" w:after="240"/>
    </w:pPr>
    <w:rPr>
      <w:rFonts w:ascii="Source Sans Pro" w:eastAsia="Source Sans Pro" w:hAnsi="Source Sans Pro"/>
      <w:b/>
      <w:iCs/>
      <w:color w:val="002A3A" w:themeColor="text2"/>
      <w:spacing w:val="-3"/>
      <w:szCs w:val="18"/>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rsid w:val="00940831"/>
    <w:rPr>
      <w:color w:val="002A3A" w:themeColor="text2"/>
      <w:u w:val="single"/>
    </w:rPr>
  </w:style>
  <w:style w:type="table" w:customStyle="1" w:styleId="OAICTable">
    <w:name w:val="OAIC Table"/>
    <w:basedOn w:val="TableNormal"/>
    <w:uiPriority w:val="99"/>
    <w:rsid w:val="000000CD"/>
    <w:rPr>
      <w:rFonts w:asciiTheme="minorHAnsi" w:hAnsiTheme="minorHAnsi"/>
      <w:lang w:val="en-GB" w:eastAsia="zh-CN"/>
    </w:rPr>
    <w:tblPr>
      <w:tblBorders>
        <w:bottom w:val="single" w:sz="4" w:space="0" w:color="DDD8D9" w:themeColor="accent1"/>
        <w:insideH w:val="single" w:sz="4" w:space="0" w:color="E0DBE3"/>
      </w:tblBorders>
      <w:tblCellMar>
        <w:top w:w="68" w:type="dxa"/>
        <w:left w:w="85" w:type="dxa"/>
        <w:bottom w:w="68" w:type="dxa"/>
        <w:right w:w="85" w:type="dxa"/>
      </w:tblCellMar>
    </w:tblPr>
    <w:tcPr>
      <w:shd w:val="clear" w:color="auto" w:fill="FFFFFF" w:themeFill="background1"/>
    </w:tcPr>
    <w:tblStylePr w:type="firstRow">
      <w:rPr>
        <w:b/>
        <w:color w:val="000000" w:themeColor="text1"/>
        <w:sz w:val="22"/>
      </w:rPr>
      <w:tblPr/>
      <w:tcPr>
        <w:shd w:val="clear" w:color="auto" w:fill="E0DBE3"/>
      </w:tcPr>
    </w:tblStylePr>
    <w:tblStylePr w:type="lastRow">
      <w:tblPr/>
      <w:tcPr>
        <w:shd w:val="clear" w:color="auto" w:fill="E0DBE3"/>
      </w:tcPr>
    </w:tblStylePr>
    <w:tblStylePr w:type="firstCol">
      <w:pPr>
        <w:jc w:val="left"/>
      </w:p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C60502"/>
    <w:pPr>
      <w:numPr>
        <w:ilvl w:val="2"/>
        <w:numId w:val="15"/>
      </w:numPr>
      <w:ind w:left="1531" w:hanging="454"/>
    </w:pPr>
  </w:style>
  <w:style w:type="paragraph" w:styleId="FootnoteText">
    <w:name w:val="footnote text"/>
    <w:basedOn w:val="Normal"/>
    <w:link w:val="FootnoteTextChar"/>
    <w:uiPriority w:val="99"/>
    <w:unhideWhenUsed/>
    <w:rsid w:val="00551EC0"/>
    <w:pPr>
      <w:tabs>
        <w:tab w:val="left" w:pos="170"/>
      </w:tabs>
      <w:spacing w:after="60"/>
    </w:pPr>
    <w:rPr>
      <w:sz w:val="18"/>
    </w:rPr>
  </w:style>
  <w:style w:type="character" w:customStyle="1" w:styleId="TableBulletChar">
    <w:name w:val="Table Bullet Char"/>
    <w:link w:val="TableBullet"/>
    <w:locked/>
    <w:rsid w:val="003D78F2"/>
    <w:rPr>
      <w:rFonts w:ascii="Source Sans Pro" w:eastAsia="Source Sans Pro" w:hAnsi="Source Sans Pro"/>
      <w:spacing w:val="1"/>
      <w:sz w:val="22"/>
      <w:szCs w:val="22"/>
      <w:lang w:val="en-GB" w:eastAsia="zh-CN"/>
    </w:rPr>
  </w:style>
  <w:style w:type="character" w:customStyle="1" w:styleId="FootnoteTextChar">
    <w:name w:val="Footnote Text Char"/>
    <w:basedOn w:val="DefaultParagraphFont"/>
    <w:link w:val="FootnoteText"/>
    <w:uiPriority w:val="99"/>
    <w:rsid w:val="00551EC0"/>
    <w:rPr>
      <w:rFonts w:asciiTheme="minorHAnsi" w:hAnsiTheme="minorHAnsi"/>
      <w:sz w:val="18"/>
    </w:rPr>
  </w:style>
  <w:style w:type="paragraph" w:styleId="Header">
    <w:name w:val="header"/>
    <w:basedOn w:val="Normal"/>
    <w:link w:val="HeaderChar"/>
    <w:uiPriority w:val="99"/>
    <w:rsid w:val="00EE51CF"/>
    <w:pPr>
      <w:shd w:val="clear" w:color="auto" w:fill="FFFFFF"/>
      <w:tabs>
        <w:tab w:val="center" w:pos="4513"/>
        <w:tab w:val="right" w:pos="9026"/>
      </w:tabs>
      <w:spacing w:after="1260"/>
      <w:ind w:left="-57" w:right="28"/>
      <w:contextualSpacing/>
      <w:jc w:val="right"/>
    </w:pPr>
    <w:rPr>
      <w:rFonts w:ascii="Source Sans Pro" w:eastAsia="Source Sans Pro" w:hAnsi="Source Sans Pro"/>
      <w:spacing w:val="1"/>
      <w:sz w:val="18"/>
      <w:szCs w:val="22"/>
    </w:rPr>
  </w:style>
  <w:style w:type="character" w:customStyle="1" w:styleId="HeaderChar">
    <w:name w:val="Header Char"/>
    <w:basedOn w:val="DefaultParagraphFont"/>
    <w:link w:val="Header"/>
    <w:uiPriority w:val="99"/>
    <w:rsid w:val="00EE51CF"/>
    <w:rPr>
      <w:rFonts w:ascii="Source Sans Pro" w:eastAsia="Source Sans Pro" w:hAnsi="Source Sans Pro"/>
      <w:spacing w:val="1"/>
      <w:sz w:val="18"/>
      <w:szCs w:val="22"/>
      <w:shd w:val="clear" w:color="auto" w:fill="FFFFFF"/>
      <w:lang w:eastAsia="en-US"/>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autoRedefine/>
    <w:rsid w:val="00E37BA7"/>
    <w:pPr>
      <w:spacing w:after="0"/>
    </w:pPr>
    <w:rPr>
      <w:color w:val="000000" w:themeColor="text1"/>
    </w:rPr>
  </w:style>
  <w:style w:type="paragraph" w:customStyle="1" w:styleId="CalloutBox">
    <w:name w:val="Callout Box"/>
    <w:basedOn w:val="CallouttextB"/>
    <w:rsid w:val="00105DB0"/>
  </w:style>
  <w:style w:type="paragraph" w:customStyle="1" w:styleId="Source">
    <w:name w:val="Source"/>
    <w:next w:val="Normal"/>
    <w:uiPriority w:val="97"/>
    <w:semiHidden/>
    <w:rsid w:val="002B5C36"/>
    <w:pPr>
      <w:numPr>
        <w:numId w:val="5"/>
      </w:numPr>
    </w:pPr>
    <w:rPr>
      <w:rFonts w:asciiTheme="minorHAnsi" w:eastAsia="Times New Roman" w:hAnsiTheme="minorHAnsi" w:cstheme="minorHAnsi"/>
      <w:spacing w:val="-3"/>
      <w:sz w:val="16"/>
      <w:szCs w:val="14"/>
      <w:lang w:eastAsia="en-AU"/>
    </w:rPr>
  </w:style>
  <w:style w:type="paragraph" w:styleId="BalloonText">
    <w:name w:val="Balloon Text"/>
    <w:basedOn w:val="Normal"/>
    <w:link w:val="BalloonTextChar"/>
    <w:uiPriority w:val="99"/>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811B2"/>
    <w:rPr>
      <w:rFonts w:ascii="Tahoma" w:hAnsi="Tahoma" w:cs="Tahoma"/>
      <w:sz w:val="16"/>
      <w:szCs w:val="16"/>
    </w:rPr>
  </w:style>
  <w:style w:type="paragraph" w:customStyle="1" w:styleId="FigureCaption">
    <w:name w:val="Figure Caption"/>
    <w:basedOn w:val="Normal"/>
    <w:next w:val="Normal"/>
    <w:rsid w:val="008014B1"/>
    <w:rPr>
      <w:color w:val="002A3A" w:themeColor="text2"/>
      <w:sz w:val="20"/>
    </w:rPr>
  </w:style>
  <w:style w:type="paragraph" w:customStyle="1" w:styleId="TableCaption">
    <w:name w:val="Table Caption"/>
    <w:basedOn w:val="Caption"/>
    <w:next w:val="Normal"/>
    <w:rsid w:val="00955B87"/>
    <w:pPr>
      <w:keepNext/>
    </w:pPr>
    <w:rPr>
      <w:rFonts w:ascii="Source Sans Pro Semibold" w:hAnsi="Source Sans Pro Semibold"/>
      <w:b w:val="0"/>
    </w:rPr>
  </w:style>
  <w:style w:type="paragraph" w:styleId="TOC1">
    <w:name w:val="toc 1"/>
    <w:basedOn w:val="Normal"/>
    <w:next w:val="Normal"/>
    <w:autoRedefine/>
    <w:uiPriority w:val="39"/>
    <w:unhideWhenUsed/>
    <w:rsid w:val="00C53E04"/>
    <w:pPr>
      <w:tabs>
        <w:tab w:val="right" w:pos="9060"/>
      </w:tabs>
      <w:spacing w:after="100"/>
      <w:ind w:right="567"/>
    </w:pPr>
    <w:rPr>
      <w:sz w:val="26"/>
    </w:rPr>
  </w:style>
  <w:style w:type="paragraph" w:styleId="TOC2">
    <w:name w:val="toc 2"/>
    <w:basedOn w:val="Normal"/>
    <w:next w:val="Normal"/>
    <w:autoRedefine/>
    <w:uiPriority w:val="39"/>
    <w:unhideWhenUsed/>
    <w:rsid w:val="00B42513"/>
    <w:pPr>
      <w:tabs>
        <w:tab w:val="right" w:pos="9060"/>
      </w:tabs>
      <w:spacing w:after="160"/>
      <w:ind w:left="142" w:right="567"/>
    </w:pPr>
    <w:rPr>
      <w:rFonts w:asciiTheme="majorHAnsi" w:hAnsiTheme="majorHAnsi"/>
      <w:sz w:val="26"/>
    </w:rPr>
  </w:style>
  <w:style w:type="paragraph" w:styleId="TOC3">
    <w:name w:val="toc 3"/>
    <w:basedOn w:val="Normal"/>
    <w:next w:val="Normal"/>
    <w:autoRedefine/>
    <w:uiPriority w:val="39"/>
    <w:unhideWhenUsed/>
    <w:rsid w:val="00CC6896"/>
    <w:pPr>
      <w:tabs>
        <w:tab w:val="right" w:pos="9060"/>
      </w:tabs>
      <w:spacing w:line="288" w:lineRule="auto"/>
      <w:ind w:left="567"/>
      <w:contextualSpacing/>
    </w:pPr>
  </w:style>
  <w:style w:type="numbering" w:customStyle="1" w:styleId="BulletsOAIC">
    <w:name w:val="Bullets_OAIC"/>
    <w:uiPriority w:val="99"/>
    <w:rsid w:val="005E2E2F"/>
    <w:pPr>
      <w:numPr>
        <w:numId w:val="6"/>
      </w:numPr>
    </w:pPr>
  </w:style>
  <w:style w:type="paragraph" w:styleId="TOCHeading">
    <w:name w:val="TOC Heading"/>
    <w:basedOn w:val="Heading1"/>
    <w:next w:val="Normal"/>
    <w:autoRedefine/>
    <w:uiPriority w:val="39"/>
    <w:qFormat/>
    <w:rsid w:val="008755B2"/>
    <w:pPr>
      <w:spacing w:before="360" w:after="360" w:line="240" w:lineRule="atLeast"/>
      <w:ind w:left="113"/>
      <w:outlineLvl w:val="9"/>
    </w:pPr>
    <w:rPr>
      <w:rFonts w:asciiTheme="majorHAnsi" w:hAnsiTheme="majorHAnsi"/>
      <w:color w:val="000000" w:themeColor="text1"/>
      <w:sz w:val="34"/>
    </w:rPr>
  </w:style>
  <w:style w:type="paragraph" w:styleId="ListBullet">
    <w:name w:val="List Bullet"/>
    <w:basedOn w:val="Normal"/>
    <w:uiPriority w:val="99"/>
    <w:qFormat/>
    <w:rsid w:val="0069635D"/>
    <w:pPr>
      <w:numPr>
        <w:numId w:val="11"/>
      </w:numPr>
    </w:pPr>
  </w:style>
  <w:style w:type="paragraph" w:customStyle="1" w:styleId="CoverDate">
    <w:name w:val="Cover Date"/>
    <w:basedOn w:val="Normal"/>
    <w:rsid w:val="002D621F"/>
    <w:pPr>
      <w:spacing w:before="2260"/>
      <w:ind w:left="198"/>
      <w:contextualSpacing/>
    </w:pPr>
    <w:rPr>
      <w:b/>
      <w:color w:val="00ACEE"/>
      <w:sz w:val="36"/>
    </w:rPr>
  </w:style>
  <w:style w:type="character" w:styleId="PageNumber">
    <w:name w:val="page number"/>
    <w:basedOn w:val="DefaultParagraphFont"/>
    <w:uiPriority w:val="99"/>
    <w:rsid w:val="00093B03"/>
    <w:rPr>
      <w:b/>
    </w:rPr>
  </w:style>
  <w:style w:type="paragraph" w:customStyle="1" w:styleId="CoverHeading">
    <w:name w:val="Cover Heading"/>
    <w:basedOn w:val="Normal"/>
    <w:semiHidden/>
    <w:qFormat/>
    <w:rsid w:val="004625AD"/>
    <w:pPr>
      <w:spacing w:before="360" w:after="340" w:line="194" w:lineRule="auto"/>
      <w:ind w:left="198"/>
      <w:contextualSpacing/>
    </w:pPr>
    <w:rPr>
      <w:color w:val="FFFFFF"/>
      <w:sz w:val="84"/>
    </w:rPr>
  </w:style>
  <w:style w:type="paragraph" w:customStyle="1" w:styleId="CoverSubheading">
    <w:name w:val="Cover Subheading"/>
    <w:basedOn w:val="Normal"/>
    <w:rsid w:val="004625AD"/>
    <w:pPr>
      <w:spacing w:line="400" w:lineRule="atLeast"/>
      <w:ind w:left="198"/>
    </w:pPr>
    <w:rPr>
      <w:color w:val="FFFFFF"/>
      <w:sz w:val="30"/>
    </w:rPr>
  </w:style>
  <w:style w:type="paragraph" w:customStyle="1" w:styleId="CoverDetails">
    <w:name w:val="Cover Details"/>
    <w:basedOn w:val="Normal"/>
    <w:rsid w:val="004625AD"/>
    <w:pPr>
      <w:framePr w:wrap="around" w:vAnchor="page" w:hAnchor="text" w:y="11330" w:anchorLock="1"/>
      <w:spacing w:after="80"/>
      <w:ind w:left="198"/>
    </w:pPr>
    <w:rPr>
      <w:color w:val="FFFFFF"/>
      <w:spacing w:val="-6"/>
    </w:rPr>
  </w:style>
  <w:style w:type="paragraph" w:customStyle="1" w:styleId="CoverDetailsHeading">
    <w:name w:val="Cover Details Heading"/>
    <w:basedOn w:val="Normal"/>
    <w:rsid w:val="004625AD"/>
    <w:pPr>
      <w:framePr w:wrap="around" w:vAnchor="page" w:hAnchor="text" w:y="11330" w:anchorLock="1"/>
      <w:spacing w:after="80"/>
      <w:ind w:left="198"/>
    </w:pPr>
    <w:rPr>
      <w:b/>
      <w:color w:val="FFFFFF"/>
      <w:sz w:val="26"/>
    </w:rPr>
  </w:style>
  <w:style w:type="character" w:styleId="PlaceholderText">
    <w:name w:val="Placeholder Text"/>
    <w:basedOn w:val="DefaultParagraphFont"/>
    <w:uiPriority w:val="99"/>
    <w:semiHidden/>
    <w:rsid w:val="005351B4"/>
    <w:rPr>
      <w:color w:val="FF0000"/>
    </w:rPr>
  </w:style>
  <w:style w:type="paragraph" w:customStyle="1" w:styleId="NumberedParagraphs">
    <w:name w:val="Numbered Paragraphs"/>
    <w:basedOn w:val="Normal"/>
    <w:qFormat/>
    <w:rsid w:val="00043C6D"/>
    <w:pPr>
      <w:numPr>
        <w:ilvl w:val="1"/>
        <w:numId w:val="18"/>
      </w:numPr>
    </w:pPr>
  </w:style>
  <w:style w:type="character" w:customStyle="1" w:styleId="Heading6Char">
    <w:name w:val="Heading 6 Char"/>
    <w:basedOn w:val="DefaultParagraphFont"/>
    <w:link w:val="Heading6"/>
    <w:uiPriority w:val="9"/>
    <w:rsid w:val="0064065D"/>
    <w:rPr>
      <w:rFonts w:asciiTheme="majorHAnsi" w:eastAsiaTheme="majorEastAsia" w:hAnsiTheme="majorHAnsi" w:cstheme="majorBidi"/>
      <w:i/>
      <w:iCs/>
      <w:color w:val="002A3A" w:themeColor="text2"/>
      <w:sz w:val="24"/>
      <w:lang w:eastAsia="en-US"/>
    </w:rPr>
  </w:style>
  <w:style w:type="numbering" w:customStyle="1" w:styleId="NumberedParagraphsList">
    <w:name w:val="NumberedParagraphs List"/>
    <w:uiPriority w:val="99"/>
    <w:rsid w:val="00043C6D"/>
    <w:pPr>
      <w:numPr>
        <w:numId w:val="9"/>
      </w:numPr>
    </w:pPr>
  </w:style>
  <w:style w:type="paragraph" w:styleId="TOC4">
    <w:name w:val="toc 4"/>
    <w:basedOn w:val="Normal"/>
    <w:next w:val="Normal"/>
    <w:uiPriority w:val="39"/>
    <w:unhideWhenUsed/>
    <w:rsid w:val="00D0312E"/>
    <w:pPr>
      <w:tabs>
        <w:tab w:val="left" w:pos="737"/>
        <w:tab w:val="right" w:leader="dot" w:pos="9072"/>
      </w:tabs>
      <w:spacing w:after="160"/>
    </w:pPr>
    <w:rPr>
      <w:sz w:val="20"/>
    </w:rPr>
  </w:style>
  <w:style w:type="paragraph" w:customStyle="1" w:styleId="Heading2-Unnumbered">
    <w:name w:val="Heading 2 - Unnumbered"/>
    <w:basedOn w:val="Heading2"/>
    <w:next w:val="Normal"/>
    <w:autoRedefine/>
    <w:qFormat/>
    <w:rsid w:val="007D11F8"/>
    <w:pPr>
      <w:spacing w:line="520" w:lineRule="exact"/>
    </w:pPr>
  </w:style>
  <w:style w:type="paragraph" w:customStyle="1" w:styleId="IndentBullet1">
    <w:name w:val="Indent Bullet 1"/>
    <w:basedOn w:val="Normal"/>
    <w:qFormat/>
    <w:rsid w:val="0065602B"/>
    <w:pPr>
      <w:numPr>
        <w:numId w:val="17"/>
      </w:numPr>
      <w:ind w:left="1078" w:hanging="454"/>
    </w:pPr>
  </w:style>
  <w:style w:type="paragraph" w:customStyle="1" w:styleId="IndentBullet2">
    <w:name w:val="Indent Bullet 2"/>
    <w:basedOn w:val="ListParagraph"/>
    <w:qFormat/>
    <w:rsid w:val="0065602B"/>
    <w:pPr>
      <w:numPr>
        <w:ilvl w:val="1"/>
        <w:numId w:val="17"/>
      </w:numPr>
      <w:ind w:left="1588" w:hanging="454"/>
      <w:contextualSpacing w:val="0"/>
    </w:pPr>
  </w:style>
  <w:style w:type="numbering" w:customStyle="1" w:styleId="IndentNumbersOAIC">
    <w:name w:val="IndentNumbers_OAIC"/>
    <w:uiPriority w:val="99"/>
    <w:rsid w:val="00BA5180"/>
    <w:pPr>
      <w:numPr>
        <w:numId w:val="10"/>
      </w:numPr>
    </w:pPr>
  </w:style>
  <w:style w:type="paragraph" w:styleId="List">
    <w:name w:val="List"/>
    <w:basedOn w:val="Normal"/>
    <w:uiPriority w:val="99"/>
    <w:qFormat/>
    <w:rsid w:val="0065602B"/>
    <w:pPr>
      <w:numPr>
        <w:numId w:val="10"/>
      </w:numPr>
      <w:ind w:left="1078" w:hanging="454"/>
    </w:pPr>
  </w:style>
  <w:style w:type="paragraph" w:styleId="List2">
    <w:name w:val="List 2"/>
    <w:basedOn w:val="Normal"/>
    <w:uiPriority w:val="99"/>
    <w:qFormat/>
    <w:rsid w:val="0065602B"/>
    <w:pPr>
      <w:numPr>
        <w:ilvl w:val="1"/>
        <w:numId w:val="10"/>
      </w:numPr>
      <w:ind w:left="1588" w:hanging="454"/>
    </w:pPr>
  </w:style>
  <w:style w:type="paragraph" w:styleId="List3">
    <w:name w:val="List 3"/>
    <w:basedOn w:val="Normal"/>
    <w:uiPriority w:val="99"/>
    <w:qFormat/>
    <w:rsid w:val="00F926CE"/>
  </w:style>
  <w:style w:type="paragraph" w:styleId="Quote">
    <w:name w:val="Quote"/>
    <w:basedOn w:val="Normal"/>
    <w:next w:val="Normal"/>
    <w:link w:val="QuoteChar"/>
    <w:autoRedefine/>
    <w:uiPriority w:val="1"/>
    <w:qFormat/>
    <w:rsid w:val="00B16297"/>
    <w:pPr>
      <w:spacing w:after="240"/>
      <w:ind w:left="567"/>
    </w:pPr>
    <w:rPr>
      <w:rFonts w:ascii="Calibri" w:eastAsiaTheme="minorHAnsi" w:hAnsi="Calibri"/>
    </w:rPr>
  </w:style>
  <w:style w:type="character" w:customStyle="1" w:styleId="QuoteChar">
    <w:name w:val="Quote Char"/>
    <w:basedOn w:val="DefaultParagraphFont"/>
    <w:link w:val="Quote"/>
    <w:uiPriority w:val="1"/>
    <w:rsid w:val="00B16297"/>
    <w:rPr>
      <w:rFonts w:ascii="Calibri" w:eastAsiaTheme="minorHAnsi" w:hAnsi="Calibri"/>
      <w:sz w:val="22"/>
      <w:lang w:eastAsia="en-US"/>
    </w:rPr>
  </w:style>
  <w:style w:type="character" w:styleId="FootnoteReference">
    <w:name w:val="footnote reference"/>
    <w:basedOn w:val="DefaultParagraphFont"/>
    <w:uiPriority w:val="99"/>
    <w:unhideWhenUsed/>
    <w:rsid w:val="004F05EC"/>
    <w:rPr>
      <w:vertAlign w:val="superscript"/>
    </w:rPr>
  </w:style>
  <w:style w:type="character" w:styleId="Strong">
    <w:name w:val="Strong"/>
    <w:basedOn w:val="DefaultParagraphFont"/>
    <w:uiPriority w:val="22"/>
    <w:qFormat/>
    <w:rsid w:val="00462513"/>
    <w:rPr>
      <w:b/>
      <w:bCs/>
    </w:rPr>
  </w:style>
  <w:style w:type="table" w:customStyle="1" w:styleId="Frame">
    <w:name w:val="Frame"/>
    <w:basedOn w:val="TableNormal"/>
    <w:uiPriority w:val="99"/>
    <w:rsid w:val="00462513"/>
    <w:pPr>
      <w:ind w:left="0" w:firstLine="0"/>
    </w:pPr>
    <w:rPr>
      <w:rFonts w:ascii="Source Sans Pro" w:eastAsia="Source Sans Pro" w:hAnsi="Source Sans Pro"/>
      <w:sz w:val="22"/>
      <w:szCs w:val="22"/>
      <w:lang w:eastAsia="en-US"/>
    </w:rPr>
    <w:tblPr>
      <w:tblCellMar>
        <w:left w:w="0" w:type="dxa"/>
        <w:right w:w="0" w:type="dxa"/>
      </w:tblCellMar>
    </w:tblPr>
  </w:style>
  <w:style w:type="paragraph" w:styleId="Subtitle">
    <w:name w:val="Subtitle"/>
    <w:basedOn w:val="Title"/>
    <w:next w:val="Normal"/>
    <w:link w:val="SubtitleChar"/>
    <w:autoRedefine/>
    <w:uiPriority w:val="11"/>
    <w:qFormat/>
    <w:rsid w:val="008D352C"/>
    <w:pPr>
      <w:framePr w:wrap="around" w:y="5671"/>
      <w:numPr>
        <w:ilvl w:val="1"/>
      </w:numPr>
      <w:adjustRightInd/>
      <w:spacing w:before="120" w:after="360" w:line="245" w:lineRule="auto"/>
      <w:contextualSpacing/>
    </w:pPr>
    <w:rPr>
      <w:rFonts w:ascii="Source Sans Pro" w:eastAsiaTheme="minorEastAsia" w:hAnsi="Source Sans Pro"/>
      <w:color w:val="auto"/>
      <w:spacing w:val="-8"/>
      <w:sz w:val="32"/>
      <w:szCs w:val="56"/>
    </w:rPr>
  </w:style>
  <w:style w:type="character" w:customStyle="1" w:styleId="SubtitleChar">
    <w:name w:val="Subtitle Char"/>
    <w:basedOn w:val="DefaultParagraphFont"/>
    <w:link w:val="Subtitle"/>
    <w:uiPriority w:val="11"/>
    <w:rsid w:val="008D352C"/>
    <w:rPr>
      <w:rFonts w:ascii="Source Sans Pro" w:hAnsi="Source Sans Pro" w:cstheme="majorBidi"/>
      <w:spacing w:val="-8"/>
      <w:kern w:val="28"/>
      <w:sz w:val="32"/>
      <w:szCs w:val="56"/>
      <w:lang w:eastAsia="en-US"/>
    </w:rPr>
  </w:style>
  <w:style w:type="paragraph" w:customStyle="1" w:styleId="Details">
    <w:name w:val="Details"/>
    <w:basedOn w:val="NoSpacing"/>
    <w:link w:val="DetailsChar"/>
    <w:autoRedefine/>
    <w:qFormat/>
    <w:rsid w:val="00EF4891"/>
    <w:pPr>
      <w:framePr w:w="5670" w:h="1210" w:hRule="exact" w:wrap="around" w:vAnchor="text" w:hAnchor="page" w:x="1101" w:y="11913"/>
      <w:tabs>
        <w:tab w:val="left" w:pos="2694"/>
      </w:tabs>
      <w:spacing w:line="400" w:lineRule="exact"/>
      <w:ind w:right="992"/>
    </w:pPr>
    <w:rPr>
      <w:rFonts w:ascii="Source Sans Pro Light" w:eastAsiaTheme="minorHAnsi" w:hAnsi="Source Sans Pro Light" w:cstheme="minorBidi"/>
      <w:color w:val="002A3A" w:themeColor="text2"/>
      <w:spacing w:val="2"/>
      <w:sz w:val="24"/>
      <w:szCs w:val="22"/>
      <w:lang w:eastAsia="en-US"/>
    </w:rPr>
  </w:style>
  <w:style w:type="paragraph" w:customStyle="1" w:styleId="URL">
    <w:name w:val="URL"/>
    <w:basedOn w:val="NoSpacing"/>
    <w:link w:val="URLChar"/>
    <w:qFormat/>
    <w:rsid w:val="006A6016"/>
    <w:pPr>
      <w:framePr w:w="1418" w:h="425" w:hRule="exact" w:wrap="around" w:vAnchor="page" w:hAnchor="page" w:x="5388" w:y="5558" w:anchorLock="1"/>
    </w:pPr>
    <w:rPr>
      <w:rFonts w:ascii="Source Sans Pro Semibold" w:eastAsiaTheme="minorHAnsi" w:hAnsi="Source Sans Pro Semibold" w:cstheme="minorBidi"/>
      <w:color w:val="1B2D3D"/>
      <w:spacing w:val="-1"/>
      <w:sz w:val="24"/>
      <w:szCs w:val="22"/>
      <w:lang w:eastAsia="en-US"/>
    </w:rPr>
  </w:style>
  <w:style w:type="character" w:customStyle="1" w:styleId="DetailsChar">
    <w:name w:val="Details Char"/>
    <w:basedOn w:val="DefaultParagraphFont"/>
    <w:link w:val="Details"/>
    <w:rsid w:val="00EF4891"/>
    <w:rPr>
      <w:rFonts w:ascii="Source Sans Pro Light" w:eastAsiaTheme="minorHAnsi" w:hAnsi="Source Sans Pro Light" w:cstheme="minorBidi"/>
      <w:color w:val="002A3A" w:themeColor="text2"/>
      <w:spacing w:val="2"/>
      <w:sz w:val="24"/>
      <w:szCs w:val="22"/>
      <w:lang w:eastAsia="en-US"/>
    </w:rPr>
  </w:style>
  <w:style w:type="character" w:customStyle="1" w:styleId="URLChar">
    <w:name w:val="URL Char"/>
    <w:basedOn w:val="DefaultParagraphFont"/>
    <w:link w:val="URL"/>
    <w:rsid w:val="006A6016"/>
    <w:rPr>
      <w:rFonts w:ascii="Source Sans Pro Semibold" w:eastAsiaTheme="minorHAnsi" w:hAnsi="Source Sans Pro Semibold" w:cstheme="minorBidi"/>
      <w:color w:val="1B2D3D"/>
      <w:spacing w:val="-1"/>
      <w:sz w:val="24"/>
      <w:szCs w:val="22"/>
      <w:lang w:eastAsia="en-US"/>
    </w:rPr>
  </w:style>
  <w:style w:type="paragraph" w:styleId="NoSpacing">
    <w:name w:val="No Spacing"/>
    <w:link w:val="NoSpacingChar"/>
    <w:uiPriority w:val="1"/>
    <w:qFormat/>
    <w:rsid w:val="00EE51CF"/>
    <w:pPr>
      <w:ind w:left="0" w:firstLine="0"/>
    </w:pPr>
    <w:rPr>
      <w:rFonts w:asciiTheme="minorHAnsi" w:hAnsiTheme="minorHAnsi"/>
      <w:sz w:val="22"/>
    </w:rPr>
  </w:style>
  <w:style w:type="numbering" w:customStyle="1" w:styleId="Bullets">
    <w:name w:val="Bullets"/>
    <w:uiPriority w:val="99"/>
    <w:rsid w:val="00CC47E4"/>
    <w:pPr>
      <w:numPr>
        <w:numId w:val="11"/>
      </w:numPr>
    </w:pPr>
  </w:style>
  <w:style w:type="table" w:customStyle="1" w:styleId="TableGrid1">
    <w:name w:val="Table Grid1"/>
    <w:basedOn w:val="TableNormal"/>
    <w:next w:val="TableGrid"/>
    <w:uiPriority w:val="39"/>
    <w:rsid w:val="006A6016"/>
    <w:pPr>
      <w:ind w:left="0" w:firstLine="0"/>
      <w:jc w:val="right"/>
    </w:pPr>
    <w:rPr>
      <w:rFonts w:ascii="Source Sans Pro" w:eastAsia="Source Sans Pro" w:hAnsi="Source Sans Pro"/>
      <w:sz w:val="22"/>
      <w:szCs w:val="22"/>
      <w:lang w:eastAsia="en-US"/>
    </w:rPr>
    <w:tblPr>
      <w:tblBorders>
        <w:insideH w:val="single" w:sz="4" w:space="0" w:color="DDD8D9"/>
      </w:tblBorders>
      <w:tblCellMar>
        <w:top w:w="68" w:type="dxa"/>
        <w:left w:w="85" w:type="dxa"/>
        <w:bottom w:w="68" w:type="dxa"/>
        <w:right w:w="85" w:type="dxa"/>
      </w:tblCellMar>
    </w:tblPr>
    <w:tcPr>
      <w:vAlign w:val="center"/>
    </w:tcPr>
    <w:tblStylePr w:type="firstRow">
      <w:rPr>
        <w:b/>
      </w:rPr>
      <w:tblPr/>
      <w:tcPr>
        <w:shd w:val="clear" w:color="auto" w:fill="DDD8D9"/>
      </w:tcPr>
    </w:tblStylePr>
    <w:tblStylePr w:type="lastRow">
      <w:tblPr/>
      <w:tcPr>
        <w:shd w:val="clear" w:color="auto" w:fill="DDD8D9"/>
      </w:tcPr>
    </w:tblStylePr>
    <w:tblStylePr w:type="firstCol">
      <w:pPr>
        <w:jc w:val="left"/>
      </w:pPr>
    </w:tblStylePr>
  </w:style>
  <w:style w:type="table" w:customStyle="1" w:styleId="CalloutA">
    <w:name w:val="Callout A"/>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DDD8D9"/>
      <w:vAlign w:val="center"/>
    </w:tcPr>
  </w:style>
  <w:style w:type="table" w:customStyle="1" w:styleId="CalloutB">
    <w:name w:val="Callout B"/>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ECDF64"/>
    </w:tcPr>
  </w:style>
  <w:style w:type="table" w:customStyle="1" w:styleId="CalloutC">
    <w:name w:val="Callout C"/>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ECDF64"/>
      </w:tcPr>
    </w:tblStylePr>
    <w:tblStylePr w:type="swCell">
      <w:tblPr/>
      <w:tcPr>
        <w:shd w:val="clear" w:color="auto" w:fill="ECDF64"/>
      </w:tcPr>
    </w:tblStylePr>
  </w:style>
  <w:style w:type="table" w:customStyle="1" w:styleId="CalloutD">
    <w:name w:val="Callout D"/>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cPr>
    </w:tblStylePr>
    <w:tblStylePr w:type="swCell">
      <w:tblPr/>
      <w:tcPr>
        <w:shd w:val="clear" w:color="auto" w:fill="DDD8D9"/>
      </w:tcPr>
    </w:tblStylePr>
  </w:style>
  <w:style w:type="paragraph" w:styleId="ListBullet3">
    <w:name w:val="List Bullet 3"/>
    <w:basedOn w:val="Normal"/>
    <w:uiPriority w:val="99"/>
    <w:unhideWhenUsed/>
    <w:rsid w:val="00CC47E4"/>
    <w:pPr>
      <w:numPr>
        <w:ilvl w:val="2"/>
        <w:numId w:val="11"/>
      </w:numPr>
      <w:tabs>
        <w:tab w:val="num" w:pos="360"/>
      </w:tabs>
      <w:ind w:left="0" w:firstLine="0"/>
      <w:contextualSpacing/>
    </w:pPr>
    <w:rPr>
      <w:rFonts w:eastAsia="Source Sans Pro"/>
      <w:spacing w:val="1"/>
      <w:szCs w:val="22"/>
    </w:rPr>
  </w:style>
  <w:style w:type="numbering" w:customStyle="1" w:styleId="TOC">
    <w:name w:val="TOC"/>
    <w:uiPriority w:val="99"/>
    <w:rsid w:val="002C2474"/>
    <w:pPr>
      <w:numPr>
        <w:numId w:val="12"/>
      </w:numPr>
    </w:pPr>
  </w:style>
  <w:style w:type="numbering" w:customStyle="1" w:styleId="Numbers">
    <w:name w:val="Numbers"/>
    <w:uiPriority w:val="99"/>
    <w:rsid w:val="00FD7074"/>
    <w:pPr>
      <w:numPr>
        <w:numId w:val="13"/>
      </w:numPr>
    </w:pPr>
  </w:style>
  <w:style w:type="paragraph" w:customStyle="1" w:styleId="TableNotes">
    <w:name w:val="Table Notes"/>
    <w:basedOn w:val="NoSpacing"/>
    <w:link w:val="TableNotesChar"/>
    <w:qFormat/>
    <w:rsid w:val="00551EC0"/>
    <w:pPr>
      <w:numPr>
        <w:numId w:val="16"/>
      </w:numPr>
      <w:spacing w:before="70" w:line="276" w:lineRule="auto"/>
      <w:contextualSpacing/>
    </w:pPr>
    <w:rPr>
      <w:rFonts w:ascii="Arial" w:eastAsiaTheme="minorHAnsi" w:hAnsi="Arial" w:cstheme="minorBidi"/>
      <w:spacing w:val="-1"/>
      <w:sz w:val="15"/>
      <w:szCs w:val="22"/>
      <w:lang w:eastAsia="en-US"/>
    </w:rPr>
  </w:style>
  <w:style w:type="numbering" w:customStyle="1" w:styleId="Notes">
    <w:name w:val="Notes"/>
    <w:uiPriority w:val="99"/>
    <w:rsid w:val="00BA5180"/>
    <w:pPr>
      <w:numPr>
        <w:numId w:val="14"/>
      </w:numPr>
    </w:pPr>
  </w:style>
  <w:style w:type="character" w:customStyle="1" w:styleId="TableNotesChar">
    <w:name w:val="Table Notes Char"/>
    <w:basedOn w:val="DefaultParagraphFont"/>
    <w:link w:val="TableNotes"/>
    <w:rsid w:val="00551EC0"/>
    <w:rPr>
      <w:rFonts w:eastAsiaTheme="minorHAnsi" w:cstheme="minorBidi"/>
      <w:spacing w:val="-1"/>
      <w:sz w:val="15"/>
      <w:szCs w:val="22"/>
      <w:lang w:eastAsia="en-US"/>
    </w:rPr>
  </w:style>
  <w:style w:type="paragraph" w:customStyle="1" w:styleId="CallouttextA">
    <w:name w:val="Callout text A"/>
    <w:basedOn w:val="Normal"/>
    <w:autoRedefine/>
    <w:qFormat/>
    <w:rsid w:val="00A65693"/>
    <w:pPr>
      <w:pBdr>
        <w:top w:val="single" w:sz="4" w:space="10" w:color="F0EA9B"/>
        <w:left w:val="single" w:sz="4" w:space="10" w:color="F0EA9B"/>
        <w:bottom w:val="single" w:sz="4" w:space="10" w:color="F0EA9B"/>
        <w:right w:val="single" w:sz="4" w:space="10" w:color="F0EA9B"/>
      </w:pBdr>
      <w:shd w:val="clear" w:color="auto" w:fill="F0EA9B"/>
      <w:ind w:left="227" w:right="227"/>
    </w:pPr>
    <w:rPr>
      <w:rFonts w:eastAsiaTheme="minorHAnsi" w:cstheme="minorBidi"/>
      <w:spacing w:val="1"/>
      <w:szCs w:val="22"/>
    </w:rPr>
  </w:style>
  <w:style w:type="table" w:styleId="TableGrid10">
    <w:name w:val="Table Grid 1"/>
    <w:basedOn w:val="TableNormal"/>
    <w:uiPriority w:val="99"/>
    <w:semiHidden/>
    <w:unhideWhenUsed/>
    <w:rsid w:val="00B856CD"/>
    <w:pPr>
      <w:spacing w:after="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textB">
    <w:name w:val="Callout text B"/>
    <w:basedOn w:val="CallouttextA"/>
    <w:autoRedefine/>
    <w:qFormat/>
    <w:rsid w:val="00785AAB"/>
    <w:pPr>
      <w:pBdr>
        <w:top w:val="single" w:sz="4" w:space="10" w:color="DDD8D9" w:themeColor="accent1"/>
        <w:left w:val="single" w:sz="4" w:space="10" w:color="DDD8D9" w:themeColor="accent1"/>
        <w:bottom w:val="single" w:sz="4" w:space="10" w:color="DDD8D9" w:themeColor="accent1"/>
        <w:right w:val="single" w:sz="4" w:space="10" w:color="DDD8D9" w:themeColor="accent1"/>
      </w:pBdr>
      <w:shd w:val="clear" w:color="auto" w:fill="E0DBE3"/>
    </w:pPr>
  </w:style>
  <w:style w:type="paragraph" w:customStyle="1" w:styleId="CallouttextC">
    <w:name w:val="Callout text C"/>
    <w:basedOn w:val="CallouttextB"/>
    <w:rsid w:val="005C1740"/>
    <w:pPr>
      <w:pBdr>
        <w:top w:val="single" w:sz="36" w:space="10" w:color="DDD8D9" w:themeColor="accent1"/>
        <w:left w:val="single" w:sz="2" w:space="10" w:color="FFFFFF" w:themeColor="background1"/>
        <w:bottom w:val="single" w:sz="36" w:space="10" w:color="DDD8D9" w:themeColor="accent1"/>
        <w:right w:val="single" w:sz="2" w:space="10" w:color="FFFFFF" w:themeColor="background1"/>
      </w:pBdr>
      <w:shd w:val="clear" w:color="auto" w:fill="auto"/>
    </w:pPr>
  </w:style>
  <w:style w:type="paragraph" w:customStyle="1" w:styleId="CallouttextD">
    <w:name w:val="Callout text D"/>
    <w:basedOn w:val="CallouttextC"/>
    <w:rsid w:val="005C1740"/>
    <w:pPr>
      <w:pBdr>
        <w:top w:val="single" w:sz="36" w:space="10" w:color="F3DD6D" w:themeColor="accent2"/>
        <w:bottom w:val="single" w:sz="36" w:space="10" w:color="F3DD6D" w:themeColor="accent2"/>
      </w:pBdr>
    </w:pPr>
  </w:style>
  <w:style w:type="numbering" w:customStyle="1" w:styleId="IndentBullet">
    <w:name w:val="IndentBullet"/>
    <w:uiPriority w:val="99"/>
    <w:rsid w:val="00BA5180"/>
    <w:pPr>
      <w:numPr>
        <w:numId w:val="17"/>
      </w:numPr>
    </w:pPr>
  </w:style>
  <w:style w:type="character" w:customStyle="1" w:styleId="NoSpacingChar">
    <w:name w:val="No Spacing Char"/>
    <w:basedOn w:val="DefaultParagraphFont"/>
    <w:link w:val="NoSpacing"/>
    <w:uiPriority w:val="1"/>
    <w:rsid w:val="00B3033B"/>
    <w:rPr>
      <w:rFonts w:asciiTheme="minorHAnsi" w:hAnsiTheme="minorHAnsi"/>
      <w:sz w:val="22"/>
    </w:rPr>
  </w:style>
  <w:style w:type="paragraph" w:customStyle="1" w:styleId="Heading1-RightAligned">
    <w:name w:val="Heading 1 - Right Aligned"/>
    <w:basedOn w:val="Heading1"/>
    <w:qFormat/>
    <w:rsid w:val="00760880"/>
    <w:pPr>
      <w:jc w:val="right"/>
    </w:pPr>
    <w:rPr>
      <w:sz w:val="48"/>
    </w:rPr>
  </w:style>
  <w:style w:type="paragraph" w:styleId="Bibliography">
    <w:name w:val="Bibliography"/>
    <w:basedOn w:val="Normal"/>
    <w:next w:val="Normal"/>
    <w:uiPriority w:val="37"/>
    <w:unhideWhenUsed/>
    <w:rsid w:val="000B34E7"/>
  </w:style>
  <w:style w:type="paragraph" w:styleId="BlockText">
    <w:name w:val="Block Text"/>
    <w:basedOn w:val="Normal"/>
    <w:uiPriority w:val="99"/>
    <w:unhideWhenUsed/>
    <w:rsid w:val="000B34E7"/>
    <w:pPr>
      <w:pBdr>
        <w:top w:val="single" w:sz="2" w:space="10" w:color="DDD8D9" w:themeColor="accent1"/>
        <w:left w:val="single" w:sz="2" w:space="10" w:color="DDD8D9" w:themeColor="accent1"/>
        <w:bottom w:val="single" w:sz="2" w:space="10" w:color="DDD8D9" w:themeColor="accent1"/>
        <w:right w:val="single" w:sz="2" w:space="10" w:color="DDD8D9" w:themeColor="accent1"/>
      </w:pBdr>
      <w:ind w:left="1152" w:right="1152"/>
    </w:pPr>
    <w:rPr>
      <w:rFonts w:cstheme="minorBidi"/>
      <w:i/>
      <w:iCs/>
      <w:color w:val="DDD8D9" w:themeColor="accent1"/>
    </w:rPr>
  </w:style>
  <w:style w:type="paragraph" w:styleId="BodyText">
    <w:name w:val="Body Text"/>
    <w:basedOn w:val="Normal"/>
    <w:link w:val="BodyTextChar"/>
    <w:uiPriority w:val="99"/>
    <w:unhideWhenUsed/>
    <w:qFormat/>
    <w:rsid w:val="000B34E7"/>
  </w:style>
  <w:style w:type="character" w:customStyle="1" w:styleId="BodyTextChar">
    <w:name w:val="Body Text Char"/>
    <w:basedOn w:val="DefaultParagraphFont"/>
    <w:link w:val="BodyText"/>
    <w:uiPriority w:val="99"/>
    <w:rsid w:val="000B34E7"/>
    <w:rPr>
      <w:rFonts w:asciiTheme="minorHAnsi" w:hAnsiTheme="minorHAnsi"/>
      <w:sz w:val="22"/>
    </w:rPr>
  </w:style>
  <w:style w:type="paragraph" w:styleId="BodyText2">
    <w:name w:val="Body Text 2"/>
    <w:aliases w:val="Body Text 2 double spaced"/>
    <w:basedOn w:val="Normal"/>
    <w:link w:val="BodyText2Char"/>
    <w:uiPriority w:val="99"/>
    <w:unhideWhenUsed/>
    <w:rsid w:val="00622B41"/>
    <w:pPr>
      <w:spacing w:line="480" w:lineRule="auto"/>
    </w:pPr>
  </w:style>
  <w:style w:type="character" w:customStyle="1" w:styleId="BodyText2Char">
    <w:name w:val="Body Text 2 Char"/>
    <w:aliases w:val="Body Text 2 double spaced Char"/>
    <w:basedOn w:val="DefaultParagraphFont"/>
    <w:link w:val="BodyText2"/>
    <w:uiPriority w:val="99"/>
    <w:rsid w:val="00622B41"/>
    <w:rPr>
      <w:rFonts w:asciiTheme="minorHAnsi" w:hAnsiTheme="minorHAnsi"/>
      <w:sz w:val="22"/>
    </w:rPr>
  </w:style>
  <w:style w:type="paragraph" w:styleId="BodyTextIndent2">
    <w:name w:val="Body Text Indent 2"/>
    <w:basedOn w:val="Normal"/>
    <w:link w:val="BodyTextIndent2Char"/>
    <w:uiPriority w:val="99"/>
    <w:unhideWhenUsed/>
    <w:rsid w:val="00622B41"/>
    <w:pPr>
      <w:spacing w:line="480" w:lineRule="auto"/>
      <w:ind w:left="283"/>
    </w:pPr>
  </w:style>
  <w:style w:type="character" w:customStyle="1" w:styleId="BodyTextIndent2Char">
    <w:name w:val="Body Text Indent 2 Char"/>
    <w:basedOn w:val="DefaultParagraphFont"/>
    <w:link w:val="BodyTextIndent2"/>
    <w:uiPriority w:val="99"/>
    <w:rsid w:val="00622B41"/>
    <w:rPr>
      <w:rFonts w:asciiTheme="minorHAnsi" w:hAnsiTheme="minorHAnsi"/>
      <w:sz w:val="22"/>
    </w:rPr>
  </w:style>
  <w:style w:type="character" w:styleId="SubtleReference">
    <w:name w:val="Subtle Reference"/>
    <w:basedOn w:val="DefaultParagraphFont"/>
    <w:uiPriority w:val="31"/>
    <w:rsid w:val="00181133"/>
    <w:rPr>
      <w:smallCaps/>
      <w:color w:val="5A5A5A" w:themeColor="text1" w:themeTint="A5"/>
    </w:rPr>
  </w:style>
  <w:style w:type="paragraph" w:styleId="Date">
    <w:name w:val="Date"/>
    <w:basedOn w:val="Normal"/>
    <w:next w:val="Normal"/>
    <w:link w:val="DateChar"/>
    <w:uiPriority w:val="99"/>
    <w:unhideWhenUsed/>
    <w:rsid w:val="00EF38F8"/>
  </w:style>
  <w:style w:type="character" w:customStyle="1" w:styleId="DateChar">
    <w:name w:val="Date Char"/>
    <w:basedOn w:val="DefaultParagraphFont"/>
    <w:link w:val="Date"/>
    <w:uiPriority w:val="99"/>
    <w:rsid w:val="00EF38F8"/>
    <w:rPr>
      <w:rFonts w:asciiTheme="minorHAnsi" w:hAnsiTheme="minorHAnsi"/>
      <w:sz w:val="22"/>
    </w:rPr>
  </w:style>
  <w:style w:type="table" w:styleId="TableGridLight">
    <w:name w:val="Grid Table Light"/>
    <w:basedOn w:val="TableNormal"/>
    <w:uiPriority w:val="40"/>
    <w:rsid w:val="00785A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D2C11"/>
    <w:rPr>
      <w:color w:val="605E5C"/>
      <w:shd w:val="clear" w:color="auto" w:fill="E1DFDD"/>
    </w:rPr>
  </w:style>
  <w:style w:type="character" w:styleId="FollowedHyperlink">
    <w:name w:val="FollowedHyperlink"/>
    <w:basedOn w:val="DefaultParagraphFont"/>
    <w:uiPriority w:val="99"/>
    <w:semiHidden/>
    <w:unhideWhenUsed/>
    <w:rsid w:val="00DF16E0"/>
    <w:rPr>
      <w:color w:val="000000" w:themeColor="followedHyperlink"/>
      <w:u w:val="single"/>
    </w:rPr>
  </w:style>
  <w:style w:type="paragraph" w:customStyle="1" w:styleId="3F5E5DEC62924B4FA8185ED44E951A06">
    <w:name w:val="3F5E5DEC62924B4FA8185ED44E951A06"/>
    <w:rsid w:val="00B5396C"/>
    <w:pPr>
      <w:spacing w:before="360" w:after="340" w:line="194" w:lineRule="auto"/>
      <w:ind w:left="0" w:firstLine="0"/>
      <w:contextualSpacing/>
    </w:pPr>
    <w:rPr>
      <w:rFonts w:asciiTheme="minorHAnsi" w:hAnsiTheme="minorHAnsi"/>
      <w:color w:val="FFFFFF"/>
      <w:sz w:val="84"/>
    </w:rPr>
  </w:style>
  <w:style w:type="paragraph" w:customStyle="1" w:styleId="NormalBullet1">
    <w:name w:val="Normal (Bullet 1)"/>
    <w:basedOn w:val="Normal"/>
    <w:link w:val="NormalBullet1Char"/>
    <w:uiPriority w:val="3"/>
    <w:qFormat/>
    <w:rsid w:val="00CB0482"/>
    <w:pPr>
      <w:numPr>
        <w:numId w:val="19"/>
      </w:numPr>
      <w:spacing w:after="120" w:line="312" w:lineRule="auto"/>
    </w:pPr>
    <w:rPr>
      <w:rFonts w:ascii="Arial" w:eastAsia="SimSun" w:hAnsi="Arial" w:cs="Arial"/>
      <w:color w:val="000000" w:themeColor="text1"/>
      <w:sz w:val="20"/>
      <w:szCs w:val="21"/>
      <w:lang w:eastAsia="en-NZ"/>
    </w:rPr>
  </w:style>
  <w:style w:type="character" w:customStyle="1" w:styleId="NormalBullet1Char">
    <w:name w:val="Normal (Bullet 1) Char"/>
    <w:link w:val="NormalBullet1"/>
    <w:uiPriority w:val="3"/>
    <w:rsid w:val="00CB0482"/>
    <w:rPr>
      <w:rFonts w:eastAsia="SimSun" w:cs="Arial"/>
      <w:color w:val="000000" w:themeColor="text1"/>
      <w:szCs w:val="21"/>
      <w:lang w:eastAsia="en-NZ"/>
    </w:rPr>
  </w:style>
  <w:style w:type="paragraph" w:customStyle="1" w:styleId="NormalBullet2">
    <w:name w:val="Normal (Bullet 2)"/>
    <w:basedOn w:val="NormalBullet1"/>
    <w:uiPriority w:val="4"/>
    <w:qFormat/>
    <w:rsid w:val="00CB0482"/>
    <w:pPr>
      <w:numPr>
        <w:ilvl w:val="1"/>
      </w:numPr>
      <w:ind w:left="568" w:hanging="284"/>
    </w:pPr>
  </w:style>
  <w:style w:type="paragraph" w:customStyle="1" w:styleId="NormalBullet3">
    <w:name w:val="Normal (Bullet 3)"/>
    <w:basedOn w:val="Normal"/>
    <w:uiPriority w:val="5"/>
    <w:qFormat/>
    <w:rsid w:val="00CB0482"/>
    <w:pPr>
      <w:numPr>
        <w:ilvl w:val="2"/>
        <w:numId w:val="19"/>
      </w:numPr>
      <w:spacing w:after="120" w:line="312" w:lineRule="auto"/>
    </w:pPr>
    <w:rPr>
      <w:rFonts w:ascii="Arial" w:eastAsia="SimSun" w:hAnsi="Arial" w:cs="Arial"/>
      <w:color w:val="000000" w:themeColor="text1"/>
      <w:sz w:val="20"/>
      <w:szCs w:val="24"/>
      <w:lang w:val="en-NZ"/>
    </w:rPr>
  </w:style>
  <w:style w:type="character" w:styleId="CommentReference">
    <w:name w:val="annotation reference"/>
    <w:basedOn w:val="DefaultParagraphFont"/>
    <w:uiPriority w:val="99"/>
    <w:rsid w:val="00CB0482"/>
    <w:rPr>
      <w:sz w:val="16"/>
      <w:szCs w:val="16"/>
    </w:rPr>
  </w:style>
  <w:style w:type="paragraph" w:styleId="CommentText">
    <w:name w:val="annotation text"/>
    <w:basedOn w:val="Normal"/>
    <w:link w:val="CommentTextChar"/>
    <w:uiPriority w:val="99"/>
    <w:rsid w:val="00CB0482"/>
    <w:pPr>
      <w:spacing w:after="200" w:line="312" w:lineRule="auto"/>
    </w:pPr>
    <w:rPr>
      <w:rFonts w:ascii="Arial" w:eastAsia="SimSun" w:hAnsi="Arial" w:cs="Arial"/>
      <w:color w:val="000000" w:themeColor="text1"/>
      <w:sz w:val="20"/>
      <w:szCs w:val="24"/>
      <w:lang w:val="en-NZ"/>
    </w:rPr>
  </w:style>
  <w:style w:type="character" w:customStyle="1" w:styleId="CommentTextChar">
    <w:name w:val="Comment Text Char"/>
    <w:basedOn w:val="DefaultParagraphFont"/>
    <w:link w:val="CommentText"/>
    <w:uiPriority w:val="99"/>
    <w:rsid w:val="00CB0482"/>
    <w:rPr>
      <w:rFonts w:eastAsia="SimSun" w:cs="Arial"/>
      <w:color w:val="000000" w:themeColor="text1"/>
      <w:szCs w:val="24"/>
      <w:lang w:val="en-NZ" w:eastAsia="en-US"/>
    </w:rPr>
  </w:style>
  <w:style w:type="paragraph" w:customStyle="1" w:styleId="NumberedMultilevelList-1">
    <w:name w:val="Numbered Multilevel List - 1."/>
    <w:basedOn w:val="Normal"/>
    <w:uiPriority w:val="6"/>
    <w:qFormat/>
    <w:rsid w:val="00315D13"/>
    <w:pPr>
      <w:numPr>
        <w:numId w:val="21"/>
      </w:numPr>
      <w:suppressAutoHyphens/>
      <w:spacing w:after="120" w:line="312" w:lineRule="auto"/>
      <w:ind w:left="851" w:hanging="567"/>
    </w:pPr>
    <w:rPr>
      <w:rFonts w:ascii="Arial" w:eastAsia="SimSun" w:hAnsi="Arial"/>
      <w:sz w:val="20"/>
      <w:szCs w:val="24"/>
      <w:lang w:eastAsia="en-AU"/>
    </w:rPr>
  </w:style>
  <w:style w:type="paragraph" w:customStyle="1" w:styleId="NumberedMultilevelList-a">
    <w:name w:val="Numbered Multilevel List - (a)"/>
    <w:basedOn w:val="NumberedMultilevelList-1"/>
    <w:uiPriority w:val="7"/>
    <w:qFormat/>
    <w:rsid w:val="00315D13"/>
    <w:pPr>
      <w:numPr>
        <w:ilvl w:val="1"/>
      </w:numPr>
    </w:pPr>
  </w:style>
  <w:style w:type="paragraph" w:customStyle="1" w:styleId="NumberedMultilevelList-i">
    <w:name w:val="Numbered Multilevel List - (i)"/>
    <w:basedOn w:val="NumberedMultilevelList-1"/>
    <w:uiPriority w:val="8"/>
    <w:qFormat/>
    <w:rsid w:val="00315D13"/>
    <w:pPr>
      <w:numPr>
        <w:ilvl w:val="2"/>
      </w:numPr>
    </w:pPr>
  </w:style>
  <w:style w:type="paragraph" w:customStyle="1" w:styleId="NumberedMultilevelList-A0">
    <w:name w:val="Numbered Multilevel List - A."/>
    <w:basedOn w:val="NumberedMultilevelList-1"/>
    <w:uiPriority w:val="9"/>
    <w:qFormat/>
    <w:rsid w:val="00315D13"/>
    <w:pPr>
      <w:numPr>
        <w:ilvl w:val="3"/>
      </w:numPr>
    </w:pPr>
  </w:style>
  <w:style w:type="character" w:customStyle="1" w:styleId="ListParagraphChar">
    <w:name w:val="List Paragraph Char"/>
    <w:aliases w:val="List Paragraph1 Char,List Paragraph11 Char,List Paragraph2 Char,Bulit List -  Paragraph Char,Main numbered paragraph Char,Numbered List Paragraph Char,Clause text Char,Recommendation Char,List Paragraph111 Char,L Char,Dot pt Char"/>
    <w:link w:val="ListParagraph"/>
    <w:uiPriority w:val="34"/>
    <w:locked/>
    <w:rsid w:val="00647201"/>
    <w:rPr>
      <w:rFonts w:asciiTheme="minorHAnsi" w:hAnsiTheme="minorHAnsi"/>
      <w:sz w:val="22"/>
      <w:lang w:eastAsia="en-US"/>
    </w:rPr>
  </w:style>
  <w:style w:type="table" w:customStyle="1" w:styleId="CalloutC1">
    <w:name w:val="Callout C1"/>
    <w:basedOn w:val="TableNormal"/>
    <w:uiPriority w:val="99"/>
    <w:rsid w:val="009E3EC3"/>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ECDF64"/>
      </w:tcPr>
    </w:tblStylePr>
    <w:tblStylePr w:type="swCell">
      <w:tblPr/>
      <w:tcPr>
        <w:shd w:val="clear" w:color="auto" w:fill="ECDF64"/>
      </w:tcPr>
    </w:tblStylePr>
  </w:style>
  <w:style w:type="table" w:customStyle="1" w:styleId="CalloutD1">
    <w:name w:val="Callout D1"/>
    <w:basedOn w:val="TableNormal"/>
    <w:uiPriority w:val="99"/>
    <w:rsid w:val="00B77E81"/>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cPr>
    </w:tblStylePr>
    <w:tblStylePr w:type="swCell">
      <w:tblPr/>
      <w:tcPr>
        <w:shd w:val="clear" w:color="auto" w:fill="DDD8D9"/>
      </w:tcPr>
    </w:tblStylePr>
  </w:style>
  <w:style w:type="paragraph" w:styleId="CommentSubject">
    <w:name w:val="annotation subject"/>
    <w:basedOn w:val="CommentText"/>
    <w:next w:val="CommentText"/>
    <w:link w:val="CommentSubjectChar"/>
    <w:uiPriority w:val="99"/>
    <w:semiHidden/>
    <w:unhideWhenUsed/>
    <w:rsid w:val="0022295A"/>
    <w:pPr>
      <w:spacing w:after="180" w:line="240" w:lineRule="auto"/>
    </w:pPr>
    <w:rPr>
      <w:rFonts w:asciiTheme="minorHAnsi" w:eastAsiaTheme="minorEastAsia" w:hAnsiTheme="minorHAnsi" w:cs="Times New Roman"/>
      <w:b/>
      <w:bCs/>
      <w:color w:val="auto"/>
      <w:szCs w:val="20"/>
      <w:lang w:val="en-AU"/>
    </w:rPr>
  </w:style>
  <w:style w:type="character" w:customStyle="1" w:styleId="CommentSubjectChar">
    <w:name w:val="Comment Subject Char"/>
    <w:basedOn w:val="CommentTextChar"/>
    <w:link w:val="CommentSubject"/>
    <w:uiPriority w:val="99"/>
    <w:semiHidden/>
    <w:rsid w:val="0022295A"/>
    <w:rPr>
      <w:rFonts w:asciiTheme="minorHAnsi" w:eastAsia="SimSun" w:hAnsiTheme="minorHAnsi" w:cs="Arial"/>
      <w:b/>
      <w:bCs/>
      <w:color w:val="000000" w:themeColor="text1"/>
      <w:szCs w:val="24"/>
      <w:lang w:val="en-NZ" w:eastAsia="en-US"/>
    </w:rPr>
  </w:style>
  <w:style w:type="character" w:customStyle="1" w:styleId="Italic">
    <w:name w:val="Italic"/>
    <w:basedOn w:val="DefaultParagraphFont"/>
    <w:uiPriority w:val="1"/>
    <w:qFormat/>
    <w:rsid w:val="00F31C2D"/>
    <w:rPr>
      <w:i/>
      <w:noProof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822107">
      <w:bodyDiv w:val="1"/>
      <w:marLeft w:val="0"/>
      <w:marRight w:val="0"/>
      <w:marTop w:val="0"/>
      <w:marBottom w:val="0"/>
      <w:divBdr>
        <w:top w:val="none" w:sz="0" w:space="0" w:color="auto"/>
        <w:left w:val="none" w:sz="0" w:space="0" w:color="auto"/>
        <w:bottom w:val="none" w:sz="0" w:space="0" w:color="auto"/>
        <w:right w:val="none" w:sz="0" w:space="0" w:color="auto"/>
      </w:divBdr>
    </w:div>
    <w:div w:id="522522250">
      <w:bodyDiv w:val="1"/>
      <w:marLeft w:val="0"/>
      <w:marRight w:val="0"/>
      <w:marTop w:val="0"/>
      <w:marBottom w:val="0"/>
      <w:divBdr>
        <w:top w:val="none" w:sz="0" w:space="0" w:color="auto"/>
        <w:left w:val="none" w:sz="0" w:space="0" w:color="auto"/>
        <w:bottom w:val="none" w:sz="0" w:space="0" w:color="auto"/>
        <w:right w:val="none" w:sz="0" w:space="0" w:color="auto"/>
      </w:divBdr>
    </w:div>
    <w:div w:id="1235318288">
      <w:bodyDiv w:val="1"/>
      <w:marLeft w:val="0"/>
      <w:marRight w:val="0"/>
      <w:marTop w:val="0"/>
      <w:marBottom w:val="0"/>
      <w:divBdr>
        <w:top w:val="none" w:sz="0" w:space="0" w:color="auto"/>
        <w:left w:val="none" w:sz="0" w:space="0" w:color="auto"/>
        <w:bottom w:val="none" w:sz="0" w:space="0" w:color="auto"/>
        <w:right w:val="none" w:sz="0" w:space="0" w:color="auto"/>
      </w:divBdr>
    </w:div>
    <w:div w:id="1430001466">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8721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g.gov.au/system/files/2020-10/privacy-act-review--issues-paper-october-2020.pdf" TargetMode="External"/><Relationship Id="rId18" Type="http://schemas.openxmlformats.org/officeDocument/2006/relationships/hyperlink" Target="https://dta-www-drupal-20180130215411153400000001.s3.ap-southeast-2.amazonaws.com/s3fs-public/files/cloud/secure-cloud-strategy.pd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legislation.gov.au/Details/C2014C00076" TargetMode="External"/><Relationship Id="rId7" Type="http://schemas.openxmlformats.org/officeDocument/2006/relationships/footnotes" Target="footnotes.xml"/><Relationship Id="rId12" Type="http://schemas.openxmlformats.org/officeDocument/2006/relationships/hyperlink" Target="https://www.nhmrc.gov.au/about-us/publications/guidelines-under-section-95-privacy-act-1988" TargetMode="External"/><Relationship Id="rId17" Type="http://schemas.openxmlformats.org/officeDocument/2006/relationships/hyperlink" Target="https://www.aph.gov.au/Parliamentary_Business/Committees/Senate/Health/Health/Sixth%20Interim%20Report/c0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gedcare.royalcommission.gov.au/publications/final-report" TargetMode="External"/><Relationship Id="rId20" Type="http://schemas.openxmlformats.org/officeDocument/2006/relationships/hyperlink" Target="https://www.abs.gov.au/websitedbs/D3310114.nsf/home/Statistical+Data+Integration+-+MADIP+Research+Projec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rules@oaic.gov.a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pc.gov.au/inquiries/completed/data-access/repor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legislation.gov.au/Details/C2021C00047" TargetMode="External"/><Relationship Id="rId19" Type="http://schemas.openxmlformats.org/officeDocument/2006/relationships/hyperlink" Target="https://www.aihw.gov.au/our-services/data-linkage/approved-aihw-linkage-projects"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ph.gov.au/Parliamentary_Business/Bills_LEGislation/Bills_Search_Results/Result?bId=r6649" TargetMode="External"/><Relationship Id="rId22" Type="http://schemas.openxmlformats.org/officeDocument/2006/relationships/hyperlink" Target="https://www.abs.gov.au/websitedbs/D3310114.nsf/home/Multi-Agency%20Data%20Integration%20Project%20(MADIP)"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F2018L01427/Explanatory%20Statement/Text" TargetMode="External"/><Relationship Id="rId2" Type="http://schemas.openxmlformats.org/officeDocument/2006/relationships/hyperlink" Target="https://www.aph.gov.au/Parliamentary_Business/Committees/Senate/Health/Health/Sixth%20Interim%20Report/c04" TargetMode="External"/><Relationship Id="rId1" Type="http://schemas.openxmlformats.org/officeDocument/2006/relationships/hyperlink" Target="https://www.ag.gov.au/integrity/consultations/review-privacy-act-1988" TargetMode="External"/><Relationship Id="rId5" Type="http://schemas.openxmlformats.org/officeDocument/2006/relationships/hyperlink" Target="https://www.legislation.gov.au/Details/F2018L01427/Explanatory%20Statement/Text" TargetMode="External"/><Relationship Id="rId4" Type="http://schemas.openxmlformats.org/officeDocument/2006/relationships/hyperlink" Target="https://www.legislation.gov.au/Details/F2018L01427/Explanatory%20Statement/Tex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aic-fileshare\Templates\Long%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4D73C11642475F911C1ABDDF787A6C"/>
        <w:category>
          <w:name w:val="General"/>
          <w:gallery w:val="placeholder"/>
        </w:category>
        <w:types>
          <w:type w:val="bbPlcHdr"/>
        </w:types>
        <w:behaviors>
          <w:behavior w:val="content"/>
        </w:behaviors>
        <w:guid w:val="{6E90CE36-746E-485F-B500-9130E3D0A6F4}"/>
      </w:docPartPr>
      <w:docPartBody>
        <w:p w:rsidR="000276FD" w:rsidRDefault="008973EC" w:rsidP="008973EC">
          <w:pPr>
            <w:pStyle w:val="BB4D73C11642475F911C1ABDDF787A6C"/>
          </w:pPr>
          <w:r w:rsidRPr="00354965">
            <w:rPr>
              <w:rStyle w:val="PlaceholderText"/>
            </w:rPr>
            <w:t>[Title]</w:t>
          </w:r>
        </w:p>
      </w:docPartBody>
    </w:docPart>
    <w:docPart>
      <w:docPartPr>
        <w:name w:val="F0AC80F0F8CB4A10A8B3ACE740C23355"/>
        <w:category>
          <w:name w:val="General"/>
          <w:gallery w:val="placeholder"/>
        </w:category>
        <w:types>
          <w:type w:val="bbPlcHdr"/>
        </w:types>
        <w:behaviors>
          <w:behavior w:val="content"/>
        </w:behaviors>
        <w:guid w:val="{2FE1B19B-9803-49A7-BD2F-ECFAEF710F29}"/>
      </w:docPartPr>
      <w:docPartBody>
        <w:p w:rsidR="000276FD" w:rsidRDefault="008973EC" w:rsidP="008973EC">
          <w:pPr>
            <w:pStyle w:val="F0AC80F0F8CB4A10A8B3ACE740C23355"/>
          </w:pPr>
          <w:r>
            <w:rPr>
              <w:rStyle w:val="PlaceholderText"/>
            </w:rPr>
            <w:t>[D/M/Y]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urce Sans Pro">
    <w:altName w:val="Source Sans Pro"/>
    <w:panose1 w:val="020B0503030403020204"/>
    <w:charset w:val="00"/>
    <w:family w:val="swiss"/>
    <w:notTrueType/>
    <w:pitch w:val="variable"/>
    <w:sig w:usb0="600002F7" w:usb1="0200000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ource Sans Pro Semibold">
    <w:altName w:val="Source Sans Pro Semibold"/>
    <w:panose1 w:val="020B0703030403020204"/>
    <w:charset w:val="00"/>
    <w:family w:val="swiss"/>
    <w:notTrueType/>
    <w:pitch w:val="variable"/>
    <w:sig w:usb0="600002F7" w:usb1="00000003"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ource Sans Pro Light">
    <w:altName w:val="Source Sans Pro Light"/>
    <w:panose1 w:val="020B0403030403020204"/>
    <w:charset w:val="00"/>
    <w:family w:val="swiss"/>
    <w:notTrueType/>
    <w:pitch w:val="variable"/>
    <w:sig w:usb0="600002F7" w:usb1="0200000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EC"/>
    <w:rsid w:val="000276FD"/>
    <w:rsid w:val="00143E00"/>
    <w:rsid w:val="00236E3F"/>
    <w:rsid w:val="008973EC"/>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3EC"/>
    <w:rPr>
      <w:color w:val="FF0000"/>
    </w:rPr>
  </w:style>
  <w:style w:type="paragraph" w:customStyle="1" w:styleId="BB4D73C11642475F911C1ABDDF787A6C">
    <w:name w:val="BB4D73C11642475F911C1ABDDF787A6C"/>
    <w:rsid w:val="008973EC"/>
  </w:style>
  <w:style w:type="paragraph" w:customStyle="1" w:styleId="F0AC80F0F8CB4A10A8B3ACE740C23355">
    <w:name w:val="F0AC80F0F8CB4A10A8B3ACE740C23355"/>
    <w:rsid w:val="00897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AIC 2">
      <a:dk1>
        <a:sysClr val="windowText" lastClr="000000"/>
      </a:dk1>
      <a:lt1>
        <a:sysClr val="window" lastClr="FFFFFF"/>
      </a:lt1>
      <a:dk2>
        <a:srgbClr val="002A3A"/>
      </a:dk2>
      <a:lt2>
        <a:srgbClr val="FFFFFF"/>
      </a:lt2>
      <a:accent1>
        <a:srgbClr val="DDD8D9"/>
      </a:accent1>
      <a:accent2>
        <a:srgbClr val="F3DD6D"/>
      </a:accent2>
      <a:accent3>
        <a:srgbClr val="C1B2B6"/>
      </a:accent3>
      <a:accent4>
        <a:srgbClr val="00A9CE"/>
      </a:accent4>
      <a:accent5>
        <a:srgbClr val="3CDBC0"/>
      </a:accent5>
      <a:accent6>
        <a:srgbClr val="E03E52"/>
      </a:accent6>
      <a:hlink>
        <a:srgbClr val="000000"/>
      </a:hlink>
      <a:folHlink>
        <a:srgbClr val="000000"/>
      </a:folHlink>
    </a:clrScheme>
    <a:fontScheme name="OAIC">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6787EF-9182-4F59-AB10-7D7B4FC7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oaic-fileshare\Templates\Long document template.dotm</Template>
  <TotalTime>311</TotalTime>
  <Pages>24</Pages>
  <Words>6817</Words>
  <Characters>38858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Consultation Paper: National Health (Privacy) Rules 2018 review</vt:lpstr>
    </vt:vector>
  </TitlesOfParts>
  <Company>OAIC</Company>
  <LinksUpToDate>false</LinksUpToDate>
  <CharactersWithSpaces>45584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National Health (Privacy) Rules 2018 review</dc:title>
  <dc:subject>Subtitle here</dc:subject>
  <dc:creator>Lisa Liang</dc:creator>
  <cp:keywords/>
  <dc:description/>
  <cp:lastModifiedBy>stuart neely</cp:lastModifiedBy>
  <cp:revision>51</cp:revision>
  <cp:lastPrinted>2018-01-04T14:46:00Z</cp:lastPrinted>
  <dcterms:created xsi:type="dcterms:W3CDTF">2021-04-28T04:58:00Z</dcterms:created>
  <dcterms:modified xsi:type="dcterms:W3CDTF">2021-05-06T03:51:00Z</dcterms:modified>
  <cp:category>Report</cp:category>
</cp:coreProperties>
</file>