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CEC7F" w14:textId="77777777" w:rsidR="003F6548" w:rsidRDefault="003F6548" w:rsidP="003F6548">
      <w:pPr>
        <w:spacing w:before="240"/>
        <w:jc w:val="center"/>
        <w:rPr>
          <w:rFonts w:cs="Arial"/>
          <w:b/>
          <w:sz w:val="36"/>
          <w:szCs w:val="36"/>
        </w:rPr>
      </w:pPr>
    </w:p>
    <w:p w14:paraId="3419A65E" w14:textId="77777777" w:rsidR="003F6548" w:rsidRDefault="003F6548" w:rsidP="003F6548">
      <w:pPr>
        <w:spacing w:before="240"/>
        <w:jc w:val="center"/>
        <w:rPr>
          <w:rFonts w:cs="Arial"/>
          <w:b/>
          <w:sz w:val="36"/>
          <w:szCs w:val="36"/>
        </w:rPr>
      </w:pPr>
    </w:p>
    <w:p w14:paraId="57104302" w14:textId="77777777" w:rsidR="003F6548" w:rsidRDefault="003F6548" w:rsidP="003F6548">
      <w:pPr>
        <w:spacing w:before="240"/>
        <w:jc w:val="center"/>
        <w:rPr>
          <w:rFonts w:cs="Arial"/>
          <w:b/>
          <w:sz w:val="36"/>
          <w:szCs w:val="36"/>
        </w:rPr>
      </w:pPr>
    </w:p>
    <w:p w14:paraId="25E77BEB" w14:textId="733EA11E" w:rsidR="003F6548" w:rsidRPr="003F6548" w:rsidRDefault="00EB4650" w:rsidP="003F6548">
      <w:pPr>
        <w:spacing w:before="240"/>
        <w:jc w:val="center"/>
        <w:rPr>
          <w:rFonts w:cs="Arial"/>
          <w:b/>
          <w:color w:val="C45911" w:themeColor="accent2" w:themeShade="BF"/>
          <w:sz w:val="36"/>
          <w:szCs w:val="36"/>
        </w:rPr>
      </w:pPr>
      <w:r>
        <w:rPr>
          <w:rFonts w:eastAsia="Calibri" w:cs="Arial"/>
          <w:b/>
          <w:color w:val="C45911" w:themeColor="accent2" w:themeShade="BF"/>
          <w:sz w:val="48"/>
          <w:szCs w:val="48"/>
        </w:rPr>
        <w:t>NATIONAL HEALTH (PRIVACY) RULES 2018 REVIEW</w:t>
      </w:r>
    </w:p>
    <w:p w14:paraId="0A6C1721" w14:textId="3C01BF91" w:rsidR="003F6548" w:rsidRPr="003F6548" w:rsidRDefault="003F6548" w:rsidP="003F6548">
      <w:pPr>
        <w:spacing w:before="240"/>
        <w:rPr>
          <w:rFonts w:cs="Arial"/>
          <w:b/>
          <w:color w:val="C45911" w:themeColor="accent2" w:themeShade="BF"/>
          <w:sz w:val="36"/>
          <w:szCs w:val="36"/>
        </w:rPr>
      </w:pPr>
      <w:r w:rsidRPr="003F6548">
        <w:rPr>
          <w:rFonts w:eastAsia="Calibri" w:cs="Arial"/>
          <w:b/>
          <w:noProof/>
          <w:color w:val="C45911" w:themeColor="accent2" w:themeShade="BF"/>
          <w:sz w:val="44"/>
          <w:szCs w:val="44"/>
          <w:lang w:eastAsia="en-AU"/>
        </w:rPr>
        <mc:AlternateContent>
          <mc:Choice Requires="wps">
            <w:drawing>
              <wp:anchor distT="0" distB="0" distL="114300" distR="114300" simplePos="0" relativeHeight="251659264" behindDoc="0" locked="0" layoutInCell="1" allowOverlap="1" wp14:anchorId="6023D479" wp14:editId="44B485FF">
                <wp:simplePos x="0" y="0"/>
                <wp:positionH relativeFrom="column">
                  <wp:posOffset>19050</wp:posOffset>
                </wp:positionH>
                <wp:positionV relativeFrom="paragraph">
                  <wp:posOffset>91440</wp:posOffset>
                </wp:positionV>
                <wp:extent cx="5928360" cy="0"/>
                <wp:effectExtent l="0" t="0" r="34290" b="19050"/>
                <wp:wrapNone/>
                <wp:docPr id="1" name="Straight Connector 1"/>
                <wp:cNvGraphicFramePr/>
                <a:graphic xmlns:a="http://schemas.openxmlformats.org/drawingml/2006/main">
                  <a:graphicData uri="http://schemas.microsoft.com/office/word/2010/wordprocessingShape">
                    <wps:wsp>
                      <wps:cNvCnPr/>
                      <wps:spPr>
                        <a:xfrm flipV="1">
                          <a:off x="0" y="0"/>
                          <a:ext cx="5928360" cy="0"/>
                        </a:xfrm>
                        <a:prstGeom prst="line">
                          <a:avLst/>
                        </a:prstGeom>
                        <a:ln w="254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5BB5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2pt" to="468.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" strokecolor="#c45911 [2405]" strokeweight="2pt">
                <v:stroke joinstyle="miter"/>
              </v:line>
            </w:pict>
          </mc:Fallback>
        </mc:AlternateContent>
      </w:r>
    </w:p>
    <w:p w14:paraId="1CC9ABF2" w14:textId="3CC10F58" w:rsidR="0023339A" w:rsidRDefault="0023339A" w:rsidP="003F6548">
      <w:pPr>
        <w:spacing w:before="240"/>
        <w:rPr>
          <w:rFonts w:cs="Arial"/>
          <w:b/>
          <w:color w:val="808080" w:themeColor="background1" w:themeShade="80"/>
          <w:sz w:val="36"/>
          <w:szCs w:val="36"/>
        </w:rPr>
      </w:pPr>
      <w:r w:rsidRPr="0023339A">
        <w:rPr>
          <w:rFonts w:cs="Arial"/>
          <w:b/>
          <w:color w:val="808080" w:themeColor="background1" w:themeShade="80"/>
          <w:sz w:val="36"/>
          <w:szCs w:val="36"/>
        </w:rPr>
        <w:t xml:space="preserve">Submission to the </w:t>
      </w:r>
      <w:r w:rsidR="00EB4650">
        <w:rPr>
          <w:rFonts w:cs="Arial"/>
          <w:b/>
          <w:color w:val="808080" w:themeColor="background1" w:themeShade="80"/>
          <w:sz w:val="36"/>
          <w:szCs w:val="36"/>
        </w:rPr>
        <w:t>Office of the Australian Information Commissioner (OAIC)</w:t>
      </w:r>
    </w:p>
    <w:p w14:paraId="36A4A6F6" w14:textId="2E2356E7" w:rsidR="003F6548" w:rsidRPr="00C07A74" w:rsidRDefault="003F6548" w:rsidP="003F6548">
      <w:pPr>
        <w:spacing w:before="240"/>
        <w:rPr>
          <w:rFonts w:cs="Arial"/>
          <w:b/>
          <w:color w:val="808080" w:themeColor="background1" w:themeShade="80"/>
          <w:sz w:val="28"/>
          <w:szCs w:val="28"/>
        </w:rPr>
      </w:pPr>
      <w:r w:rsidRPr="00C07A74">
        <w:rPr>
          <w:rFonts w:cs="Arial"/>
          <w:b/>
          <w:color w:val="808080" w:themeColor="background1" w:themeShade="80"/>
          <w:sz w:val="28"/>
          <w:szCs w:val="28"/>
        </w:rPr>
        <w:t>Population Health Research Network</w:t>
      </w:r>
    </w:p>
    <w:p w14:paraId="65A5F060" w14:textId="77777777" w:rsidR="003F6548" w:rsidRDefault="003F6548" w:rsidP="003F6548">
      <w:pPr>
        <w:spacing w:before="240"/>
        <w:rPr>
          <w:rFonts w:cs="Arial"/>
          <w:b/>
          <w:sz w:val="28"/>
          <w:szCs w:val="28"/>
        </w:rPr>
      </w:pPr>
    </w:p>
    <w:p w14:paraId="2A0377E1" w14:textId="537FEB96" w:rsidR="003F6548" w:rsidRPr="00AB4AEB" w:rsidRDefault="003165F2" w:rsidP="003F6548">
      <w:pPr>
        <w:spacing w:before="240"/>
        <w:rPr>
          <w:rFonts w:cs="Arial"/>
          <w:b/>
          <w:sz w:val="28"/>
          <w:szCs w:val="28"/>
        </w:rPr>
      </w:pPr>
      <w:r>
        <w:rPr>
          <w:rFonts w:cs="Arial"/>
          <w:b/>
          <w:sz w:val="28"/>
          <w:szCs w:val="28"/>
        </w:rPr>
        <w:t>4</w:t>
      </w:r>
      <w:r w:rsidR="00EB4650">
        <w:rPr>
          <w:rFonts w:cs="Arial"/>
          <w:b/>
          <w:sz w:val="28"/>
          <w:szCs w:val="28"/>
        </w:rPr>
        <w:t xml:space="preserve"> June</w:t>
      </w:r>
      <w:r w:rsidR="003F6548" w:rsidRPr="00AB4AEB">
        <w:rPr>
          <w:rFonts w:cs="Arial"/>
          <w:b/>
          <w:sz w:val="28"/>
          <w:szCs w:val="28"/>
        </w:rPr>
        <w:t xml:space="preserve"> 20</w:t>
      </w:r>
      <w:r w:rsidR="00B12091">
        <w:rPr>
          <w:rFonts w:cs="Arial"/>
          <w:b/>
          <w:sz w:val="28"/>
          <w:szCs w:val="28"/>
        </w:rPr>
        <w:t>2</w:t>
      </w:r>
      <w:r w:rsidR="0023339A">
        <w:rPr>
          <w:rFonts w:cs="Arial"/>
          <w:b/>
          <w:sz w:val="28"/>
          <w:szCs w:val="28"/>
        </w:rPr>
        <w:t>1</w:t>
      </w:r>
    </w:p>
    <w:p w14:paraId="384CA544" w14:textId="0BA4331E" w:rsidR="003F6548" w:rsidRDefault="003F6548" w:rsidP="003F6548">
      <w:pPr>
        <w:spacing w:before="240"/>
        <w:jc w:val="both"/>
        <w:rPr>
          <w:rFonts w:cs="Arial"/>
          <w:b/>
        </w:rPr>
      </w:pPr>
    </w:p>
    <w:p w14:paraId="6F6D0162" w14:textId="77777777" w:rsidR="003F6548" w:rsidRDefault="003F6548" w:rsidP="003F6548">
      <w:pPr>
        <w:spacing w:before="240"/>
        <w:jc w:val="both"/>
        <w:rPr>
          <w:rFonts w:cs="Arial"/>
        </w:rPr>
      </w:pPr>
    </w:p>
    <w:p w14:paraId="43DB0B15" w14:textId="77777777" w:rsidR="003F6548" w:rsidRDefault="003F6548" w:rsidP="003F6548">
      <w:pPr>
        <w:spacing w:before="240"/>
        <w:jc w:val="both"/>
        <w:rPr>
          <w:rFonts w:cs="Arial"/>
        </w:rPr>
      </w:pPr>
    </w:p>
    <w:p w14:paraId="4544EF7B" w14:textId="77777777" w:rsidR="003F6548" w:rsidRDefault="003F6548" w:rsidP="003F6548">
      <w:pPr>
        <w:spacing w:before="240"/>
        <w:jc w:val="both"/>
        <w:rPr>
          <w:rFonts w:cs="Arial"/>
        </w:rPr>
      </w:pPr>
    </w:p>
    <w:p w14:paraId="00A42D23" w14:textId="77777777" w:rsidR="003F6548" w:rsidRPr="0034068C" w:rsidRDefault="003F6548" w:rsidP="003F6548">
      <w:pPr>
        <w:spacing w:before="240"/>
        <w:jc w:val="both"/>
        <w:rPr>
          <w:rFonts w:cs="Arial"/>
        </w:rPr>
      </w:pPr>
    </w:p>
    <w:p w14:paraId="356436F6" w14:textId="77777777" w:rsidR="003F6548" w:rsidRDefault="003F6548" w:rsidP="003F6548">
      <w:pPr>
        <w:spacing w:before="240"/>
        <w:jc w:val="both"/>
        <w:rPr>
          <w:rFonts w:cs="Arial"/>
        </w:rPr>
      </w:pPr>
    </w:p>
    <w:p w14:paraId="609D4B64" w14:textId="77777777" w:rsidR="003F6548" w:rsidRDefault="003F6548" w:rsidP="003F6548">
      <w:pPr>
        <w:spacing w:before="240"/>
        <w:jc w:val="both"/>
      </w:pPr>
    </w:p>
    <w:p w14:paraId="0D622056" w14:textId="77777777" w:rsidR="003F6548" w:rsidRDefault="003F6548" w:rsidP="003F6548">
      <w:pPr>
        <w:spacing w:before="240"/>
        <w:jc w:val="both"/>
      </w:pPr>
    </w:p>
    <w:p w14:paraId="12888C59" w14:textId="77777777" w:rsidR="003F6548" w:rsidRDefault="003F6548" w:rsidP="003F6548">
      <w:pPr>
        <w:spacing w:before="24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F6548" w14:paraId="3A7412E0" w14:textId="77777777" w:rsidTr="0041388A">
        <w:tc>
          <w:tcPr>
            <w:tcW w:w="4508" w:type="dxa"/>
          </w:tcPr>
          <w:p w14:paraId="1B7CEBA8" w14:textId="77777777" w:rsidR="003F6548" w:rsidRDefault="003F6548" w:rsidP="0041388A">
            <w:pPr>
              <w:spacing w:before="240"/>
              <w:jc w:val="center"/>
            </w:pPr>
            <w:r>
              <w:rPr>
                <w:rFonts w:cstheme="minorHAnsi"/>
                <w:noProof/>
                <w:lang w:eastAsia="en-AU"/>
              </w:rPr>
              <w:drawing>
                <wp:inline distT="0" distB="0" distL="0" distR="0" wp14:anchorId="2E9B3582" wp14:editId="13609864">
                  <wp:extent cx="2724150" cy="100795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PU11505B_PHRN_MASTER_LOGO_HORIZONTAL_RGB 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6273" cy="1030944"/>
                          </a:xfrm>
                          <a:prstGeom prst="rect">
                            <a:avLst/>
                          </a:prstGeom>
                        </pic:spPr>
                      </pic:pic>
                    </a:graphicData>
                  </a:graphic>
                </wp:inline>
              </w:drawing>
            </w:r>
          </w:p>
        </w:tc>
        <w:tc>
          <w:tcPr>
            <w:tcW w:w="4508" w:type="dxa"/>
          </w:tcPr>
          <w:p w14:paraId="22693DC9" w14:textId="77777777" w:rsidR="003F6548" w:rsidRDefault="003F6548" w:rsidP="0041388A">
            <w:pPr>
              <w:spacing w:before="240"/>
              <w:jc w:val="center"/>
            </w:pPr>
            <w:r>
              <w:rPr>
                <w:noProof/>
                <w:lang w:eastAsia="en-AU"/>
              </w:rPr>
              <w:drawing>
                <wp:inline distT="0" distB="0" distL="0" distR="0" wp14:anchorId="7BC2F7D6" wp14:editId="01AABFD6">
                  <wp:extent cx="1584960" cy="1147729"/>
                  <wp:effectExtent l="0" t="0" r="0" b="0"/>
                  <wp:docPr id="3" name="Picture 3" descr="C:\Users\00091937\AppData\Local\Microsoft\Windows\Temporary Internet Files\Content.Word\NCRIS PROV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091937\AppData\Local\Microsoft\Windows\Temporary Internet Files\Content.Word\NCRIS PROVI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6341" cy="1177694"/>
                          </a:xfrm>
                          <a:prstGeom prst="rect">
                            <a:avLst/>
                          </a:prstGeom>
                          <a:noFill/>
                          <a:ln>
                            <a:noFill/>
                          </a:ln>
                        </pic:spPr>
                      </pic:pic>
                    </a:graphicData>
                  </a:graphic>
                </wp:inline>
              </w:drawing>
            </w:r>
          </w:p>
        </w:tc>
      </w:tr>
    </w:tbl>
    <w:p w14:paraId="1204E076" w14:textId="77777777" w:rsidR="003F6548" w:rsidRDefault="003F6548" w:rsidP="003F6548">
      <w:pPr>
        <w:spacing w:before="240"/>
        <w:jc w:val="both"/>
        <w:sectPr w:rsidR="003F6548" w:rsidSect="000052F1">
          <w:headerReference w:type="even" r:id="rId10"/>
          <w:headerReference w:type="default" r:id="rId11"/>
          <w:footerReference w:type="even" r:id="rId12"/>
          <w:footerReference w:type="default" r:id="rId13"/>
          <w:headerReference w:type="first" r:id="rId14"/>
          <w:footerReference w:type="first" r:id="rId15"/>
          <w:pgSz w:w="11906" w:h="16838"/>
          <w:pgMar w:top="1134" w:right="1247" w:bottom="1134" w:left="1247" w:header="709" w:footer="709" w:gutter="0"/>
          <w:cols w:space="708"/>
          <w:docGrid w:linePitch="360"/>
        </w:sectPr>
      </w:pPr>
    </w:p>
    <w:p w14:paraId="03121580" w14:textId="77777777" w:rsidR="003F6548" w:rsidRPr="003F6548" w:rsidRDefault="003F6548" w:rsidP="003F6548">
      <w:pPr>
        <w:pStyle w:val="Heading1"/>
        <w:rPr>
          <w:b w:val="0"/>
          <w:color w:val="C45911" w:themeColor="accent2" w:themeShade="BF"/>
          <w:sz w:val="48"/>
          <w:szCs w:val="48"/>
        </w:rPr>
      </w:pPr>
      <w:bookmarkStart w:id="0" w:name="_Toc517693603"/>
      <w:r w:rsidRPr="003F6548">
        <w:rPr>
          <w:color w:val="C45911" w:themeColor="accent2" w:themeShade="BF"/>
          <w:sz w:val="48"/>
          <w:szCs w:val="48"/>
        </w:rPr>
        <w:lastRenderedPageBreak/>
        <w:t xml:space="preserve">ABOUT THE </w:t>
      </w:r>
      <w:bookmarkEnd w:id="0"/>
      <w:r w:rsidRPr="003F6548">
        <w:rPr>
          <w:color w:val="C45911" w:themeColor="accent2" w:themeShade="BF"/>
          <w:sz w:val="48"/>
          <w:szCs w:val="48"/>
        </w:rPr>
        <w:t>PHRN</w:t>
      </w:r>
    </w:p>
    <w:p w14:paraId="67CF727D" w14:textId="77777777" w:rsidR="003F6548" w:rsidRDefault="003F6548" w:rsidP="003F6548">
      <w:pPr>
        <w:spacing w:before="240" w:after="120"/>
        <w:jc w:val="both"/>
        <w:rPr>
          <w:rFonts w:cs="Arial"/>
        </w:rPr>
      </w:pPr>
      <w:r w:rsidRPr="00366AAD">
        <w:rPr>
          <w:rFonts w:cs="Arial"/>
        </w:rPr>
        <w:t xml:space="preserve">The Population Health Research Network (PHRN) is a national data linkage infrastructure network. </w:t>
      </w:r>
      <w:r>
        <w:rPr>
          <w:rFonts w:cs="Arial"/>
        </w:rPr>
        <w:t xml:space="preserve">The </w:t>
      </w:r>
      <w:r w:rsidRPr="00366AAD">
        <w:rPr>
          <w:rFonts w:cs="Arial"/>
        </w:rPr>
        <w:t xml:space="preserve">PHRN commenced in 2009 and is funded by the Australian Government’s National Collaborative Research Infrastructure Strategy (NCRIS), with support from state and territory government agencies and academic partners. The University of Western Australia is lead agent for the PHRN. The PHRN’s primary purpose is to build and support the operation of collaborative, nationwide data linkage infrastructure capable of securely and safely linking data collections from a wide range of sources including within and between jurisdictions and across sectors and providing access to linked data. </w:t>
      </w:r>
    </w:p>
    <w:p w14:paraId="36A7A164" w14:textId="77777777" w:rsidR="00EF6DC3" w:rsidRPr="00366AAD" w:rsidRDefault="00EF6DC3" w:rsidP="003F6548">
      <w:pPr>
        <w:spacing w:before="240" w:after="120"/>
        <w:jc w:val="both"/>
        <w:rPr>
          <w:rFonts w:cs="Arial"/>
        </w:rPr>
      </w:pPr>
    </w:p>
    <w:p w14:paraId="30F7FB6C" w14:textId="77777777" w:rsidR="00C357A2" w:rsidRPr="00C357A2" w:rsidRDefault="00C357A2" w:rsidP="00C357A2">
      <w:pPr>
        <w:pStyle w:val="Heading1"/>
        <w:spacing w:after="120" w:line="320" w:lineRule="exact"/>
        <w:rPr>
          <w:rFonts w:asciiTheme="minorHAnsi" w:hAnsiTheme="minorHAnsi"/>
          <w:color w:val="C45911" w:themeColor="accent2" w:themeShade="BF"/>
          <w:sz w:val="40"/>
          <w:szCs w:val="40"/>
        </w:rPr>
      </w:pPr>
      <w:bookmarkStart w:id="1" w:name="_Toc452704057"/>
      <w:r w:rsidRPr="00C357A2">
        <w:rPr>
          <w:rFonts w:asciiTheme="minorHAnsi" w:hAnsiTheme="minorHAnsi"/>
          <w:color w:val="C45911" w:themeColor="accent2" w:themeShade="BF"/>
          <w:sz w:val="40"/>
          <w:szCs w:val="40"/>
        </w:rPr>
        <w:t>Our Roles</w:t>
      </w:r>
      <w:bookmarkEnd w:id="1"/>
    </w:p>
    <w:p w14:paraId="34753A2C" w14:textId="77777777" w:rsidR="00C357A2" w:rsidRPr="00C357A2" w:rsidRDefault="00C357A2" w:rsidP="00C357A2">
      <w:pPr>
        <w:pStyle w:val="ListParagraph"/>
        <w:numPr>
          <w:ilvl w:val="0"/>
          <w:numId w:val="9"/>
        </w:numPr>
        <w:spacing w:before="240" w:after="120"/>
        <w:jc w:val="both"/>
        <w:rPr>
          <w:rFonts w:cs="Arial"/>
        </w:rPr>
      </w:pPr>
      <w:r w:rsidRPr="00C357A2">
        <w:rPr>
          <w:rFonts w:cs="Arial"/>
        </w:rPr>
        <w:t>We are a respected, independent and trusted broker, valued for bringing governments, organisations, individuals and data together securely.</w:t>
      </w:r>
    </w:p>
    <w:p w14:paraId="10457EF5" w14:textId="77777777" w:rsidR="00C357A2" w:rsidRPr="00C357A2" w:rsidRDefault="00C357A2" w:rsidP="00C357A2">
      <w:pPr>
        <w:pStyle w:val="ListParagraph"/>
        <w:numPr>
          <w:ilvl w:val="0"/>
          <w:numId w:val="9"/>
        </w:numPr>
        <w:spacing w:before="240" w:after="120"/>
        <w:jc w:val="both"/>
        <w:rPr>
          <w:rFonts w:cs="Arial"/>
        </w:rPr>
      </w:pPr>
      <w:r w:rsidRPr="00C357A2">
        <w:rPr>
          <w:rFonts w:cs="Arial"/>
        </w:rPr>
        <w:t>We collaborate to enhance and maintain significant, innovative research infrastructure to improve the nation’s data linkage capability.</w:t>
      </w:r>
    </w:p>
    <w:p w14:paraId="55242FBB" w14:textId="77777777" w:rsidR="00C357A2" w:rsidRPr="00C357A2" w:rsidRDefault="00C357A2" w:rsidP="00C357A2">
      <w:pPr>
        <w:pStyle w:val="ListParagraph"/>
        <w:numPr>
          <w:ilvl w:val="0"/>
          <w:numId w:val="9"/>
        </w:numPr>
        <w:spacing w:before="240" w:after="120"/>
        <w:jc w:val="both"/>
        <w:rPr>
          <w:rFonts w:cs="Arial"/>
        </w:rPr>
      </w:pPr>
      <w:r w:rsidRPr="00C357A2">
        <w:rPr>
          <w:rFonts w:cs="Arial"/>
        </w:rPr>
        <w:t>We facilitate and grow the use of linked data in the areas of health and human services.</w:t>
      </w:r>
    </w:p>
    <w:p w14:paraId="6847F1A6" w14:textId="77777777" w:rsidR="00C357A2" w:rsidRPr="00C357A2" w:rsidRDefault="00C357A2" w:rsidP="00C357A2">
      <w:pPr>
        <w:pStyle w:val="ListParagraph"/>
        <w:numPr>
          <w:ilvl w:val="0"/>
          <w:numId w:val="9"/>
        </w:numPr>
        <w:spacing w:before="240" w:after="120"/>
        <w:jc w:val="both"/>
        <w:rPr>
          <w:rFonts w:cs="Arial"/>
        </w:rPr>
      </w:pPr>
      <w:r w:rsidRPr="00C357A2">
        <w:rPr>
          <w:rFonts w:cs="Arial"/>
        </w:rPr>
        <w:t>We advocate for an improved authorising environment for better access, use and sharing of data.</w:t>
      </w:r>
    </w:p>
    <w:p w14:paraId="13F88037" w14:textId="77777777" w:rsidR="0020647E" w:rsidRDefault="00C357A2" w:rsidP="0020647E">
      <w:pPr>
        <w:pStyle w:val="ListParagraph"/>
        <w:numPr>
          <w:ilvl w:val="0"/>
          <w:numId w:val="9"/>
        </w:numPr>
        <w:spacing w:before="240" w:after="120"/>
        <w:jc w:val="both"/>
        <w:rPr>
          <w:rFonts w:cs="Arial"/>
        </w:rPr>
      </w:pPr>
      <w:r w:rsidRPr="00C357A2">
        <w:rPr>
          <w:rFonts w:cs="Arial"/>
        </w:rPr>
        <w:t>We support the whole of government focus on accessing, sharing and using data for the national good.</w:t>
      </w:r>
      <w:bookmarkStart w:id="2" w:name="_Toc452704058"/>
    </w:p>
    <w:p w14:paraId="2AE03949" w14:textId="77777777" w:rsidR="00EF6DC3" w:rsidRPr="00EF6DC3" w:rsidRDefault="00EF6DC3" w:rsidP="00EF6DC3">
      <w:pPr>
        <w:spacing w:before="240" w:after="120"/>
        <w:ind w:left="360"/>
        <w:jc w:val="both"/>
        <w:rPr>
          <w:rFonts w:cs="Arial"/>
        </w:rPr>
      </w:pPr>
    </w:p>
    <w:p w14:paraId="5E2823F9" w14:textId="3F5B7F8B" w:rsidR="00C357A2" w:rsidRPr="00C357A2" w:rsidRDefault="00C357A2" w:rsidP="00C357A2">
      <w:pPr>
        <w:pStyle w:val="Heading1"/>
        <w:spacing w:before="0" w:line="320" w:lineRule="exact"/>
        <w:rPr>
          <w:rFonts w:asciiTheme="minorHAnsi" w:hAnsiTheme="minorHAnsi"/>
          <w:color w:val="C45911" w:themeColor="accent2" w:themeShade="BF"/>
          <w:sz w:val="40"/>
          <w:szCs w:val="40"/>
        </w:rPr>
      </w:pPr>
      <w:r w:rsidRPr="00C357A2">
        <w:rPr>
          <w:rFonts w:asciiTheme="minorHAnsi" w:hAnsiTheme="minorHAnsi"/>
          <w:color w:val="C45911" w:themeColor="accent2" w:themeShade="BF"/>
          <w:sz w:val="40"/>
          <w:szCs w:val="40"/>
        </w:rPr>
        <w:t>Our Vision</w:t>
      </w:r>
      <w:bookmarkEnd w:id="2"/>
      <w:r w:rsidRPr="00C357A2">
        <w:rPr>
          <w:rFonts w:asciiTheme="minorHAnsi" w:hAnsiTheme="minorHAnsi"/>
          <w:color w:val="C45911" w:themeColor="accent2" w:themeShade="BF"/>
          <w:sz w:val="40"/>
          <w:szCs w:val="40"/>
        </w:rPr>
        <w:t xml:space="preserve"> </w:t>
      </w:r>
    </w:p>
    <w:p w14:paraId="66B7DF22" w14:textId="123E7736" w:rsidR="00C357A2" w:rsidRDefault="00C357A2" w:rsidP="00C357A2">
      <w:pPr>
        <w:spacing w:before="240" w:after="120"/>
        <w:jc w:val="both"/>
        <w:rPr>
          <w:rFonts w:cs="Arial"/>
        </w:rPr>
      </w:pPr>
      <w:r w:rsidRPr="00C357A2">
        <w:rPr>
          <w:rFonts w:cs="Arial"/>
        </w:rPr>
        <w:t>Linking life data to improve the wellbeing of all Australians</w:t>
      </w:r>
    </w:p>
    <w:p w14:paraId="1A79C736" w14:textId="77777777" w:rsidR="00EF6DC3" w:rsidRPr="00C357A2" w:rsidRDefault="00EF6DC3" w:rsidP="00C357A2">
      <w:pPr>
        <w:spacing w:before="240" w:after="120"/>
        <w:jc w:val="both"/>
        <w:rPr>
          <w:rFonts w:cs="Arial"/>
        </w:rPr>
      </w:pPr>
    </w:p>
    <w:p w14:paraId="36F8170F" w14:textId="77777777" w:rsidR="00C357A2" w:rsidRPr="00C357A2" w:rsidRDefault="00C357A2" w:rsidP="00C357A2">
      <w:pPr>
        <w:pStyle w:val="Heading1"/>
        <w:spacing w:after="120" w:line="340" w:lineRule="exact"/>
        <w:rPr>
          <w:rFonts w:asciiTheme="minorHAnsi" w:hAnsiTheme="minorHAnsi"/>
          <w:color w:val="C45911" w:themeColor="accent2" w:themeShade="BF"/>
          <w:sz w:val="40"/>
          <w:szCs w:val="40"/>
        </w:rPr>
      </w:pPr>
      <w:bookmarkStart w:id="3" w:name="_Toc452704060"/>
      <w:r w:rsidRPr="00C357A2">
        <w:rPr>
          <w:rFonts w:asciiTheme="minorHAnsi" w:hAnsiTheme="minorHAnsi"/>
          <w:color w:val="C45911" w:themeColor="accent2" w:themeShade="BF"/>
          <w:sz w:val="40"/>
          <w:szCs w:val="40"/>
        </w:rPr>
        <w:t>Our Mission</w:t>
      </w:r>
      <w:bookmarkEnd w:id="3"/>
    </w:p>
    <w:p w14:paraId="66997004" w14:textId="77777777" w:rsidR="00C357A2" w:rsidRPr="001100CE" w:rsidRDefault="00C357A2" w:rsidP="001100CE">
      <w:pPr>
        <w:spacing w:before="240" w:after="120"/>
        <w:jc w:val="both"/>
        <w:rPr>
          <w:rFonts w:cs="Arial"/>
        </w:rPr>
      </w:pPr>
      <w:r w:rsidRPr="001100CE">
        <w:rPr>
          <w:rFonts w:cs="Arial"/>
        </w:rPr>
        <w:t>To lead and enable the linking of data for world class, action-oriented research</w:t>
      </w:r>
    </w:p>
    <w:p w14:paraId="4706078C" w14:textId="77777777" w:rsidR="003F6548" w:rsidRDefault="003F6548" w:rsidP="003F6548">
      <w:pPr>
        <w:spacing w:before="120" w:after="120"/>
        <w:jc w:val="both"/>
        <w:rPr>
          <w:rFonts w:cs="Arial"/>
        </w:rPr>
      </w:pPr>
    </w:p>
    <w:p w14:paraId="4D5C5F8C" w14:textId="77777777" w:rsidR="003F6548" w:rsidRDefault="003F6548" w:rsidP="003F6548">
      <w:pPr>
        <w:spacing w:before="120" w:after="120"/>
        <w:jc w:val="both"/>
        <w:rPr>
          <w:rFonts w:cs="Arial"/>
        </w:rPr>
      </w:pPr>
    </w:p>
    <w:p w14:paraId="6BCA67F5" w14:textId="77777777" w:rsidR="003F6548" w:rsidRDefault="003F6548" w:rsidP="003F6548">
      <w:pPr>
        <w:spacing w:before="120" w:after="120"/>
        <w:jc w:val="both"/>
        <w:rPr>
          <w:rFonts w:cs="Arial"/>
        </w:rPr>
      </w:pPr>
    </w:p>
    <w:p w14:paraId="4F0303A3" w14:textId="77777777" w:rsidR="003F6548" w:rsidRPr="00DC39DA" w:rsidRDefault="003F6548" w:rsidP="000052F1">
      <w:pPr>
        <w:spacing w:after="60"/>
        <w:jc w:val="both"/>
        <w:rPr>
          <w:rFonts w:cs="Arial"/>
        </w:rPr>
      </w:pPr>
      <w:r w:rsidRPr="00DC39DA">
        <w:rPr>
          <w:rFonts w:cs="Arial"/>
        </w:rPr>
        <w:t>Dr Merran Smith</w:t>
      </w:r>
    </w:p>
    <w:p w14:paraId="41AF51C4" w14:textId="77777777" w:rsidR="003F6548" w:rsidRPr="00DC39DA" w:rsidRDefault="003F6548" w:rsidP="000052F1">
      <w:pPr>
        <w:spacing w:after="120"/>
        <w:jc w:val="both"/>
        <w:rPr>
          <w:rFonts w:cs="Arial"/>
        </w:rPr>
      </w:pPr>
      <w:r>
        <w:rPr>
          <w:rFonts w:cs="Arial"/>
        </w:rPr>
        <w:t>Chief Executive</w:t>
      </w:r>
    </w:p>
    <w:p w14:paraId="7DE0A5F7" w14:textId="77777777" w:rsidR="003F6548" w:rsidRPr="00DC39DA" w:rsidRDefault="003F6548" w:rsidP="000052F1">
      <w:pPr>
        <w:spacing w:after="120"/>
        <w:jc w:val="both"/>
        <w:rPr>
          <w:rFonts w:cs="Arial"/>
        </w:rPr>
      </w:pPr>
      <w:r w:rsidRPr="00DC39DA">
        <w:rPr>
          <w:rFonts w:cs="Arial"/>
        </w:rPr>
        <w:t>08 6488 8686</w:t>
      </w:r>
    </w:p>
    <w:p w14:paraId="30BBA0B2" w14:textId="7284277A" w:rsidR="003F6548" w:rsidRPr="003F6548" w:rsidRDefault="0095547E" w:rsidP="000052F1">
      <w:pPr>
        <w:spacing w:after="120"/>
        <w:jc w:val="both"/>
        <w:rPr>
          <w:rStyle w:val="Hyperlink"/>
          <w:rFonts w:cs="Arial"/>
          <w:color w:val="auto"/>
          <w:u w:val="none"/>
        </w:rPr>
      </w:pPr>
      <w:hyperlink r:id="rId16" w:history="1">
        <w:r w:rsidR="003F6548" w:rsidRPr="003542F3">
          <w:rPr>
            <w:rStyle w:val="Hyperlink"/>
            <w:rFonts w:cs="Arial"/>
          </w:rPr>
          <w:t>merran.smith@uwa.edu.au</w:t>
        </w:r>
      </w:hyperlink>
      <w:r w:rsidR="003F6548">
        <w:rPr>
          <w:rFonts w:cs="Arial"/>
        </w:rPr>
        <w:t xml:space="preserve"> </w:t>
      </w:r>
    </w:p>
    <w:p w14:paraId="34065078" w14:textId="2910A17C" w:rsidR="003F6548" w:rsidRDefault="0095547E" w:rsidP="000052F1">
      <w:pPr>
        <w:spacing w:after="120"/>
        <w:jc w:val="both"/>
        <w:rPr>
          <w:b/>
          <w:sz w:val="28"/>
          <w:szCs w:val="28"/>
        </w:rPr>
      </w:pPr>
      <w:hyperlink r:id="rId17" w:history="1">
        <w:r w:rsidR="003F6548" w:rsidRPr="00CB7A93">
          <w:rPr>
            <w:rStyle w:val="Hyperlink"/>
            <w:rFonts w:cs="Arial"/>
          </w:rPr>
          <w:t>www.phrn.org.au</w:t>
        </w:r>
      </w:hyperlink>
    </w:p>
    <w:p w14:paraId="5F0631D1" w14:textId="77777777" w:rsidR="003F6548" w:rsidRDefault="003F6548" w:rsidP="000052F1">
      <w:pPr>
        <w:spacing w:after="120"/>
        <w:jc w:val="both"/>
        <w:rPr>
          <w:b/>
          <w:sz w:val="28"/>
          <w:szCs w:val="28"/>
        </w:rPr>
        <w:sectPr w:rsidR="003F6548" w:rsidSect="0072166C">
          <w:footerReference w:type="default" r:id="rId18"/>
          <w:pgSz w:w="11906" w:h="16838"/>
          <w:pgMar w:top="1440" w:right="1440" w:bottom="1440" w:left="1440" w:header="708" w:footer="708" w:gutter="0"/>
          <w:pgNumType w:start="1"/>
          <w:cols w:space="708"/>
          <w:docGrid w:linePitch="360"/>
        </w:sectPr>
      </w:pPr>
    </w:p>
    <w:p w14:paraId="08C34451" w14:textId="2519CD9F" w:rsidR="0023339A" w:rsidRDefault="00EB4650" w:rsidP="00AF0D52">
      <w:pPr>
        <w:rPr>
          <w:rFonts w:eastAsia="Calibri" w:cs="Arial"/>
          <w:b/>
          <w:color w:val="C45911" w:themeColor="accent2" w:themeShade="BF"/>
          <w:sz w:val="48"/>
          <w:szCs w:val="48"/>
        </w:rPr>
      </w:pPr>
      <w:r>
        <w:rPr>
          <w:rFonts w:eastAsia="Calibri" w:cs="Arial"/>
          <w:b/>
          <w:color w:val="C45911" w:themeColor="accent2" w:themeShade="BF"/>
          <w:sz w:val="48"/>
          <w:szCs w:val="48"/>
        </w:rPr>
        <w:lastRenderedPageBreak/>
        <w:t xml:space="preserve">NATIONAL HEALTH PRIVACY RULES 2018 </w:t>
      </w:r>
    </w:p>
    <w:p w14:paraId="698F4B65" w14:textId="0EE2FB08" w:rsidR="00AF0D52" w:rsidRPr="00402D94" w:rsidRDefault="0023339A" w:rsidP="00AF0D52">
      <w:pPr>
        <w:rPr>
          <w:rFonts w:cs="Arial"/>
          <w:b/>
          <w:color w:val="808080" w:themeColor="background1" w:themeShade="80"/>
          <w:sz w:val="36"/>
          <w:szCs w:val="36"/>
        </w:rPr>
      </w:pPr>
      <w:r>
        <w:rPr>
          <w:rFonts w:cs="Arial"/>
          <w:b/>
          <w:color w:val="808080" w:themeColor="background1" w:themeShade="80"/>
          <w:sz w:val="36"/>
          <w:szCs w:val="36"/>
        </w:rPr>
        <w:t xml:space="preserve">PHRN </w:t>
      </w:r>
      <w:r w:rsidRPr="0023339A">
        <w:rPr>
          <w:rFonts w:cs="Arial"/>
          <w:b/>
          <w:color w:val="808080" w:themeColor="background1" w:themeShade="80"/>
          <w:sz w:val="36"/>
          <w:szCs w:val="36"/>
        </w:rPr>
        <w:t xml:space="preserve">Submission to the </w:t>
      </w:r>
      <w:r w:rsidR="00EB4650">
        <w:rPr>
          <w:rFonts w:cs="Arial"/>
          <w:b/>
          <w:color w:val="808080" w:themeColor="background1" w:themeShade="80"/>
          <w:sz w:val="36"/>
          <w:szCs w:val="36"/>
        </w:rPr>
        <w:t>Office of the Australian Information Commissioner (OAIC)</w:t>
      </w:r>
    </w:p>
    <w:p w14:paraId="7DDA9A79" w14:textId="310D061B" w:rsidR="001A62A4" w:rsidRPr="00087434" w:rsidRDefault="001A62A4" w:rsidP="001A62A4">
      <w:pPr>
        <w:jc w:val="both"/>
        <w:rPr>
          <w:rFonts w:cstheme="minorHAnsi"/>
          <w:b/>
          <w:color w:val="C45911" w:themeColor="accent2" w:themeShade="BF"/>
          <w:sz w:val="24"/>
          <w:szCs w:val="24"/>
        </w:rPr>
      </w:pPr>
      <w:r w:rsidRPr="00087434">
        <w:rPr>
          <w:rFonts w:cstheme="minorHAnsi"/>
          <w:b/>
          <w:color w:val="C45911" w:themeColor="accent2" w:themeShade="BF"/>
          <w:sz w:val="24"/>
          <w:szCs w:val="24"/>
        </w:rPr>
        <w:t>Introduction</w:t>
      </w:r>
    </w:p>
    <w:p w14:paraId="3D576557" w14:textId="4010F3D6" w:rsidR="001A62A4" w:rsidRPr="00087434" w:rsidRDefault="001A62A4" w:rsidP="001A62A4">
      <w:pPr>
        <w:jc w:val="both"/>
        <w:rPr>
          <w:rFonts w:cstheme="minorHAnsi"/>
          <w:color w:val="000000" w:themeColor="text1"/>
          <w:sz w:val="24"/>
          <w:szCs w:val="24"/>
        </w:rPr>
      </w:pPr>
      <w:r w:rsidRPr="00087434">
        <w:rPr>
          <w:rFonts w:cstheme="minorHAnsi"/>
          <w:color w:val="000000" w:themeColor="text1"/>
          <w:sz w:val="24"/>
          <w:szCs w:val="24"/>
        </w:rPr>
        <w:t xml:space="preserve">The PHRN welcomes the opportunity to make this submission to the </w:t>
      </w:r>
      <w:r w:rsidR="00EB4650" w:rsidRPr="00087434">
        <w:rPr>
          <w:rFonts w:cstheme="minorHAnsi"/>
          <w:color w:val="000000" w:themeColor="text1"/>
          <w:sz w:val="24"/>
          <w:szCs w:val="24"/>
        </w:rPr>
        <w:t>Office of the Australian Information Commissioner</w:t>
      </w:r>
      <w:r w:rsidRPr="00087434">
        <w:rPr>
          <w:rFonts w:cstheme="minorHAnsi"/>
          <w:color w:val="000000" w:themeColor="text1"/>
          <w:sz w:val="24"/>
          <w:szCs w:val="24"/>
        </w:rPr>
        <w:t>.</w:t>
      </w:r>
    </w:p>
    <w:p w14:paraId="52C60959" w14:textId="13294E7A" w:rsidR="001A62A4" w:rsidRPr="00087434" w:rsidRDefault="001A62A4" w:rsidP="001A62A4">
      <w:pPr>
        <w:jc w:val="both"/>
        <w:rPr>
          <w:rFonts w:cstheme="minorHAnsi"/>
          <w:color w:val="000000" w:themeColor="text1"/>
          <w:sz w:val="24"/>
          <w:szCs w:val="24"/>
        </w:rPr>
      </w:pPr>
      <w:r w:rsidRPr="00087434">
        <w:rPr>
          <w:rFonts w:cstheme="minorHAnsi"/>
          <w:color w:val="000000" w:themeColor="text1"/>
          <w:sz w:val="24"/>
          <w:szCs w:val="24"/>
        </w:rPr>
        <w:t>The PHRN supports the</w:t>
      </w:r>
      <w:r w:rsidR="003165F2" w:rsidRPr="00087434">
        <w:rPr>
          <w:rFonts w:cstheme="minorHAnsi"/>
          <w:color w:val="000000" w:themeColor="text1"/>
          <w:sz w:val="24"/>
          <w:szCs w:val="24"/>
        </w:rPr>
        <w:t xml:space="preserve"> review of</w:t>
      </w:r>
      <w:r w:rsidRPr="00087434">
        <w:rPr>
          <w:rFonts w:cstheme="minorHAnsi"/>
          <w:color w:val="000000" w:themeColor="text1"/>
          <w:sz w:val="24"/>
          <w:szCs w:val="24"/>
        </w:rPr>
        <w:t xml:space="preserve"> </w:t>
      </w:r>
      <w:r w:rsidR="00DA4E78" w:rsidRPr="00087434">
        <w:rPr>
          <w:rFonts w:cstheme="minorHAnsi"/>
          <w:color w:val="000000" w:themeColor="text1"/>
          <w:sz w:val="24"/>
          <w:szCs w:val="24"/>
        </w:rPr>
        <w:t>National Health (Privacy) Rules 2018 (the Rules)</w:t>
      </w:r>
      <w:r w:rsidR="003165F2" w:rsidRPr="00087434">
        <w:rPr>
          <w:rFonts w:cstheme="minorHAnsi"/>
          <w:color w:val="000000" w:themeColor="text1"/>
          <w:sz w:val="24"/>
          <w:szCs w:val="24"/>
        </w:rPr>
        <w:t xml:space="preserve"> given changes in information technology and data security capability and attitudes to government data sharing.</w:t>
      </w:r>
      <w:r w:rsidR="00DA4E78" w:rsidRPr="00087434">
        <w:rPr>
          <w:rFonts w:cstheme="minorHAnsi"/>
          <w:color w:val="000000" w:themeColor="text1"/>
          <w:sz w:val="24"/>
          <w:szCs w:val="24"/>
        </w:rPr>
        <w:t xml:space="preserve"> </w:t>
      </w:r>
      <w:r w:rsidR="003165F2" w:rsidRPr="00087434">
        <w:rPr>
          <w:rFonts w:cstheme="minorHAnsi"/>
          <w:color w:val="000000" w:themeColor="text1"/>
          <w:sz w:val="24"/>
          <w:szCs w:val="24"/>
        </w:rPr>
        <w:t xml:space="preserve">The </w:t>
      </w:r>
      <w:r w:rsidR="00E23031">
        <w:rPr>
          <w:rFonts w:cstheme="minorHAnsi"/>
          <w:color w:val="000000" w:themeColor="text1"/>
          <w:sz w:val="24"/>
          <w:szCs w:val="24"/>
        </w:rPr>
        <w:t xml:space="preserve">PHRN </w:t>
      </w:r>
      <w:r w:rsidR="003165F2" w:rsidRPr="00087434">
        <w:rPr>
          <w:rFonts w:cstheme="minorHAnsi"/>
          <w:color w:val="000000" w:themeColor="text1"/>
          <w:sz w:val="24"/>
          <w:szCs w:val="24"/>
        </w:rPr>
        <w:t>strongly</w:t>
      </w:r>
      <w:r w:rsidR="00DA4E78" w:rsidRPr="00087434">
        <w:rPr>
          <w:rFonts w:cstheme="minorHAnsi"/>
          <w:color w:val="000000" w:themeColor="text1"/>
          <w:sz w:val="24"/>
          <w:szCs w:val="24"/>
        </w:rPr>
        <w:t xml:space="preserve"> </w:t>
      </w:r>
      <w:r w:rsidR="003165F2" w:rsidRPr="00087434">
        <w:rPr>
          <w:rFonts w:cstheme="minorHAnsi"/>
          <w:color w:val="000000" w:themeColor="text1"/>
          <w:sz w:val="24"/>
          <w:szCs w:val="24"/>
        </w:rPr>
        <w:t>supports the ongoing use of MBS and PBS data for research.</w:t>
      </w:r>
    </w:p>
    <w:p w14:paraId="0A615BC1" w14:textId="6D0C32E3" w:rsidR="006745B3" w:rsidRPr="00087434" w:rsidRDefault="00EB4650" w:rsidP="0023339A">
      <w:pPr>
        <w:jc w:val="both"/>
        <w:rPr>
          <w:rFonts w:cstheme="minorHAnsi"/>
          <w:color w:val="000000" w:themeColor="text1"/>
          <w:sz w:val="24"/>
          <w:szCs w:val="24"/>
        </w:rPr>
      </w:pPr>
      <w:r w:rsidRPr="00087434">
        <w:rPr>
          <w:rFonts w:cstheme="minorHAnsi"/>
          <w:color w:val="000000" w:themeColor="text1"/>
          <w:sz w:val="24"/>
          <w:szCs w:val="24"/>
        </w:rPr>
        <w:t xml:space="preserve">Our submission may be made publicly available. </w:t>
      </w:r>
    </w:p>
    <w:p w14:paraId="14B40EB5" w14:textId="260889FE" w:rsidR="006745B3" w:rsidRPr="00087434" w:rsidRDefault="006745B3" w:rsidP="0023339A">
      <w:pPr>
        <w:jc w:val="both"/>
        <w:rPr>
          <w:rFonts w:cstheme="minorHAnsi"/>
          <w:b/>
          <w:color w:val="C45911" w:themeColor="accent2" w:themeShade="BF"/>
          <w:sz w:val="24"/>
          <w:szCs w:val="24"/>
        </w:rPr>
      </w:pPr>
      <w:r w:rsidRPr="00087434">
        <w:rPr>
          <w:rFonts w:cstheme="minorHAnsi"/>
          <w:b/>
          <w:color w:val="C45911" w:themeColor="accent2" w:themeShade="BF"/>
          <w:sz w:val="24"/>
          <w:szCs w:val="24"/>
        </w:rPr>
        <w:t>Submission</w:t>
      </w:r>
    </w:p>
    <w:p w14:paraId="29EA2AA5" w14:textId="6EADAEBE" w:rsidR="008474E3" w:rsidRPr="00087434" w:rsidRDefault="00DA4E78" w:rsidP="008474E3">
      <w:pPr>
        <w:rPr>
          <w:rFonts w:cstheme="minorHAnsi"/>
          <w:sz w:val="24"/>
          <w:szCs w:val="24"/>
        </w:rPr>
      </w:pPr>
      <w:r w:rsidRPr="00087434">
        <w:rPr>
          <w:rFonts w:cstheme="minorHAnsi"/>
          <w:sz w:val="24"/>
          <w:szCs w:val="24"/>
        </w:rPr>
        <w:t>The National Health (Privacy) Rules 2018 (the Rules) as they currently stand allow the disclosure of claims information for medical research. We advocate for the Rules to continue to support research. We recommend changes to admit for altered technology (increased cyber security and secure environments), and to encourage faster and more efficient access to data to enable research outputs to inform policy.</w:t>
      </w:r>
    </w:p>
    <w:p w14:paraId="59E25A1A" w14:textId="77777777" w:rsidR="00E976C0" w:rsidRPr="00087434" w:rsidRDefault="00F77BAE" w:rsidP="002E5463">
      <w:pPr>
        <w:pStyle w:val="Subtitle"/>
        <w:rPr>
          <w:rStyle w:val="Emphasis"/>
          <w:rFonts w:cstheme="minorHAnsi"/>
          <w:b/>
          <w:bCs/>
          <w:i w:val="0"/>
          <w:iCs w:val="0"/>
          <w:color w:val="auto"/>
          <w:sz w:val="24"/>
          <w:szCs w:val="24"/>
        </w:rPr>
      </w:pPr>
      <w:r w:rsidRPr="00087434">
        <w:rPr>
          <w:rStyle w:val="Emphasis"/>
          <w:rFonts w:cstheme="minorHAnsi"/>
          <w:b/>
          <w:bCs/>
          <w:i w:val="0"/>
          <w:iCs w:val="0"/>
          <w:color w:val="auto"/>
          <w:sz w:val="24"/>
          <w:szCs w:val="24"/>
        </w:rPr>
        <w:t>Restrictions on linking MBS and PBS data</w:t>
      </w:r>
      <w:r w:rsidR="00E976C0" w:rsidRPr="00087434">
        <w:rPr>
          <w:rStyle w:val="Emphasis"/>
          <w:rFonts w:cstheme="minorHAnsi"/>
          <w:b/>
          <w:bCs/>
          <w:i w:val="0"/>
          <w:iCs w:val="0"/>
          <w:color w:val="auto"/>
          <w:sz w:val="24"/>
          <w:szCs w:val="24"/>
        </w:rPr>
        <w:t>: Disclosure of claims information for medical research</w:t>
      </w:r>
    </w:p>
    <w:p w14:paraId="359D9AA5" w14:textId="77777777" w:rsidR="00F77BAE" w:rsidRPr="00087434" w:rsidRDefault="00F77BAE" w:rsidP="00F77BAE">
      <w:pPr>
        <w:pStyle w:val="ListParagraph"/>
        <w:ind w:left="0"/>
        <w:rPr>
          <w:rFonts w:cstheme="minorHAnsi"/>
          <w:sz w:val="24"/>
          <w:szCs w:val="24"/>
        </w:rPr>
      </w:pPr>
      <w:r w:rsidRPr="00087434">
        <w:rPr>
          <w:rFonts w:cstheme="minorHAnsi"/>
          <w:sz w:val="24"/>
          <w:szCs w:val="24"/>
        </w:rPr>
        <w:t xml:space="preserve">The Rules permit Services Australia to disclose claims information to researchers for the purpose of medical research in certain circumstances. Claims information that identifies an individual may only be disclosed with that individual’s consent or in compliance with the guidelines issued by the National Health and Medical Research Council (NHMRC) under section 95 of the Privacy Act. </w:t>
      </w:r>
    </w:p>
    <w:p w14:paraId="3A09EF13" w14:textId="77777777" w:rsidR="00F77BAE" w:rsidRPr="00087434" w:rsidRDefault="00F77BAE" w:rsidP="009130B3">
      <w:pPr>
        <w:pStyle w:val="ListParagraph"/>
        <w:ind w:left="0"/>
        <w:rPr>
          <w:rFonts w:cstheme="minorHAnsi"/>
          <w:sz w:val="24"/>
          <w:szCs w:val="24"/>
        </w:rPr>
      </w:pPr>
    </w:p>
    <w:p w14:paraId="2BCEBEF9" w14:textId="18099880" w:rsidR="00F77BAE" w:rsidRPr="00087434" w:rsidRDefault="00F77BAE" w:rsidP="00F77BAE">
      <w:pPr>
        <w:pStyle w:val="ListParagraph"/>
        <w:ind w:left="0"/>
        <w:rPr>
          <w:rFonts w:cstheme="minorHAnsi"/>
          <w:sz w:val="24"/>
          <w:szCs w:val="24"/>
        </w:rPr>
      </w:pPr>
      <w:r w:rsidRPr="00087434">
        <w:rPr>
          <w:rFonts w:cstheme="minorHAnsi"/>
          <w:sz w:val="24"/>
          <w:szCs w:val="24"/>
        </w:rPr>
        <w:t xml:space="preserve">Presently there are restrictions in both legislation and subordinate legislation that strictly constrain the linkage of MBS and PBS data. Data linkage technology has transformed significantly in the last few decades, and the technologies available to protect privacy have increased dramatically. As technology has increased and researchers have become able to conduct more complex analysis of combined datasets, the demand for linked data has also grown. This requires a revision of the restrictions that have been placed on this data.  </w:t>
      </w:r>
    </w:p>
    <w:p w14:paraId="432C19AD" w14:textId="77777777" w:rsidR="00E976C0" w:rsidRPr="00087434" w:rsidRDefault="00E976C0" w:rsidP="00F77BAE">
      <w:pPr>
        <w:pStyle w:val="ListParagraph"/>
        <w:ind w:left="0"/>
        <w:rPr>
          <w:rFonts w:cstheme="minorHAnsi"/>
          <w:sz w:val="24"/>
          <w:szCs w:val="24"/>
        </w:rPr>
      </w:pPr>
    </w:p>
    <w:p w14:paraId="56B8E0D4" w14:textId="2332B883" w:rsidR="003165F2" w:rsidRPr="00087434" w:rsidRDefault="009130B3" w:rsidP="00F77BAE">
      <w:pPr>
        <w:pStyle w:val="ListParagraph"/>
        <w:ind w:left="0"/>
        <w:rPr>
          <w:rFonts w:cstheme="minorHAnsi"/>
          <w:sz w:val="24"/>
          <w:szCs w:val="24"/>
        </w:rPr>
      </w:pPr>
      <w:r w:rsidRPr="00087434">
        <w:rPr>
          <w:rFonts w:cstheme="minorHAnsi"/>
          <w:sz w:val="24"/>
          <w:szCs w:val="24"/>
        </w:rPr>
        <w:t>The current approach creates a number of issues for researchers, including negative impacts on the timeliness, quality, and completeness of data, significant delays in researcher access to data, significant costs to the research team, and subsequent loss of the true value of the data.</w:t>
      </w:r>
      <w:r w:rsidRPr="00087434">
        <w:rPr>
          <w:rFonts w:cstheme="minorHAnsi"/>
          <w:i/>
          <w:iCs/>
          <w:sz w:val="24"/>
          <w:szCs w:val="24"/>
        </w:rPr>
        <w:t xml:space="preserve"> </w:t>
      </w:r>
      <w:r w:rsidR="00E976C0" w:rsidRPr="00087434">
        <w:rPr>
          <w:rFonts w:cstheme="minorHAnsi"/>
          <w:sz w:val="24"/>
          <w:szCs w:val="24"/>
        </w:rPr>
        <w:t xml:space="preserve">MBS and PBS data are of such fundamental importance for health service planning and research, as well as </w:t>
      </w:r>
      <w:r w:rsidR="0095547E" w:rsidRPr="00087434">
        <w:rPr>
          <w:rFonts w:cstheme="minorHAnsi"/>
          <w:sz w:val="24"/>
          <w:szCs w:val="24"/>
        </w:rPr>
        <w:t>evidence-based</w:t>
      </w:r>
      <w:r w:rsidR="00E976C0" w:rsidRPr="00087434">
        <w:rPr>
          <w:rFonts w:cstheme="minorHAnsi"/>
          <w:sz w:val="24"/>
          <w:szCs w:val="24"/>
        </w:rPr>
        <w:t xml:space="preserve"> care, that easier access to the data via more standardised processes is critical.  </w:t>
      </w:r>
    </w:p>
    <w:p w14:paraId="4695E228" w14:textId="77777777" w:rsidR="003165F2" w:rsidRPr="00087434" w:rsidRDefault="003165F2" w:rsidP="00F77BAE">
      <w:pPr>
        <w:pStyle w:val="ListParagraph"/>
        <w:ind w:left="0"/>
        <w:rPr>
          <w:rFonts w:cstheme="minorHAnsi"/>
          <w:sz w:val="24"/>
          <w:szCs w:val="24"/>
        </w:rPr>
      </w:pPr>
    </w:p>
    <w:p w14:paraId="3AFE86D5" w14:textId="77777777" w:rsidR="003165F2" w:rsidRPr="00087434" w:rsidRDefault="003165F2" w:rsidP="003165F2">
      <w:pPr>
        <w:pStyle w:val="Subtitle"/>
        <w:rPr>
          <w:rStyle w:val="Emphasis"/>
          <w:rFonts w:cstheme="minorHAnsi"/>
          <w:b/>
          <w:bCs/>
          <w:i w:val="0"/>
          <w:iCs w:val="0"/>
          <w:color w:val="auto"/>
          <w:sz w:val="24"/>
          <w:szCs w:val="24"/>
        </w:rPr>
      </w:pPr>
      <w:r w:rsidRPr="00087434">
        <w:rPr>
          <w:rStyle w:val="Emphasis"/>
          <w:rFonts w:cstheme="minorHAnsi"/>
          <w:b/>
          <w:bCs/>
          <w:i w:val="0"/>
          <w:iCs w:val="0"/>
          <w:color w:val="auto"/>
          <w:sz w:val="24"/>
          <w:szCs w:val="24"/>
        </w:rPr>
        <w:t>Interaction with the APPs</w:t>
      </w:r>
    </w:p>
    <w:p w14:paraId="54E316F0" w14:textId="02178480" w:rsidR="003165F2" w:rsidRPr="00087434" w:rsidRDefault="003165F2" w:rsidP="003165F2">
      <w:pPr>
        <w:pStyle w:val="ListParagraph"/>
        <w:ind w:left="0"/>
        <w:rPr>
          <w:rFonts w:cstheme="minorHAnsi"/>
          <w:b/>
          <w:bCs/>
          <w:sz w:val="24"/>
          <w:szCs w:val="24"/>
        </w:rPr>
      </w:pPr>
      <w:r w:rsidRPr="00087434">
        <w:rPr>
          <w:rFonts w:cstheme="minorHAnsi"/>
          <w:sz w:val="24"/>
          <w:szCs w:val="24"/>
        </w:rPr>
        <w:t>There seems to be no reason why MBS and PBS data should be subject to different or more stringent privacy regulations than any other personal health information in regard to its use for research</w:t>
      </w:r>
      <w:r w:rsidRPr="00087434">
        <w:rPr>
          <w:rFonts w:cstheme="minorHAnsi"/>
          <w:b/>
          <w:bCs/>
          <w:sz w:val="24"/>
          <w:szCs w:val="24"/>
        </w:rPr>
        <w:t xml:space="preserve">. </w:t>
      </w:r>
      <w:r w:rsidRPr="00087434">
        <w:rPr>
          <w:rFonts w:cstheme="minorHAnsi"/>
          <w:bCs/>
          <w:sz w:val="24"/>
          <w:szCs w:val="24"/>
        </w:rPr>
        <w:t xml:space="preserve">Australia as a long </w:t>
      </w:r>
      <w:r w:rsidRPr="00087434">
        <w:rPr>
          <w:rFonts w:cstheme="minorHAnsi"/>
          <w:bCs/>
          <w:sz w:val="24"/>
          <w:szCs w:val="24"/>
        </w:rPr>
        <w:lastRenderedPageBreak/>
        <w:t xml:space="preserve">record of safely using personal health information for research in compliance with the section 95 Guidelines and the National Statement on Ethical Conduct in Human Research. </w:t>
      </w:r>
      <w:r w:rsidRPr="00087434">
        <w:rPr>
          <w:rFonts w:cstheme="minorHAnsi"/>
          <w:b/>
          <w:bCs/>
          <w:sz w:val="24"/>
          <w:szCs w:val="24"/>
        </w:rPr>
        <w:t xml:space="preserve"> </w:t>
      </w:r>
    </w:p>
    <w:p w14:paraId="26F3CCB5" w14:textId="77777777" w:rsidR="003165F2" w:rsidRPr="00087434" w:rsidRDefault="003165F2" w:rsidP="003165F2">
      <w:pPr>
        <w:pStyle w:val="ListParagraph"/>
        <w:ind w:left="0"/>
        <w:rPr>
          <w:rFonts w:cstheme="minorHAnsi"/>
          <w:b/>
          <w:bCs/>
          <w:sz w:val="24"/>
          <w:szCs w:val="24"/>
        </w:rPr>
      </w:pPr>
    </w:p>
    <w:p w14:paraId="7200F539" w14:textId="77777777" w:rsidR="003165F2" w:rsidRPr="00087434" w:rsidRDefault="003165F2" w:rsidP="003165F2">
      <w:pPr>
        <w:pStyle w:val="ListParagraph"/>
        <w:ind w:left="0"/>
        <w:rPr>
          <w:rFonts w:cstheme="minorHAnsi"/>
          <w:b/>
          <w:bCs/>
          <w:iCs/>
          <w:sz w:val="24"/>
          <w:szCs w:val="24"/>
        </w:rPr>
      </w:pPr>
      <w:r w:rsidRPr="00087434">
        <w:rPr>
          <w:rFonts w:cstheme="minorHAnsi"/>
          <w:b/>
          <w:bCs/>
          <w:sz w:val="24"/>
          <w:szCs w:val="24"/>
        </w:rPr>
        <w:t>We recommend that no additional requirements should apply to the use and disclosure of MBS and PBS data for medical research over and above the APPs including provisions for consent, waiver of consent and ‘opt-out’ approaches.</w:t>
      </w:r>
      <w:r w:rsidRPr="00087434">
        <w:rPr>
          <w:rFonts w:cstheme="minorHAnsi"/>
          <w:b/>
          <w:bCs/>
          <w:i/>
          <w:iCs/>
          <w:sz w:val="24"/>
          <w:szCs w:val="24"/>
        </w:rPr>
        <w:t xml:space="preserve"> </w:t>
      </w:r>
    </w:p>
    <w:p w14:paraId="6B0ADCCE" w14:textId="77777777" w:rsidR="003165F2" w:rsidRPr="00087434" w:rsidRDefault="003165F2" w:rsidP="00F77BAE">
      <w:pPr>
        <w:pStyle w:val="ListParagraph"/>
        <w:ind w:left="0"/>
        <w:rPr>
          <w:rFonts w:cstheme="minorHAnsi"/>
          <w:sz w:val="24"/>
          <w:szCs w:val="24"/>
        </w:rPr>
      </w:pPr>
    </w:p>
    <w:p w14:paraId="5FE63CA4" w14:textId="5B15BFE0" w:rsidR="003165F2" w:rsidRPr="00087434" w:rsidRDefault="003165F2" w:rsidP="003165F2">
      <w:pPr>
        <w:pStyle w:val="Subtitle"/>
        <w:rPr>
          <w:rStyle w:val="Emphasis"/>
          <w:rFonts w:cstheme="minorHAnsi"/>
          <w:b/>
          <w:bCs/>
          <w:i w:val="0"/>
          <w:iCs w:val="0"/>
          <w:color w:val="auto"/>
          <w:sz w:val="24"/>
          <w:szCs w:val="24"/>
        </w:rPr>
      </w:pPr>
      <w:r w:rsidRPr="00087434">
        <w:rPr>
          <w:rStyle w:val="Emphasis"/>
          <w:rFonts w:cstheme="minorHAnsi"/>
          <w:b/>
          <w:bCs/>
          <w:i w:val="0"/>
          <w:iCs w:val="0"/>
          <w:color w:val="auto"/>
          <w:sz w:val="24"/>
          <w:szCs w:val="24"/>
        </w:rPr>
        <w:t>Old information</w:t>
      </w:r>
    </w:p>
    <w:p w14:paraId="33E88812" w14:textId="77777777" w:rsidR="003165F2" w:rsidRPr="00087434" w:rsidRDefault="003165F2" w:rsidP="003165F2">
      <w:pPr>
        <w:rPr>
          <w:rFonts w:cstheme="minorHAnsi"/>
          <w:sz w:val="24"/>
          <w:szCs w:val="24"/>
        </w:rPr>
      </w:pPr>
      <w:r w:rsidRPr="00087434">
        <w:rPr>
          <w:rFonts w:cstheme="minorHAnsi"/>
          <w:sz w:val="24"/>
          <w:szCs w:val="24"/>
        </w:rPr>
        <w:t>The requirement to store old information separately from newer information and MBS from PBS has had the effect of making application and approval processes for access to MBS and PBS data for research more complicated. This significantly hampers the conduct of important research in the public interest.</w:t>
      </w:r>
    </w:p>
    <w:p w14:paraId="7AB8FC04" w14:textId="77777777" w:rsidR="003165F2" w:rsidRPr="00087434" w:rsidRDefault="003165F2" w:rsidP="003165F2">
      <w:pPr>
        <w:rPr>
          <w:rFonts w:cstheme="minorHAnsi"/>
          <w:b/>
          <w:bCs/>
          <w:sz w:val="24"/>
          <w:szCs w:val="24"/>
        </w:rPr>
      </w:pPr>
      <w:r w:rsidRPr="00087434">
        <w:rPr>
          <w:rFonts w:cstheme="minorHAnsi"/>
          <w:b/>
          <w:bCs/>
          <w:sz w:val="24"/>
          <w:szCs w:val="24"/>
        </w:rPr>
        <w:t xml:space="preserve">We recommend that the provisions in the Rules specifying separate storage of MBS and PBS data, and that old information be treated differently, be dropped. </w:t>
      </w:r>
    </w:p>
    <w:p w14:paraId="25A931B9" w14:textId="77777777" w:rsidR="003165F2" w:rsidRPr="00087434" w:rsidRDefault="003165F2" w:rsidP="003165F2">
      <w:pPr>
        <w:rPr>
          <w:rFonts w:cstheme="minorHAnsi"/>
          <w:sz w:val="24"/>
          <w:szCs w:val="24"/>
        </w:rPr>
      </w:pPr>
    </w:p>
    <w:p w14:paraId="037E1A6F" w14:textId="77777777" w:rsidR="003165F2" w:rsidRPr="00087434" w:rsidRDefault="003165F2" w:rsidP="003165F2">
      <w:pPr>
        <w:pStyle w:val="Subtitle"/>
        <w:rPr>
          <w:rStyle w:val="Emphasis"/>
          <w:rFonts w:cstheme="minorHAnsi"/>
          <w:b/>
          <w:bCs/>
          <w:i w:val="0"/>
          <w:iCs w:val="0"/>
          <w:color w:val="000000" w:themeColor="text1"/>
          <w:sz w:val="24"/>
          <w:szCs w:val="24"/>
        </w:rPr>
      </w:pPr>
      <w:r w:rsidRPr="00087434">
        <w:rPr>
          <w:rStyle w:val="Emphasis"/>
          <w:rFonts w:cstheme="minorHAnsi"/>
          <w:b/>
          <w:bCs/>
          <w:i w:val="0"/>
          <w:iCs w:val="0"/>
          <w:color w:val="000000" w:themeColor="text1"/>
          <w:sz w:val="24"/>
          <w:szCs w:val="24"/>
        </w:rPr>
        <w:t>Disclosure of claims information for medical research</w:t>
      </w:r>
    </w:p>
    <w:p w14:paraId="724C3CCE" w14:textId="77777777" w:rsidR="003165F2" w:rsidRPr="00087434" w:rsidRDefault="003165F2" w:rsidP="003165F2">
      <w:pPr>
        <w:rPr>
          <w:rFonts w:cstheme="minorHAnsi"/>
          <w:sz w:val="24"/>
          <w:szCs w:val="24"/>
        </w:rPr>
      </w:pPr>
      <w:r w:rsidRPr="00087434">
        <w:rPr>
          <w:rFonts w:cstheme="minorHAnsi"/>
          <w:sz w:val="24"/>
          <w:szCs w:val="24"/>
        </w:rPr>
        <w:t>Current processes used by Services Australia for release of data for research with consent appear to go beyond the requirements of the Rules, section 95 Guidelines and the National Statement on Ethical Conduct in Human Research. The current requirements for providing evidence of consent to Services Australia for research studies are inflexible and inconsistent with the consent requirements of the National Statement, particularly the following sections:</w:t>
      </w:r>
    </w:p>
    <w:p w14:paraId="71C5935C" w14:textId="77777777" w:rsidR="003165F2" w:rsidRPr="00087434" w:rsidRDefault="003165F2" w:rsidP="003165F2">
      <w:pPr>
        <w:ind w:left="720"/>
        <w:rPr>
          <w:rFonts w:cstheme="minorHAnsi"/>
          <w:i/>
          <w:sz w:val="24"/>
          <w:szCs w:val="24"/>
        </w:rPr>
      </w:pPr>
      <w:r w:rsidRPr="00087434">
        <w:rPr>
          <w:rFonts w:cstheme="minorHAnsi"/>
          <w:i/>
          <w:sz w:val="24"/>
          <w:szCs w:val="24"/>
        </w:rPr>
        <w:t>2.2.3 This information must be presented in ways suitable to each participant (see paragraph 5.2.17).</w:t>
      </w:r>
    </w:p>
    <w:p w14:paraId="43B3193F" w14:textId="77777777" w:rsidR="003165F2" w:rsidRPr="00087434" w:rsidRDefault="003165F2" w:rsidP="003165F2">
      <w:pPr>
        <w:ind w:left="720"/>
        <w:rPr>
          <w:rFonts w:cstheme="minorHAnsi"/>
          <w:i/>
          <w:sz w:val="24"/>
          <w:szCs w:val="24"/>
        </w:rPr>
      </w:pPr>
      <w:r w:rsidRPr="00087434">
        <w:rPr>
          <w:rFonts w:cstheme="minorHAnsi"/>
          <w:i/>
          <w:sz w:val="24"/>
          <w:szCs w:val="24"/>
        </w:rPr>
        <w:t>2.2.4 The process of communicating information to participants and seeking their consent should not be merely a matter of satisfying a formal requirement. The aim is mutual understanding between researchers and participants. This aim requires an opportunity for participants to ask questions and to discuss the information and their decision with others if they wish.</w:t>
      </w:r>
    </w:p>
    <w:p w14:paraId="48DC6439" w14:textId="77777777" w:rsidR="003165F2" w:rsidRPr="00087434" w:rsidRDefault="003165F2" w:rsidP="003165F2">
      <w:pPr>
        <w:ind w:left="720"/>
        <w:rPr>
          <w:rFonts w:cstheme="minorHAnsi"/>
          <w:i/>
          <w:sz w:val="24"/>
          <w:szCs w:val="24"/>
        </w:rPr>
      </w:pPr>
      <w:r w:rsidRPr="00087434">
        <w:rPr>
          <w:rFonts w:cstheme="minorHAnsi"/>
          <w:i/>
          <w:sz w:val="24"/>
          <w:szCs w:val="24"/>
        </w:rPr>
        <w:t>5.2.17 Information about research should be presented to participants in ways that help them to make good choices about their participation, and support them in that participation. These ways must take into account:</w:t>
      </w:r>
    </w:p>
    <w:p w14:paraId="49FDAC7B" w14:textId="77777777" w:rsidR="003165F2" w:rsidRPr="00087434" w:rsidRDefault="003165F2" w:rsidP="003165F2">
      <w:pPr>
        <w:spacing w:after="0"/>
        <w:ind w:left="1440"/>
        <w:rPr>
          <w:rFonts w:cstheme="minorHAnsi"/>
          <w:i/>
          <w:sz w:val="24"/>
          <w:szCs w:val="24"/>
        </w:rPr>
      </w:pPr>
      <w:r w:rsidRPr="00087434">
        <w:rPr>
          <w:rFonts w:cstheme="minorHAnsi"/>
          <w:i/>
          <w:sz w:val="24"/>
          <w:szCs w:val="24"/>
        </w:rPr>
        <w:t>(a) whether the information is best communicated through speech, writing, some other way, or a combination of these;</w:t>
      </w:r>
    </w:p>
    <w:p w14:paraId="23CED95B" w14:textId="77777777" w:rsidR="003165F2" w:rsidRPr="00087434" w:rsidRDefault="003165F2" w:rsidP="003165F2">
      <w:pPr>
        <w:spacing w:after="0"/>
        <w:ind w:left="1440"/>
        <w:rPr>
          <w:rFonts w:cstheme="minorHAnsi"/>
          <w:i/>
          <w:sz w:val="24"/>
          <w:szCs w:val="24"/>
        </w:rPr>
      </w:pPr>
      <w:r w:rsidRPr="00087434">
        <w:rPr>
          <w:rFonts w:cstheme="minorHAnsi"/>
          <w:i/>
          <w:sz w:val="24"/>
          <w:szCs w:val="24"/>
        </w:rPr>
        <w:t>(b) the need for accurate and reliable translation (written and/or oral) into a participant’s first language or dialect;</w:t>
      </w:r>
    </w:p>
    <w:p w14:paraId="51753666" w14:textId="77777777" w:rsidR="003165F2" w:rsidRPr="00087434" w:rsidRDefault="003165F2" w:rsidP="003165F2">
      <w:pPr>
        <w:spacing w:after="0"/>
        <w:ind w:left="1440"/>
        <w:rPr>
          <w:rFonts w:cstheme="minorHAnsi"/>
          <w:i/>
          <w:sz w:val="24"/>
          <w:szCs w:val="24"/>
        </w:rPr>
      </w:pPr>
      <w:r w:rsidRPr="00087434">
        <w:rPr>
          <w:rFonts w:cstheme="minorHAnsi"/>
          <w:i/>
          <w:sz w:val="24"/>
          <w:szCs w:val="24"/>
        </w:rPr>
        <w:t>(c) culture and its effects on how language (English or other) is understood;</w:t>
      </w:r>
    </w:p>
    <w:p w14:paraId="18B4C5B1" w14:textId="77777777" w:rsidR="003165F2" w:rsidRPr="00087434" w:rsidRDefault="003165F2" w:rsidP="003165F2">
      <w:pPr>
        <w:spacing w:after="0"/>
        <w:ind w:left="1440"/>
        <w:rPr>
          <w:rFonts w:cstheme="minorHAnsi"/>
          <w:i/>
          <w:sz w:val="24"/>
          <w:szCs w:val="24"/>
        </w:rPr>
      </w:pPr>
      <w:r w:rsidRPr="00087434">
        <w:rPr>
          <w:rFonts w:cstheme="minorHAnsi"/>
          <w:i/>
          <w:sz w:val="24"/>
          <w:szCs w:val="24"/>
        </w:rPr>
        <w:t>(d) educational background and level;</w:t>
      </w:r>
    </w:p>
    <w:p w14:paraId="6A10DA96" w14:textId="77777777" w:rsidR="003165F2" w:rsidRPr="00087434" w:rsidRDefault="003165F2" w:rsidP="003165F2">
      <w:pPr>
        <w:spacing w:after="0"/>
        <w:ind w:left="1440"/>
        <w:rPr>
          <w:rFonts w:cstheme="minorHAnsi"/>
          <w:i/>
          <w:sz w:val="24"/>
          <w:szCs w:val="24"/>
        </w:rPr>
      </w:pPr>
      <w:r w:rsidRPr="00087434">
        <w:rPr>
          <w:rFonts w:cstheme="minorHAnsi"/>
          <w:i/>
          <w:sz w:val="24"/>
          <w:szCs w:val="24"/>
        </w:rPr>
        <w:t>(e) age;</w:t>
      </w:r>
    </w:p>
    <w:p w14:paraId="143AF50E" w14:textId="7302BE8D" w:rsidR="003165F2" w:rsidRPr="00087434" w:rsidRDefault="003165F2" w:rsidP="00087434">
      <w:pPr>
        <w:spacing w:after="0"/>
        <w:ind w:left="1440"/>
        <w:rPr>
          <w:rFonts w:cstheme="minorHAnsi"/>
          <w:sz w:val="24"/>
          <w:szCs w:val="24"/>
        </w:rPr>
      </w:pPr>
      <w:r w:rsidRPr="00087434">
        <w:rPr>
          <w:rFonts w:cstheme="minorHAnsi"/>
          <w:i/>
          <w:sz w:val="24"/>
          <w:szCs w:val="24"/>
        </w:rPr>
        <w:t>(f) visual, hearing or communication impairment.</w:t>
      </w:r>
    </w:p>
    <w:p w14:paraId="29661ECF" w14:textId="77777777" w:rsidR="00087434" w:rsidRDefault="003165F2" w:rsidP="00087434">
      <w:pPr>
        <w:rPr>
          <w:rFonts w:cstheme="minorHAnsi"/>
          <w:sz w:val="24"/>
          <w:szCs w:val="24"/>
        </w:rPr>
      </w:pPr>
      <w:r w:rsidRPr="00087434">
        <w:rPr>
          <w:rFonts w:cstheme="minorHAnsi"/>
          <w:sz w:val="24"/>
          <w:szCs w:val="24"/>
        </w:rPr>
        <w:t xml:space="preserve">In addition, Clause 12(2) of the Rules requires that even when a research participant has provided consent for future research uses of their MBS and PBS data in line with the requirements of the National Statement (2.2.14) the data must be destroyed at “the conclusion of the project”. </w:t>
      </w:r>
    </w:p>
    <w:p w14:paraId="6A5CF87E" w14:textId="5EDEEE3A" w:rsidR="003165F2" w:rsidRPr="00087434" w:rsidRDefault="003165F2" w:rsidP="00087434">
      <w:pPr>
        <w:rPr>
          <w:b/>
          <w:iCs/>
        </w:rPr>
      </w:pPr>
      <w:r w:rsidRPr="00087434">
        <w:rPr>
          <w:b/>
        </w:rPr>
        <w:lastRenderedPageBreak/>
        <w:t xml:space="preserve">We recommend that clause 12(1) is kept, acknowledging that it reflects obligations that already apply under the Privacy Act and related laws. However, the inclusion of this provision clarifies that claims information may be used for medical research purposes. We recommend that clause 12(2) is deleted as it is adds unnecessary limitations on research use. </w:t>
      </w:r>
    </w:p>
    <w:p w14:paraId="0BB5E646" w14:textId="77777777" w:rsidR="003165F2" w:rsidRPr="00087434" w:rsidRDefault="003165F2" w:rsidP="003165F2">
      <w:pPr>
        <w:pStyle w:val="ListParagraph"/>
        <w:ind w:left="0"/>
        <w:rPr>
          <w:rFonts w:cstheme="minorHAnsi"/>
          <w:sz w:val="24"/>
          <w:szCs w:val="24"/>
        </w:rPr>
      </w:pPr>
    </w:p>
    <w:p w14:paraId="5C4FBF81" w14:textId="77777777" w:rsidR="003165F2" w:rsidRPr="00087434" w:rsidRDefault="003165F2" w:rsidP="003165F2">
      <w:pPr>
        <w:pStyle w:val="ListParagraph"/>
        <w:ind w:left="0"/>
        <w:rPr>
          <w:rFonts w:cstheme="minorHAnsi"/>
          <w:sz w:val="24"/>
          <w:szCs w:val="24"/>
        </w:rPr>
      </w:pPr>
      <w:r w:rsidRPr="00087434">
        <w:rPr>
          <w:rFonts w:cstheme="minorHAnsi"/>
          <w:sz w:val="24"/>
          <w:szCs w:val="24"/>
        </w:rPr>
        <w:t xml:space="preserve">Advancements in the ability to link data across multiple sectors has also opened new opportunities for the use of MBS/PBS data in population research that extend beyond the traditional medical research to environmental and social determinants of health. </w:t>
      </w:r>
    </w:p>
    <w:p w14:paraId="7A729AEA" w14:textId="77777777" w:rsidR="003165F2" w:rsidRPr="00087434" w:rsidRDefault="003165F2" w:rsidP="003165F2">
      <w:pPr>
        <w:pStyle w:val="ListParagraph"/>
        <w:ind w:left="0"/>
        <w:rPr>
          <w:rFonts w:cstheme="minorHAnsi"/>
          <w:sz w:val="24"/>
          <w:szCs w:val="24"/>
        </w:rPr>
      </w:pPr>
    </w:p>
    <w:p w14:paraId="19AE0828" w14:textId="77777777" w:rsidR="003165F2" w:rsidRPr="00087434" w:rsidRDefault="003165F2" w:rsidP="003165F2">
      <w:pPr>
        <w:pStyle w:val="ListParagraph"/>
        <w:ind w:left="0"/>
        <w:rPr>
          <w:rFonts w:cstheme="minorHAnsi"/>
          <w:b/>
          <w:bCs/>
          <w:i/>
          <w:iCs/>
          <w:sz w:val="24"/>
          <w:szCs w:val="24"/>
        </w:rPr>
      </w:pPr>
      <w:r w:rsidRPr="00087434">
        <w:rPr>
          <w:rFonts w:cstheme="minorHAnsi"/>
          <w:b/>
          <w:bCs/>
          <w:sz w:val="24"/>
          <w:szCs w:val="24"/>
        </w:rPr>
        <w:t>We support the release of MBS/PBS data for research that may not traditionally be classified as medical research.</w:t>
      </w:r>
      <w:r w:rsidRPr="00087434">
        <w:rPr>
          <w:rFonts w:cstheme="minorHAnsi"/>
          <w:b/>
          <w:bCs/>
          <w:i/>
          <w:iCs/>
          <w:sz w:val="24"/>
          <w:szCs w:val="24"/>
        </w:rPr>
        <w:t xml:space="preserve">  </w:t>
      </w:r>
    </w:p>
    <w:p w14:paraId="0E29907C" w14:textId="21C07B5F" w:rsidR="003165F2" w:rsidRPr="00087434" w:rsidRDefault="003165F2" w:rsidP="00F77BAE">
      <w:pPr>
        <w:pStyle w:val="ListParagraph"/>
        <w:ind w:left="0"/>
        <w:rPr>
          <w:rFonts w:cstheme="minorHAnsi"/>
          <w:sz w:val="24"/>
          <w:szCs w:val="24"/>
        </w:rPr>
      </w:pPr>
    </w:p>
    <w:p w14:paraId="7049B6AA" w14:textId="349ECD26" w:rsidR="003165F2" w:rsidRPr="00087434" w:rsidRDefault="003165F2" w:rsidP="003165F2">
      <w:pPr>
        <w:pStyle w:val="Subtitle"/>
        <w:rPr>
          <w:rStyle w:val="Emphasis"/>
          <w:rFonts w:cstheme="minorHAnsi"/>
          <w:b/>
          <w:bCs/>
          <w:i w:val="0"/>
          <w:iCs w:val="0"/>
          <w:color w:val="000000" w:themeColor="text1"/>
          <w:sz w:val="24"/>
          <w:szCs w:val="24"/>
        </w:rPr>
      </w:pPr>
      <w:r w:rsidRPr="00087434">
        <w:rPr>
          <w:rStyle w:val="Emphasis"/>
          <w:rFonts w:cstheme="minorHAnsi"/>
          <w:b/>
          <w:bCs/>
          <w:i w:val="0"/>
          <w:iCs w:val="0"/>
          <w:color w:val="000000" w:themeColor="text1"/>
          <w:sz w:val="24"/>
          <w:szCs w:val="24"/>
        </w:rPr>
        <w:t>Use of claims information</w:t>
      </w:r>
    </w:p>
    <w:p w14:paraId="4AFA8CD6" w14:textId="21EB1642" w:rsidR="003165F2" w:rsidRPr="00087434" w:rsidRDefault="003165F2" w:rsidP="003165F2">
      <w:pPr>
        <w:rPr>
          <w:rFonts w:cstheme="minorHAnsi"/>
          <w:sz w:val="24"/>
          <w:szCs w:val="24"/>
        </w:rPr>
      </w:pPr>
      <w:r w:rsidRPr="00087434">
        <w:rPr>
          <w:rFonts w:cstheme="minorHAnsi"/>
          <w:sz w:val="24"/>
          <w:szCs w:val="24"/>
        </w:rPr>
        <w:t xml:space="preserve">The highest quality linkage for research purposes is only achieved using identifiable data and linking on an enduring basis. The disposal of links after every MBS and PBS linkage is delaying important research and limits Australia’s ability to respond to health emergencies such as the COVID 19 pandemic. The constant re-linking of the same data is resource intensive and wasteful. The increasing volume of data in the MBS and PBS databases means that these non-enduring linkages must be re-established constantly. This is resource intensive for the Australian Institute of Health and Welfare and the Department of Health, and frustratingly slow for the researchers. Timeframes for receipt of data from these databases can be between two to three years. This reduces the impact of the research on clinical practice and health </w:t>
      </w:r>
      <w:r w:rsidR="0095547E" w:rsidRPr="00087434">
        <w:rPr>
          <w:rFonts w:cstheme="minorHAnsi"/>
          <w:sz w:val="24"/>
          <w:szCs w:val="24"/>
        </w:rPr>
        <w:t>policy and</w:t>
      </w:r>
      <w:r w:rsidRPr="00087434">
        <w:rPr>
          <w:rFonts w:cstheme="minorHAnsi"/>
          <w:sz w:val="24"/>
          <w:szCs w:val="24"/>
        </w:rPr>
        <w:t xml:space="preserve"> hampers the response to health crises nationally. </w:t>
      </w:r>
    </w:p>
    <w:p w14:paraId="08F9BF7E" w14:textId="77777777" w:rsidR="003165F2" w:rsidRPr="00087434" w:rsidRDefault="003165F2" w:rsidP="003165F2">
      <w:pPr>
        <w:rPr>
          <w:rFonts w:cstheme="minorHAnsi"/>
          <w:b/>
          <w:sz w:val="24"/>
          <w:szCs w:val="24"/>
        </w:rPr>
      </w:pPr>
      <w:r w:rsidRPr="00087434">
        <w:rPr>
          <w:rFonts w:cstheme="minorHAnsi"/>
          <w:b/>
          <w:sz w:val="24"/>
          <w:szCs w:val="24"/>
        </w:rPr>
        <w:t>We recommend that that the Rules allow enduring linkage of MBS and PBS data for research purposes.</w:t>
      </w:r>
    </w:p>
    <w:p w14:paraId="3753E94B" w14:textId="0AE34B63" w:rsidR="003165F2" w:rsidRPr="00087434" w:rsidRDefault="003165F2" w:rsidP="00F77BAE">
      <w:pPr>
        <w:pStyle w:val="ListParagraph"/>
        <w:ind w:left="0"/>
        <w:rPr>
          <w:rFonts w:cstheme="minorHAnsi"/>
          <w:sz w:val="24"/>
          <w:szCs w:val="24"/>
        </w:rPr>
      </w:pPr>
    </w:p>
    <w:p w14:paraId="4CCFBC3A" w14:textId="5A3CE63D" w:rsidR="003165F2" w:rsidRPr="00087434" w:rsidRDefault="003165F2" w:rsidP="003165F2">
      <w:pPr>
        <w:pStyle w:val="Subtitle"/>
        <w:rPr>
          <w:rStyle w:val="Emphasis"/>
          <w:rFonts w:cstheme="minorHAnsi"/>
          <w:b/>
          <w:bCs/>
          <w:i w:val="0"/>
          <w:iCs w:val="0"/>
          <w:color w:val="000000" w:themeColor="text1"/>
          <w:sz w:val="24"/>
          <w:szCs w:val="24"/>
        </w:rPr>
      </w:pPr>
      <w:r w:rsidRPr="00087434">
        <w:rPr>
          <w:rStyle w:val="Emphasis"/>
          <w:rFonts w:cstheme="minorHAnsi"/>
          <w:b/>
          <w:bCs/>
          <w:i w:val="0"/>
          <w:iCs w:val="0"/>
          <w:color w:val="000000" w:themeColor="text1"/>
          <w:sz w:val="24"/>
          <w:szCs w:val="24"/>
        </w:rPr>
        <w:t>Name linkage</w:t>
      </w:r>
    </w:p>
    <w:p w14:paraId="44AA4BC7" w14:textId="77777777" w:rsidR="003165F2" w:rsidRPr="00087434" w:rsidRDefault="003165F2" w:rsidP="003165F2">
      <w:pPr>
        <w:rPr>
          <w:rFonts w:cstheme="minorHAnsi"/>
          <w:sz w:val="24"/>
          <w:szCs w:val="24"/>
        </w:rPr>
      </w:pPr>
      <w:r w:rsidRPr="00087434">
        <w:rPr>
          <w:rFonts w:cstheme="minorHAnsi"/>
          <w:sz w:val="24"/>
          <w:szCs w:val="24"/>
        </w:rPr>
        <w:t>Australia now has a very mature national data linkage system</w:t>
      </w:r>
      <w:r w:rsidRPr="00087434">
        <w:rPr>
          <w:rStyle w:val="FootnoteReference"/>
          <w:rFonts w:cstheme="minorHAnsi"/>
          <w:sz w:val="24"/>
          <w:szCs w:val="24"/>
        </w:rPr>
        <w:footnoteReference w:id="1"/>
      </w:r>
      <w:r w:rsidRPr="00087434">
        <w:rPr>
          <w:rFonts w:cstheme="minorHAnsi"/>
          <w:sz w:val="24"/>
          <w:szCs w:val="24"/>
        </w:rPr>
        <w:t xml:space="preserve"> which is based on gold standard probabilistic data linkage using identifiable data such as names, addresses and dates of birth. This linkage is conducted in specialist data linkage units with extremely high levels of data security and compliant with the relevant privacy and data sharing legislation. Linked MBS and PBS data are essential to understand the health of Australians and to plan for better services and facilities. </w:t>
      </w:r>
    </w:p>
    <w:p w14:paraId="5429EF07" w14:textId="77777777" w:rsidR="003165F2" w:rsidRPr="00087434" w:rsidRDefault="003165F2" w:rsidP="003165F2">
      <w:pPr>
        <w:rPr>
          <w:rFonts w:cstheme="minorHAnsi"/>
          <w:b/>
          <w:sz w:val="24"/>
          <w:szCs w:val="24"/>
        </w:rPr>
      </w:pPr>
      <w:r w:rsidRPr="00087434">
        <w:rPr>
          <w:rFonts w:cstheme="minorHAnsi"/>
          <w:b/>
          <w:sz w:val="24"/>
          <w:szCs w:val="24"/>
        </w:rPr>
        <w:t>We recommend that a new purpose for name linkage of MBS and PBS data is added to clause 14(1) to make clear that name linkage for the purpose of research is allowed.</w:t>
      </w:r>
    </w:p>
    <w:p w14:paraId="6D599E5B" w14:textId="77777777" w:rsidR="003165F2" w:rsidRPr="00087434" w:rsidRDefault="003165F2" w:rsidP="00F77BAE">
      <w:pPr>
        <w:pStyle w:val="ListParagraph"/>
        <w:ind w:left="0"/>
        <w:rPr>
          <w:rFonts w:cstheme="minorHAnsi"/>
          <w:sz w:val="24"/>
          <w:szCs w:val="24"/>
        </w:rPr>
      </w:pPr>
    </w:p>
    <w:p w14:paraId="423652F1" w14:textId="18C9EA81" w:rsidR="00A44C20" w:rsidRPr="005E0FA8" w:rsidRDefault="00A44C20" w:rsidP="00A44C20">
      <w:pPr>
        <w:tabs>
          <w:tab w:val="left" w:pos="4104"/>
        </w:tabs>
        <w:jc w:val="right"/>
      </w:pPr>
    </w:p>
    <w:sectPr w:rsidR="00A44C20" w:rsidRPr="005E0FA8" w:rsidSect="00A44C20">
      <w:headerReference w:type="default" r:id="rId1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8F793" w14:textId="77777777" w:rsidR="0072166C" w:rsidRDefault="0072166C" w:rsidP="0072166C">
      <w:pPr>
        <w:spacing w:after="0" w:line="240" w:lineRule="auto"/>
      </w:pPr>
      <w:r>
        <w:separator/>
      </w:r>
    </w:p>
  </w:endnote>
  <w:endnote w:type="continuationSeparator" w:id="0">
    <w:p w14:paraId="3B00B99D" w14:textId="77777777" w:rsidR="0072166C" w:rsidRDefault="0072166C" w:rsidP="00721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89329" w14:textId="77777777" w:rsidR="00D03161" w:rsidRDefault="00D03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E2839" w14:textId="77777777" w:rsidR="00194637" w:rsidRDefault="0095547E">
    <w:pPr>
      <w:pStyle w:val="Footer"/>
      <w:jc w:val="right"/>
    </w:pPr>
  </w:p>
  <w:p w14:paraId="7EA9BE04" w14:textId="77777777" w:rsidR="00194637" w:rsidRDefault="00955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CD0F8" w14:textId="77777777" w:rsidR="00D03161" w:rsidRDefault="00D031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9622507"/>
      <w:docPartObj>
        <w:docPartGallery w:val="Page Numbers (Bottom of Page)"/>
        <w:docPartUnique/>
      </w:docPartObj>
    </w:sdtPr>
    <w:sdtEndPr>
      <w:rPr>
        <w:noProof/>
      </w:rPr>
    </w:sdtEndPr>
    <w:sdtContent>
      <w:p w14:paraId="13E94255" w14:textId="06104DC4" w:rsidR="0072166C" w:rsidRDefault="0072166C" w:rsidP="0049192E">
        <w:pPr>
          <w:pStyle w:val="Footer"/>
          <w:pBdr>
            <w:top w:val="single" w:sz="18" w:space="1" w:color="C45911" w:themeColor="accent2" w:themeShade="BF"/>
          </w:pBdr>
          <w:jc w:val="right"/>
        </w:pPr>
        <w:r>
          <w:fldChar w:fldCharType="begin"/>
        </w:r>
        <w:r>
          <w:instrText xml:space="preserve"> PAGE   \* MERGEFORMAT </w:instrText>
        </w:r>
        <w:r>
          <w:fldChar w:fldCharType="separate"/>
        </w:r>
        <w:r w:rsidR="00087434">
          <w:rPr>
            <w:noProof/>
          </w:rPr>
          <w:t>1</w:t>
        </w:r>
        <w:r>
          <w:rPr>
            <w:noProof/>
          </w:rPr>
          <w:fldChar w:fldCharType="end"/>
        </w:r>
      </w:p>
    </w:sdtContent>
  </w:sdt>
  <w:p w14:paraId="0FF33548" w14:textId="77777777" w:rsidR="0072166C" w:rsidRDefault="0072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CE144" w14:textId="77777777" w:rsidR="0072166C" w:rsidRDefault="0072166C" w:rsidP="0072166C">
      <w:pPr>
        <w:spacing w:after="0" w:line="240" w:lineRule="auto"/>
      </w:pPr>
      <w:r>
        <w:separator/>
      </w:r>
    </w:p>
  </w:footnote>
  <w:footnote w:type="continuationSeparator" w:id="0">
    <w:p w14:paraId="406C7FC0" w14:textId="77777777" w:rsidR="0072166C" w:rsidRDefault="0072166C" w:rsidP="0072166C">
      <w:pPr>
        <w:spacing w:after="0" w:line="240" w:lineRule="auto"/>
      </w:pPr>
      <w:r>
        <w:continuationSeparator/>
      </w:r>
    </w:p>
  </w:footnote>
  <w:footnote w:id="1">
    <w:p w14:paraId="67C3C24C" w14:textId="77777777" w:rsidR="003165F2" w:rsidRDefault="003165F2" w:rsidP="003165F2">
      <w:pPr>
        <w:pStyle w:val="FootnoteText"/>
      </w:pPr>
      <w:r>
        <w:rPr>
          <w:rStyle w:val="FootnoteReference"/>
        </w:rPr>
        <w:footnoteRef/>
      </w:r>
      <w:r>
        <w:t xml:space="preserve"> See </w:t>
      </w:r>
      <w:hyperlink r:id="rId1" w:history="1">
        <w:r w:rsidRPr="00863318">
          <w:rPr>
            <w:rStyle w:val="Hyperlink"/>
          </w:rPr>
          <w:t>http://www.phrn.org.au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7660E" w14:textId="77777777" w:rsidR="00D03161" w:rsidRDefault="00D03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7901" w14:textId="77777777" w:rsidR="00D03161" w:rsidRDefault="00D03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E33A1" w14:textId="77777777" w:rsidR="00D03161" w:rsidRDefault="00D031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2ABE7" w14:textId="428C0AB6" w:rsidR="00A44C20" w:rsidRPr="00A44C20" w:rsidRDefault="00A44C20">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6066"/>
    <w:multiLevelType w:val="hybridMultilevel"/>
    <w:tmpl w:val="DD90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056B94"/>
    <w:multiLevelType w:val="hybridMultilevel"/>
    <w:tmpl w:val="A7087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B405F8"/>
    <w:multiLevelType w:val="hybridMultilevel"/>
    <w:tmpl w:val="52B2E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8E2CA2"/>
    <w:multiLevelType w:val="hybridMultilevel"/>
    <w:tmpl w:val="E4BCB7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9B4473"/>
    <w:multiLevelType w:val="hybridMultilevel"/>
    <w:tmpl w:val="DD7A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53F83"/>
    <w:multiLevelType w:val="hybridMultilevel"/>
    <w:tmpl w:val="7084FA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5B8145A"/>
    <w:multiLevelType w:val="hybridMultilevel"/>
    <w:tmpl w:val="D4068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8357F7"/>
    <w:multiLevelType w:val="hybridMultilevel"/>
    <w:tmpl w:val="F328F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4E11E6"/>
    <w:multiLevelType w:val="hybridMultilevel"/>
    <w:tmpl w:val="94BA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232703"/>
    <w:multiLevelType w:val="hybridMultilevel"/>
    <w:tmpl w:val="B9DCA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FC5AF4"/>
    <w:multiLevelType w:val="hybridMultilevel"/>
    <w:tmpl w:val="F578B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533633"/>
    <w:multiLevelType w:val="hybridMultilevel"/>
    <w:tmpl w:val="13DAE7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DF6390A"/>
    <w:multiLevelType w:val="hybridMultilevel"/>
    <w:tmpl w:val="E1866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AF23F9"/>
    <w:multiLevelType w:val="multilevel"/>
    <w:tmpl w:val="6D2EF184"/>
    <w:lvl w:ilvl="0">
      <w:start w:val="1"/>
      <w:numFmt w:val="decimal"/>
      <w:lvlText w:val="%1."/>
      <w:lvlJc w:val="right"/>
      <w:pPr>
        <w:ind w:left="720" w:hanging="360"/>
      </w:pPr>
    </w:lvl>
    <w:lvl w:ilvl="1">
      <w:start w:val="1"/>
      <w:numFmt w:val="decimal"/>
      <w:lvlText w:val="%1.%2."/>
      <w:lvlJc w:val="right"/>
      <w:pPr>
        <w:ind w:left="1440" w:hanging="135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4" w15:restartNumberingAfterBreak="0">
    <w:nsid w:val="7C26175E"/>
    <w:multiLevelType w:val="hybridMultilevel"/>
    <w:tmpl w:val="4E34B1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9"/>
  </w:num>
  <w:num w:numId="3">
    <w:abstractNumId w:val="12"/>
  </w:num>
  <w:num w:numId="4">
    <w:abstractNumId w:val="11"/>
  </w:num>
  <w:num w:numId="5">
    <w:abstractNumId w:val="6"/>
  </w:num>
  <w:num w:numId="6">
    <w:abstractNumId w:val="1"/>
  </w:num>
  <w:num w:numId="7">
    <w:abstractNumId w:val="0"/>
  </w:num>
  <w:num w:numId="8">
    <w:abstractNumId w:val="4"/>
  </w:num>
  <w:num w:numId="9">
    <w:abstractNumId w:val="2"/>
  </w:num>
  <w:num w:numId="10">
    <w:abstractNumId w:val="3"/>
  </w:num>
  <w:num w:numId="11">
    <w:abstractNumId w:val="5"/>
  </w:num>
  <w:num w:numId="12">
    <w:abstractNumId w:val="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91B"/>
    <w:rsid w:val="000052F1"/>
    <w:rsid w:val="00016825"/>
    <w:rsid w:val="00087434"/>
    <w:rsid w:val="000926F8"/>
    <w:rsid w:val="00100136"/>
    <w:rsid w:val="001100CE"/>
    <w:rsid w:val="00117F80"/>
    <w:rsid w:val="00125351"/>
    <w:rsid w:val="00143E57"/>
    <w:rsid w:val="00147674"/>
    <w:rsid w:val="00182DF0"/>
    <w:rsid w:val="001A040C"/>
    <w:rsid w:val="001A2FD1"/>
    <w:rsid w:val="001A62A4"/>
    <w:rsid w:val="001F78C5"/>
    <w:rsid w:val="001F7DAB"/>
    <w:rsid w:val="0020647E"/>
    <w:rsid w:val="0023339A"/>
    <w:rsid w:val="00237B86"/>
    <w:rsid w:val="0026257D"/>
    <w:rsid w:val="00277C2D"/>
    <w:rsid w:val="002808CC"/>
    <w:rsid w:val="0028607E"/>
    <w:rsid w:val="002C3088"/>
    <w:rsid w:val="002E5463"/>
    <w:rsid w:val="002F6D64"/>
    <w:rsid w:val="00305AA2"/>
    <w:rsid w:val="0031547A"/>
    <w:rsid w:val="003165F2"/>
    <w:rsid w:val="00323A07"/>
    <w:rsid w:val="003305B0"/>
    <w:rsid w:val="003364DA"/>
    <w:rsid w:val="0037505E"/>
    <w:rsid w:val="00396F1B"/>
    <w:rsid w:val="003A150E"/>
    <w:rsid w:val="003B311F"/>
    <w:rsid w:val="003B442C"/>
    <w:rsid w:val="003B53B4"/>
    <w:rsid w:val="003E6706"/>
    <w:rsid w:val="003F6548"/>
    <w:rsid w:val="00402D94"/>
    <w:rsid w:val="00412D6C"/>
    <w:rsid w:val="004349F4"/>
    <w:rsid w:val="0047072D"/>
    <w:rsid w:val="0049192E"/>
    <w:rsid w:val="00497A8D"/>
    <w:rsid w:val="004A2487"/>
    <w:rsid w:val="004B6114"/>
    <w:rsid w:val="004C7684"/>
    <w:rsid w:val="0050036E"/>
    <w:rsid w:val="00510B69"/>
    <w:rsid w:val="00544E61"/>
    <w:rsid w:val="00562B1B"/>
    <w:rsid w:val="00585567"/>
    <w:rsid w:val="005A2597"/>
    <w:rsid w:val="005B0008"/>
    <w:rsid w:val="005B455E"/>
    <w:rsid w:val="005C314F"/>
    <w:rsid w:val="005D1BEB"/>
    <w:rsid w:val="005E0FA8"/>
    <w:rsid w:val="006032BF"/>
    <w:rsid w:val="006254E0"/>
    <w:rsid w:val="00636DB2"/>
    <w:rsid w:val="006518ED"/>
    <w:rsid w:val="006745B3"/>
    <w:rsid w:val="0068491B"/>
    <w:rsid w:val="006C2588"/>
    <w:rsid w:val="006D2734"/>
    <w:rsid w:val="006F7D78"/>
    <w:rsid w:val="007070E0"/>
    <w:rsid w:val="0072166C"/>
    <w:rsid w:val="00746A3E"/>
    <w:rsid w:val="00747DFF"/>
    <w:rsid w:val="00766217"/>
    <w:rsid w:val="007748F7"/>
    <w:rsid w:val="00776F8A"/>
    <w:rsid w:val="007A5039"/>
    <w:rsid w:val="007B722B"/>
    <w:rsid w:val="007C2789"/>
    <w:rsid w:val="008474E3"/>
    <w:rsid w:val="0085052C"/>
    <w:rsid w:val="00860FD6"/>
    <w:rsid w:val="008619F5"/>
    <w:rsid w:val="00865DD5"/>
    <w:rsid w:val="008F2F7C"/>
    <w:rsid w:val="009130B3"/>
    <w:rsid w:val="009257E1"/>
    <w:rsid w:val="00925E21"/>
    <w:rsid w:val="00931CED"/>
    <w:rsid w:val="00934B09"/>
    <w:rsid w:val="00944DE1"/>
    <w:rsid w:val="0095547E"/>
    <w:rsid w:val="009626D5"/>
    <w:rsid w:val="00964A48"/>
    <w:rsid w:val="009817F5"/>
    <w:rsid w:val="009D187E"/>
    <w:rsid w:val="009F4D45"/>
    <w:rsid w:val="00A05671"/>
    <w:rsid w:val="00A30A4F"/>
    <w:rsid w:val="00A44C20"/>
    <w:rsid w:val="00A736EA"/>
    <w:rsid w:val="00AB4A7B"/>
    <w:rsid w:val="00AF0D52"/>
    <w:rsid w:val="00AF21B9"/>
    <w:rsid w:val="00AF37C8"/>
    <w:rsid w:val="00B12091"/>
    <w:rsid w:val="00B95D77"/>
    <w:rsid w:val="00B961A1"/>
    <w:rsid w:val="00BF55C0"/>
    <w:rsid w:val="00C04D9F"/>
    <w:rsid w:val="00C357A2"/>
    <w:rsid w:val="00C62BE3"/>
    <w:rsid w:val="00C65612"/>
    <w:rsid w:val="00C838F2"/>
    <w:rsid w:val="00C907E0"/>
    <w:rsid w:val="00CC704F"/>
    <w:rsid w:val="00D03161"/>
    <w:rsid w:val="00D058C8"/>
    <w:rsid w:val="00D2176F"/>
    <w:rsid w:val="00D438D7"/>
    <w:rsid w:val="00D643D8"/>
    <w:rsid w:val="00D96DE4"/>
    <w:rsid w:val="00DA4E78"/>
    <w:rsid w:val="00DB6A79"/>
    <w:rsid w:val="00DD264C"/>
    <w:rsid w:val="00DD7B2F"/>
    <w:rsid w:val="00DE0A3D"/>
    <w:rsid w:val="00E23031"/>
    <w:rsid w:val="00E976C0"/>
    <w:rsid w:val="00EB4650"/>
    <w:rsid w:val="00ED5B44"/>
    <w:rsid w:val="00EE5698"/>
    <w:rsid w:val="00EF6DC3"/>
    <w:rsid w:val="00F07350"/>
    <w:rsid w:val="00F1437A"/>
    <w:rsid w:val="00F67F3F"/>
    <w:rsid w:val="00F77BAE"/>
    <w:rsid w:val="00F82C3E"/>
    <w:rsid w:val="00FA64A2"/>
    <w:rsid w:val="00FD1880"/>
    <w:rsid w:val="00FE68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BF0483"/>
  <w15:chartTrackingRefBased/>
  <w15:docId w15:val="{CC569836-C8FB-4021-928C-B375D0A2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548"/>
    <w:pPr>
      <w:keepNext/>
      <w:keepLines/>
      <w:spacing w:before="240" w:after="0" w:line="240" w:lineRule="auto"/>
      <w:outlineLvl w:val="0"/>
    </w:pPr>
    <w:rPr>
      <w:rFonts w:ascii="Arial" w:eastAsiaTheme="majorEastAsia" w:hAnsi="Arial" w:cstheme="majorBidi"/>
      <w:b/>
      <w:color w:val="70AD47" w:themeColor="accent6"/>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V text,Dot pt,F5 List Paragraph,FooterText,L,List Paragraph1,List Paragraph11,List Paragraph111,List Paragraph2,Medium Grid 1 - Accent 21,NFP GP Bulleted List,Paragraphe de liste1,Recommendation,Table text,numbered,列出段,TOC style,lp1,列出段落"/>
    <w:basedOn w:val="Normal"/>
    <w:link w:val="ListParagraphChar"/>
    <w:uiPriority w:val="34"/>
    <w:qFormat/>
    <w:rsid w:val="0068491B"/>
    <w:pPr>
      <w:ind w:left="720"/>
      <w:contextualSpacing/>
    </w:pPr>
  </w:style>
  <w:style w:type="character" w:styleId="CommentReference">
    <w:name w:val="annotation reference"/>
    <w:basedOn w:val="DefaultParagraphFont"/>
    <w:uiPriority w:val="99"/>
    <w:semiHidden/>
    <w:unhideWhenUsed/>
    <w:rsid w:val="00EE5698"/>
    <w:rPr>
      <w:sz w:val="16"/>
      <w:szCs w:val="16"/>
    </w:rPr>
  </w:style>
  <w:style w:type="paragraph" w:styleId="CommentText">
    <w:name w:val="annotation text"/>
    <w:basedOn w:val="Normal"/>
    <w:link w:val="CommentTextChar"/>
    <w:uiPriority w:val="99"/>
    <w:semiHidden/>
    <w:unhideWhenUsed/>
    <w:rsid w:val="00EE5698"/>
    <w:pPr>
      <w:spacing w:line="240" w:lineRule="auto"/>
    </w:pPr>
    <w:rPr>
      <w:sz w:val="20"/>
      <w:szCs w:val="20"/>
    </w:rPr>
  </w:style>
  <w:style w:type="character" w:customStyle="1" w:styleId="CommentTextChar">
    <w:name w:val="Comment Text Char"/>
    <w:basedOn w:val="DefaultParagraphFont"/>
    <w:link w:val="CommentText"/>
    <w:uiPriority w:val="99"/>
    <w:semiHidden/>
    <w:rsid w:val="00EE5698"/>
    <w:rPr>
      <w:sz w:val="20"/>
      <w:szCs w:val="20"/>
    </w:rPr>
  </w:style>
  <w:style w:type="paragraph" w:styleId="CommentSubject">
    <w:name w:val="annotation subject"/>
    <w:basedOn w:val="CommentText"/>
    <w:next w:val="CommentText"/>
    <w:link w:val="CommentSubjectChar"/>
    <w:uiPriority w:val="99"/>
    <w:semiHidden/>
    <w:unhideWhenUsed/>
    <w:rsid w:val="00EE5698"/>
    <w:rPr>
      <w:b/>
      <w:bCs/>
    </w:rPr>
  </w:style>
  <w:style w:type="character" w:customStyle="1" w:styleId="CommentSubjectChar">
    <w:name w:val="Comment Subject Char"/>
    <w:basedOn w:val="CommentTextChar"/>
    <w:link w:val="CommentSubject"/>
    <w:uiPriority w:val="99"/>
    <w:semiHidden/>
    <w:rsid w:val="00EE5698"/>
    <w:rPr>
      <w:b/>
      <w:bCs/>
      <w:sz w:val="20"/>
      <w:szCs w:val="20"/>
    </w:rPr>
  </w:style>
  <w:style w:type="paragraph" w:styleId="BalloonText">
    <w:name w:val="Balloon Text"/>
    <w:basedOn w:val="Normal"/>
    <w:link w:val="BalloonTextChar"/>
    <w:uiPriority w:val="99"/>
    <w:semiHidden/>
    <w:unhideWhenUsed/>
    <w:rsid w:val="00EE5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698"/>
    <w:rPr>
      <w:rFonts w:ascii="Segoe UI" w:hAnsi="Segoe UI" w:cs="Segoe UI"/>
      <w:sz w:val="18"/>
      <w:szCs w:val="18"/>
    </w:rPr>
  </w:style>
  <w:style w:type="table" w:styleId="TableGrid">
    <w:name w:val="Table Grid"/>
    <w:basedOn w:val="TableNormal"/>
    <w:uiPriority w:val="59"/>
    <w:rsid w:val="003F6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F6548"/>
    <w:pPr>
      <w:tabs>
        <w:tab w:val="center" w:pos="4513"/>
        <w:tab w:val="right" w:pos="9026"/>
      </w:tabs>
      <w:spacing w:after="0" w:line="240" w:lineRule="auto"/>
    </w:pPr>
    <w:rPr>
      <w:rFonts w:ascii="Arial" w:hAnsi="Arial" w:cs="Times New Roman"/>
    </w:rPr>
  </w:style>
  <w:style w:type="character" w:customStyle="1" w:styleId="FooterChar">
    <w:name w:val="Footer Char"/>
    <w:basedOn w:val="DefaultParagraphFont"/>
    <w:link w:val="Footer"/>
    <w:uiPriority w:val="99"/>
    <w:rsid w:val="003F6548"/>
    <w:rPr>
      <w:rFonts w:ascii="Arial" w:hAnsi="Arial" w:cs="Times New Roman"/>
    </w:rPr>
  </w:style>
  <w:style w:type="character" w:customStyle="1" w:styleId="Heading1Char">
    <w:name w:val="Heading 1 Char"/>
    <w:basedOn w:val="DefaultParagraphFont"/>
    <w:link w:val="Heading1"/>
    <w:uiPriority w:val="9"/>
    <w:rsid w:val="003F6548"/>
    <w:rPr>
      <w:rFonts w:ascii="Arial" w:eastAsiaTheme="majorEastAsia" w:hAnsi="Arial" w:cstheme="majorBidi"/>
      <w:b/>
      <w:color w:val="70AD47" w:themeColor="accent6"/>
      <w:sz w:val="24"/>
      <w:szCs w:val="32"/>
    </w:rPr>
  </w:style>
  <w:style w:type="character" w:styleId="Hyperlink">
    <w:name w:val="Hyperlink"/>
    <w:basedOn w:val="DefaultParagraphFont"/>
    <w:uiPriority w:val="99"/>
    <w:unhideWhenUsed/>
    <w:rsid w:val="003F6548"/>
    <w:rPr>
      <w:color w:val="0000FF"/>
      <w:u w:val="single"/>
    </w:rPr>
  </w:style>
  <w:style w:type="character" w:customStyle="1" w:styleId="ListParagraphChar">
    <w:name w:val="List Paragraph Char"/>
    <w:aliases w:val="CV text Char,Dot pt Char,F5 List Paragraph Char,FooterText Char,L Char,List Paragraph1 Char,List Paragraph11 Char,List Paragraph111 Char,List Paragraph2 Char,Medium Grid 1 - Accent 21 Char,NFP GP Bulleted List Char,Table text Char"/>
    <w:basedOn w:val="DefaultParagraphFont"/>
    <w:link w:val="ListParagraph"/>
    <w:uiPriority w:val="34"/>
    <w:qFormat/>
    <w:locked/>
    <w:rsid w:val="003F6548"/>
  </w:style>
  <w:style w:type="paragraph" w:styleId="Header">
    <w:name w:val="header"/>
    <w:basedOn w:val="Normal"/>
    <w:link w:val="HeaderChar"/>
    <w:uiPriority w:val="99"/>
    <w:unhideWhenUsed/>
    <w:rsid w:val="00721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66C"/>
  </w:style>
  <w:style w:type="paragraph" w:styleId="FootnoteText">
    <w:name w:val="footnote text"/>
    <w:basedOn w:val="Normal"/>
    <w:link w:val="FootnoteTextChar"/>
    <w:uiPriority w:val="99"/>
    <w:semiHidden/>
    <w:unhideWhenUsed/>
    <w:rsid w:val="004C76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7684"/>
    <w:rPr>
      <w:sz w:val="20"/>
      <w:szCs w:val="20"/>
    </w:rPr>
  </w:style>
  <w:style w:type="character" w:styleId="FootnoteReference">
    <w:name w:val="footnote reference"/>
    <w:basedOn w:val="DefaultParagraphFont"/>
    <w:uiPriority w:val="99"/>
    <w:semiHidden/>
    <w:unhideWhenUsed/>
    <w:rsid w:val="004C7684"/>
    <w:rPr>
      <w:vertAlign w:val="superscript"/>
    </w:rPr>
  </w:style>
  <w:style w:type="paragraph" w:customStyle="1" w:styleId="Default">
    <w:name w:val="Default"/>
    <w:rsid w:val="00DD264C"/>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2E54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4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4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E5463"/>
    <w:rPr>
      <w:rFonts w:eastAsiaTheme="minorEastAsia"/>
      <w:color w:val="5A5A5A" w:themeColor="text1" w:themeTint="A5"/>
      <w:spacing w:val="15"/>
    </w:rPr>
  </w:style>
  <w:style w:type="character" w:styleId="SubtleEmphasis">
    <w:name w:val="Subtle Emphasis"/>
    <w:basedOn w:val="DefaultParagraphFont"/>
    <w:uiPriority w:val="19"/>
    <w:qFormat/>
    <w:rsid w:val="002E5463"/>
    <w:rPr>
      <w:i/>
      <w:iCs/>
      <w:color w:val="404040" w:themeColor="text1" w:themeTint="BF"/>
    </w:rPr>
  </w:style>
  <w:style w:type="character" w:styleId="Emphasis">
    <w:name w:val="Emphasis"/>
    <w:basedOn w:val="DefaultParagraphFont"/>
    <w:uiPriority w:val="20"/>
    <w:qFormat/>
    <w:rsid w:val="002E54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3944">
      <w:bodyDiv w:val="1"/>
      <w:marLeft w:val="0"/>
      <w:marRight w:val="0"/>
      <w:marTop w:val="0"/>
      <w:marBottom w:val="0"/>
      <w:divBdr>
        <w:top w:val="none" w:sz="0" w:space="0" w:color="auto"/>
        <w:left w:val="none" w:sz="0" w:space="0" w:color="auto"/>
        <w:bottom w:val="none" w:sz="0" w:space="0" w:color="auto"/>
        <w:right w:val="none" w:sz="0" w:space="0" w:color="auto"/>
      </w:divBdr>
    </w:div>
    <w:div w:id="153768270">
      <w:bodyDiv w:val="1"/>
      <w:marLeft w:val="0"/>
      <w:marRight w:val="0"/>
      <w:marTop w:val="0"/>
      <w:marBottom w:val="0"/>
      <w:divBdr>
        <w:top w:val="none" w:sz="0" w:space="0" w:color="auto"/>
        <w:left w:val="none" w:sz="0" w:space="0" w:color="auto"/>
        <w:bottom w:val="none" w:sz="0" w:space="0" w:color="auto"/>
        <w:right w:val="none" w:sz="0" w:space="0" w:color="auto"/>
      </w:divBdr>
    </w:div>
    <w:div w:id="387653183">
      <w:bodyDiv w:val="1"/>
      <w:marLeft w:val="0"/>
      <w:marRight w:val="0"/>
      <w:marTop w:val="0"/>
      <w:marBottom w:val="0"/>
      <w:divBdr>
        <w:top w:val="none" w:sz="0" w:space="0" w:color="auto"/>
        <w:left w:val="none" w:sz="0" w:space="0" w:color="auto"/>
        <w:bottom w:val="none" w:sz="0" w:space="0" w:color="auto"/>
        <w:right w:val="none" w:sz="0" w:space="0" w:color="auto"/>
      </w:divBdr>
    </w:div>
    <w:div w:id="579023128">
      <w:bodyDiv w:val="1"/>
      <w:marLeft w:val="0"/>
      <w:marRight w:val="0"/>
      <w:marTop w:val="0"/>
      <w:marBottom w:val="0"/>
      <w:divBdr>
        <w:top w:val="none" w:sz="0" w:space="0" w:color="auto"/>
        <w:left w:val="none" w:sz="0" w:space="0" w:color="auto"/>
        <w:bottom w:val="none" w:sz="0" w:space="0" w:color="auto"/>
        <w:right w:val="none" w:sz="0" w:space="0" w:color="auto"/>
      </w:divBdr>
    </w:div>
    <w:div w:id="597719899">
      <w:bodyDiv w:val="1"/>
      <w:marLeft w:val="0"/>
      <w:marRight w:val="0"/>
      <w:marTop w:val="0"/>
      <w:marBottom w:val="0"/>
      <w:divBdr>
        <w:top w:val="none" w:sz="0" w:space="0" w:color="auto"/>
        <w:left w:val="none" w:sz="0" w:space="0" w:color="auto"/>
        <w:bottom w:val="none" w:sz="0" w:space="0" w:color="auto"/>
        <w:right w:val="none" w:sz="0" w:space="0" w:color="auto"/>
      </w:divBdr>
    </w:div>
    <w:div w:id="1077359267">
      <w:bodyDiv w:val="1"/>
      <w:marLeft w:val="0"/>
      <w:marRight w:val="0"/>
      <w:marTop w:val="0"/>
      <w:marBottom w:val="0"/>
      <w:divBdr>
        <w:top w:val="none" w:sz="0" w:space="0" w:color="auto"/>
        <w:left w:val="none" w:sz="0" w:space="0" w:color="auto"/>
        <w:bottom w:val="none" w:sz="0" w:space="0" w:color="auto"/>
        <w:right w:val="none" w:sz="0" w:space="0" w:color="auto"/>
      </w:divBdr>
    </w:div>
    <w:div w:id="1431850860">
      <w:bodyDiv w:val="1"/>
      <w:marLeft w:val="0"/>
      <w:marRight w:val="0"/>
      <w:marTop w:val="0"/>
      <w:marBottom w:val="0"/>
      <w:divBdr>
        <w:top w:val="none" w:sz="0" w:space="0" w:color="auto"/>
        <w:left w:val="none" w:sz="0" w:space="0" w:color="auto"/>
        <w:bottom w:val="none" w:sz="0" w:space="0" w:color="auto"/>
        <w:right w:val="none" w:sz="0" w:space="0" w:color="auto"/>
      </w:divBdr>
    </w:div>
    <w:div w:id="1607928465">
      <w:bodyDiv w:val="1"/>
      <w:marLeft w:val="0"/>
      <w:marRight w:val="0"/>
      <w:marTop w:val="0"/>
      <w:marBottom w:val="0"/>
      <w:divBdr>
        <w:top w:val="none" w:sz="0" w:space="0" w:color="auto"/>
        <w:left w:val="none" w:sz="0" w:space="0" w:color="auto"/>
        <w:bottom w:val="none" w:sz="0" w:space="0" w:color="auto"/>
        <w:right w:val="none" w:sz="0" w:space="0" w:color="auto"/>
      </w:divBdr>
    </w:div>
    <w:div w:id="1683969745">
      <w:bodyDiv w:val="1"/>
      <w:marLeft w:val="0"/>
      <w:marRight w:val="0"/>
      <w:marTop w:val="0"/>
      <w:marBottom w:val="0"/>
      <w:divBdr>
        <w:top w:val="none" w:sz="0" w:space="0" w:color="auto"/>
        <w:left w:val="none" w:sz="0" w:space="0" w:color="auto"/>
        <w:bottom w:val="none" w:sz="0" w:space="0" w:color="auto"/>
        <w:right w:val="none" w:sz="0" w:space="0" w:color="auto"/>
      </w:divBdr>
    </w:div>
    <w:div w:id="1720127847">
      <w:bodyDiv w:val="1"/>
      <w:marLeft w:val="0"/>
      <w:marRight w:val="0"/>
      <w:marTop w:val="0"/>
      <w:marBottom w:val="0"/>
      <w:divBdr>
        <w:top w:val="none" w:sz="0" w:space="0" w:color="auto"/>
        <w:left w:val="none" w:sz="0" w:space="0" w:color="auto"/>
        <w:bottom w:val="none" w:sz="0" w:space="0" w:color="auto"/>
        <w:right w:val="none" w:sz="0" w:space="0" w:color="auto"/>
      </w:divBdr>
    </w:div>
    <w:div w:id="180303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uwadc.meddent.uwa.edu.au\PHRN\NPO\Public%20Consultations\2017\Secondary%20Use_My%20Health%20Record\www.phrn.org.au" TargetMode="External"/><Relationship Id="rId2" Type="http://schemas.openxmlformats.org/officeDocument/2006/relationships/numbering" Target="numbering.xml"/><Relationship Id="rId16" Type="http://schemas.openxmlformats.org/officeDocument/2006/relationships/hyperlink" Target="mailto:merran.smith@uwa.edu.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phrn.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F6F10-2D7C-4DAD-AC3B-190B6114F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Flack</dc:creator>
  <cp:keywords/>
  <dc:description/>
  <cp:lastModifiedBy>Carina Marshall</cp:lastModifiedBy>
  <cp:revision>3</cp:revision>
  <dcterms:created xsi:type="dcterms:W3CDTF">2021-06-03T05:24:00Z</dcterms:created>
  <dcterms:modified xsi:type="dcterms:W3CDTF">2021-06-03T07:05:00Z</dcterms:modified>
</cp:coreProperties>
</file>