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EB7E" w14:textId="4C74B4FF" w:rsidR="00951843" w:rsidRPr="00374B2D" w:rsidRDefault="00C5179F" w:rsidP="00C579AF">
      <w:pPr>
        <w:spacing w:before="2000"/>
        <w:rPr>
          <w:color w:val="002A3A" w:themeColor="text2"/>
          <w:sz w:val="48"/>
          <w:szCs w:val="44"/>
        </w:rPr>
      </w:pPr>
      <w:r>
        <w:rPr>
          <w:color w:val="002A3A" w:themeColor="text2"/>
          <w:sz w:val="48"/>
          <w:szCs w:val="44"/>
        </w:rPr>
        <w:t>Part</w:t>
      </w:r>
      <w:r w:rsidR="00151165">
        <w:rPr>
          <w:color w:val="002A3A" w:themeColor="text2"/>
          <w:sz w:val="48"/>
          <w:szCs w:val="44"/>
        </w:rPr>
        <w:t xml:space="preserve"> </w:t>
      </w:r>
      <w:r w:rsidR="00490C5A">
        <w:rPr>
          <w:color w:val="002A3A" w:themeColor="text2"/>
          <w:sz w:val="48"/>
          <w:szCs w:val="44"/>
        </w:rPr>
        <w:t>6</w:t>
      </w:r>
      <w:r w:rsidR="00E93C8F">
        <w:rPr>
          <w:color w:val="002A3A" w:themeColor="text2"/>
          <w:sz w:val="48"/>
          <w:szCs w:val="44"/>
        </w:rPr>
        <w:t xml:space="preserve"> </w:t>
      </w:r>
      <w:r w:rsidR="00C50D73" w:rsidRPr="00C50D73">
        <w:rPr>
          <w:color w:val="002A3A" w:themeColor="text2"/>
          <w:sz w:val="48"/>
          <w:szCs w:val="44"/>
        </w:rPr>
        <w:t>—</w:t>
      </w:r>
      <w:r w:rsidR="00151165">
        <w:rPr>
          <w:color w:val="002A3A" w:themeColor="text2"/>
          <w:sz w:val="48"/>
          <w:szCs w:val="44"/>
        </w:rPr>
        <w:t xml:space="preserve"> </w:t>
      </w:r>
    </w:p>
    <w:p w14:paraId="21ACA577" w14:textId="7720E096" w:rsidR="00951843" w:rsidRPr="00374B2D" w:rsidRDefault="00490C5A" w:rsidP="00951843">
      <w:pPr>
        <w:rPr>
          <w:color w:val="002A3A" w:themeColor="text2"/>
          <w:sz w:val="64"/>
          <w:szCs w:val="64"/>
        </w:rPr>
      </w:pPr>
      <w:r>
        <w:rPr>
          <w:color w:val="002A3A" w:themeColor="text2"/>
          <w:sz w:val="64"/>
          <w:szCs w:val="64"/>
        </w:rPr>
        <w:t>Conditional exemption</w:t>
      </w:r>
      <w:r w:rsidR="001B1C56" w:rsidRPr="001B1C56">
        <w:rPr>
          <w:color w:val="002A3A" w:themeColor="text2"/>
          <w:sz w:val="64"/>
          <w:szCs w:val="64"/>
        </w:rPr>
        <w:t>s</w:t>
      </w:r>
      <w:r w:rsidR="00F4121A">
        <w:rPr>
          <w:color w:val="002A3A" w:themeColor="text2"/>
          <w:sz w:val="64"/>
          <w:szCs w:val="64"/>
        </w:rPr>
        <w:t xml:space="preserve"> </w:t>
      </w:r>
    </w:p>
    <w:p w14:paraId="5AA09E15" w14:textId="6656B954" w:rsidR="00951843" w:rsidRDefault="00951843" w:rsidP="00951843">
      <w:pPr>
        <w:spacing w:before="600"/>
      </w:pPr>
      <w:r>
        <w:t>Version</w:t>
      </w:r>
      <w:r w:rsidR="00151165">
        <w:t xml:space="preserve"> </w:t>
      </w:r>
      <w:r>
        <w:t>1.</w:t>
      </w:r>
      <w:r w:rsidR="00490C5A">
        <w:t>4</w:t>
      </w:r>
      <w:r>
        <w:t>,</w:t>
      </w:r>
      <w:r w:rsidR="00151165">
        <w:t xml:space="preserve"> </w:t>
      </w:r>
      <w:r w:rsidR="007906FC">
        <w:t>Consultation Draft</w:t>
      </w:r>
      <w:r w:rsidR="00C8740D">
        <w:t>,</w:t>
      </w:r>
      <w:r w:rsidR="007906FC">
        <w:t xml:space="preserve"> August </w:t>
      </w:r>
      <w:r>
        <w:t>20</w:t>
      </w:r>
      <w:r w:rsidR="00F22B1A">
        <w:t>2</w:t>
      </w:r>
      <w:r w:rsidR="008D5849">
        <w:t>3</w:t>
      </w:r>
    </w:p>
    <w:p w14:paraId="71C09947" w14:textId="0F0B1352" w:rsidR="00951843" w:rsidRDefault="00951843">
      <w:pPr>
        <w:spacing w:after="0"/>
        <w:ind w:left="284" w:hanging="284"/>
      </w:pPr>
      <w:r>
        <w:br w:type="page"/>
      </w:r>
    </w:p>
    <w:p w14:paraId="7B51D300" w14:textId="77777777" w:rsidR="00951843" w:rsidRDefault="00951843" w:rsidP="00951843">
      <w:pPr>
        <w:rPr>
          <w:lang w:eastAsia="en-US"/>
        </w:rPr>
      </w:pPr>
    </w:p>
    <w:p w14:paraId="02A00C93" w14:textId="77777777" w:rsidR="00951843" w:rsidRDefault="00951843" w:rsidP="00951843">
      <w:pPr>
        <w:rPr>
          <w:lang w:eastAsia="en-US"/>
        </w:rPr>
      </w:pPr>
    </w:p>
    <w:sdt>
      <w:sdtPr>
        <w:rPr>
          <w:rFonts w:asciiTheme="minorHAnsi" w:eastAsiaTheme="minorEastAsia" w:hAnsiTheme="minorHAnsi"/>
          <w:color w:val="auto"/>
          <w:spacing w:val="0"/>
          <w:sz w:val="22"/>
          <w:szCs w:val="20"/>
          <w:lang w:eastAsia="ko-KR"/>
        </w:rPr>
        <w:id w:val="-1867591131"/>
        <w:docPartObj>
          <w:docPartGallery w:val="Table of Contents"/>
          <w:docPartUnique/>
        </w:docPartObj>
      </w:sdtPr>
      <w:sdtEndPr>
        <w:rPr>
          <w:b/>
          <w:bCs/>
          <w:noProof/>
        </w:rPr>
      </w:sdtEndPr>
      <w:sdtContent>
        <w:p w14:paraId="682B8D0D" w14:textId="1EDD1CC9" w:rsidR="00951843" w:rsidRDefault="00951843">
          <w:pPr>
            <w:pStyle w:val="TOCHeading"/>
          </w:pPr>
          <w:r>
            <w:t>Conten</w:t>
          </w:r>
          <w:r w:rsidR="009D1330">
            <w:t>ts</w:t>
          </w:r>
        </w:p>
        <w:p w14:paraId="7BB83B23" w14:textId="46647053" w:rsidR="00C8740D" w:rsidRDefault="00951843">
          <w:pPr>
            <w:pStyle w:val="TOC2"/>
            <w:rPr>
              <w:rFonts w:asciiTheme="minorHAnsi" w:hAnsiTheme="minorHAnsi" w:cstheme="minorBidi"/>
              <w:kern w:val="2"/>
              <w:szCs w:val="22"/>
              <w:lang w:eastAsia="en-AU"/>
              <w14:ligatures w14:val="standardContextual"/>
            </w:rPr>
          </w:pPr>
          <w:r>
            <w:fldChar w:fldCharType="begin"/>
          </w:r>
          <w:r>
            <w:instrText xml:space="preserve"> TOC \o "1-3" \h \z \u </w:instrText>
          </w:r>
          <w:r>
            <w:fldChar w:fldCharType="separate"/>
          </w:r>
          <w:hyperlink w:anchor="_Toc141875196" w:history="1">
            <w:r w:rsidR="00C8740D" w:rsidRPr="00A237A6">
              <w:rPr>
                <w:rStyle w:val="Hyperlink"/>
              </w:rPr>
              <w:t>Introduction</w:t>
            </w:r>
            <w:r w:rsidR="00C8740D">
              <w:rPr>
                <w:webHidden/>
              </w:rPr>
              <w:tab/>
            </w:r>
            <w:r w:rsidR="00C8740D">
              <w:rPr>
                <w:webHidden/>
              </w:rPr>
              <w:fldChar w:fldCharType="begin"/>
            </w:r>
            <w:r w:rsidR="00C8740D">
              <w:rPr>
                <w:webHidden/>
              </w:rPr>
              <w:instrText xml:space="preserve"> PAGEREF _Toc141875196 \h </w:instrText>
            </w:r>
            <w:r w:rsidR="00C8740D">
              <w:rPr>
                <w:webHidden/>
              </w:rPr>
            </w:r>
            <w:r w:rsidR="00C8740D">
              <w:rPr>
                <w:webHidden/>
              </w:rPr>
              <w:fldChar w:fldCharType="separate"/>
            </w:r>
            <w:r w:rsidR="00A721BB">
              <w:rPr>
                <w:webHidden/>
              </w:rPr>
              <w:t>4</w:t>
            </w:r>
            <w:r w:rsidR="00C8740D">
              <w:rPr>
                <w:webHidden/>
              </w:rPr>
              <w:fldChar w:fldCharType="end"/>
            </w:r>
          </w:hyperlink>
        </w:p>
        <w:p w14:paraId="65C1A1F7" w14:textId="3E650248" w:rsidR="00C8740D" w:rsidRDefault="00000000">
          <w:pPr>
            <w:pStyle w:val="TOC3"/>
            <w:rPr>
              <w:rFonts w:cstheme="minorBidi"/>
              <w:kern w:val="2"/>
              <w:sz w:val="22"/>
              <w:szCs w:val="22"/>
              <w:lang w:eastAsia="en-AU"/>
              <w14:ligatures w14:val="standardContextual"/>
            </w:rPr>
          </w:pPr>
          <w:hyperlink w:anchor="_Toc141875197" w:history="1">
            <w:r w:rsidR="00C8740D" w:rsidRPr="00A237A6">
              <w:rPr>
                <w:rStyle w:val="Hyperlink"/>
              </w:rPr>
              <w:t>Decision making under Division 3 of Part IV</w:t>
            </w:r>
            <w:r w:rsidR="00C8740D">
              <w:rPr>
                <w:webHidden/>
              </w:rPr>
              <w:tab/>
            </w:r>
            <w:r w:rsidR="00C8740D">
              <w:rPr>
                <w:webHidden/>
              </w:rPr>
              <w:fldChar w:fldCharType="begin"/>
            </w:r>
            <w:r w:rsidR="00C8740D">
              <w:rPr>
                <w:webHidden/>
              </w:rPr>
              <w:instrText xml:space="preserve"> PAGEREF _Toc141875197 \h </w:instrText>
            </w:r>
            <w:r w:rsidR="00C8740D">
              <w:rPr>
                <w:webHidden/>
              </w:rPr>
            </w:r>
            <w:r w:rsidR="00C8740D">
              <w:rPr>
                <w:webHidden/>
              </w:rPr>
              <w:fldChar w:fldCharType="separate"/>
            </w:r>
            <w:r w:rsidR="00A721BB">
              <w:rPr>
                <w:webHidden/>
              </w:rPr>
              <w:t>4</w:t>
            </w:r>
            <w:r w:rsidR="00C8740D">
              <w:rPr>
                <w:webHidden/>
              </w:rPr>
              <w:fldChar w:fldCharType="end"/>
            </w:r>
          </w:hyperlink>
        </w:p>
        <w:p w14:paraId="506F7DC9" w14:textId="016AE0D5" w:rsidR="00C8740D" w:rsidRDefault="00000000">
          <w:pPr>
            <w:pStyle w:val="TOC3"/>
            <w:rPr>
              <w:rFonts w:cstheme="minorBidi"/>
              <w:kern w:val="2"/>
              <w:sz w:val="22"/>
              <w:szCs w:val="22"/>
              <w:lang w:eastAsia="en-AU"/>
              <w14:ligatures w14:val="standardContextual"/>
            </w:rPr>
          </w:pPr>
          <w:hyperlink w:anchor="_Toc141875198" w:history="1">
            <w:r w:rsidR="00C8740D" w:rsidRPr="00A237A6">
              <w:rPr>
                <w:rStyle w:val="Hyperlink"/>
              </w:rPr>
              <w:t>Identifying the matters that must be established for each conditional exemption</w:t>
            </w:r>
            <w:r w:rsidR="00C8740D">
              <w:rPr>
                <w:webHidden/>
              </w:rPr>
              <w:tab/>
            </w:r>
            <w:r w:rsidR="00C8740D">
              <w:rPr>
                <w:webHidden/>
              </w:rPr>
              <w:fldChar w:fldCharType="begin"/>
            </w:r>
            <w:r w:rsidR="00C8740D">
              <w:rPr>
                <w:webHidden/>
              </w:rPr>
              <w:instrText xml:space="preserve"> PAGEREF _Toc141875198 \h </w:instrText>
            </w:r>
            <w:r w:rsidR="00C8740D">
              <w:rPr>
                <w:webHidden/>
              </w:rPr>
            </w:r>
            <w:r w:rsidR="00C8740D">
              <w:rPr>
                <w:webHidden/>
              </w:rPr>
              <w:fldChar w:fldCharType="separate"/>
            </w:r>
            <w:r w:rsidR="00A721BB">
              <w:rPr>
                <w:webHidden/>
              </w:rPr>
              <w:t>5</w:t>
            </w:r>
            <w:r w:rsidR="00C8740D">
              <w:rPr>
                <w:webHidden/>
              </w:rPr>
              <w:fldChar w:fldCharType="end"/>
            </w:r>
          </w:hyperlink>
        </w:p>
        <w:p w14:paraId="603967ED" w14:textId="3D6EB140" w:rsidR="00C8740D" w:rsidRDefault="00000000">
          <w:pPr>
            <w:pStyle w:val="TOC3"/>
            <w:rPr>
              <w:rFonts w:cstheme="minorBidi"/>
              <w:kern w:val="2"/>
              <w:sz w:val="22"/>
              <w:szCs w:val="22"/>
              <w:lang w:eastAsia="en-AU"/>
              <w14:ligatures w14:val="standardContextual"/>
            </w:rPr>
          </w:pPr>
          <w:hyperlink w:anchor="_Toc141875199" w:history="1">
            <w:r w:rsidR="00C8740D" w:rsidRPr="00A237A6">
              <w:rPr>
                <w:rStyle w:val="Hyperlink"/>
              </w:rPr>
              <w:t>Commonly used terms</w:t>
            </w:r>
            <w:r w:rsidR="00C8740D">
              <w:rPr>
                <w:webHidden/>
              </w:rPr>
              <w:tab/>
            </w:r>
            <w:r w:rsidR="00C8740D">
              <w:rPr>
                <w:webHidden/>
              </w:rPr>
              <w:fldChar w:fldCharType="begin"/>
            </w:r>
            <w:r w:rsidR="00C8740D">
              <w:rPr>
                <w:webHidden/>
              </w:rPr>
              <w:instrText xml:space="preserve"> PAGEREF _Toc141875199 \h </w:instrText>
            </w:r>
            <w:r w:rsidR="00C8740D">
              <w:rPr>
                <w:webHidden/>
              </w:rPr>
            </w:r>
            <w:r w:rsidR="00C8740D">
              <w:rPr>
                <w:webHidden/>
              </w:rPr>
              <w:fldChar w:fldCharType="separate"/>
            </w:r>
            <w:r w:rsidR="00A721BB">
              <w:rPr>
                <w:webHidden/>
              </w:rPr>
              <w:t>7</w:t>
            </w:r>
            <w:r w:rsidR="00C8740D">
              <w:rPr>
                <w:webHidden/>
              </w:rPr>
              <w:fldChar w:fldCharType="end"/>
            </w:r>
          </w:hyperlink>
        </w:p>
        <w:p w14:paraId="1554DC1F" w14:textId="4A488D64" w:rsidR="00C8740D" w:rsidRDefault="00000000">
          <w:pPr>
            <w:pStyle w:val="TOC2"/>
            <w:rPr>
              <w:rFonts w:asciiTheme="minorHAnsi" w:hAnsiTheme="minorHAnsi" w:cstheme="minorBidi"/>
              <w:kern w:val="2"/>
              <w:szCs w:val="22"/>
              <w:lang w:eastAsia="en-AU"/>
              <w14:ligatures w14:val="standardContextual"/>
            </w:rPr>
          </w:pPr>
          <w:hyperlink w:anchor="_Toc141875200" w:history="1">
            <w:r w:rsidR="00C8740D" w:rsidRPr="00A237A6">
              <w:rPr>
                <w:rStyle w:val="Hyperlink"/>
              </w:rPr>
              <w:t>Documents affecting Commonwealth-State relations (s 47B)</w:t>
            </w:r>
            <w:r w:rsidR="00C8740D">
              <w:rPr>
                <w:webHidden/>
              </w:rPr>
              <w:tab/>
            </w:r>
            <w:r w:rsidR="00C8740D">
              <w:rPr>
                <w:webHidden/>
              </w:rPr>
              <w:fldChar w:fldCharType="begin"/>
            </w:r>
            <w:r w:rsidR="00C8740D">
              <w:rPr>
                <w:webHidden/>
              </w:rPr>
              <w:instrText xml:space="preserve"> PAGEREF _Toc141875200 \h </w:instrText>
            </w:r>
            <w:r w:rsidR="00C8740D">
              <w:rPr>
                <w:webHidden/>
              </w:rPr>
            </w:r>
            <w:r w:rsidR="00C8740D">
              <w:rPr>
                <w:webHidden/>
              </w:rPr>
              <w:fldChar w:fldCharType="separate"/>
            </w:r>
            <w:r w:rsidR="00A721BB">
              <w:rPr>
                <w:webHidden/>
              </w:rPr>
              <w:t>9</w:t>
            </w:r>
            <w:r w:rsidR="00C8740D">
              <w:rPr>
                <w:webHidden/>
              </w:rPr>
              <w:fldChar w:fldCharType="end"/>
            </w:r>
          </w:hyperlink>
        </w:p>
        <w:p w14:paraId="738D4FC0" w14:textId="2AC1C4C7" w:rsidR="00C8740D" w:rsidRDefault="00000000">
          <w:pPr>
            <w:pStyle w:val="TOC3"/>
            <w:rPr>
              <w:rFonts w:cstheme="minorBidi"/>
              <w:kern w:val="2"/>
              <w:sz w:val="22"/>
              <w:szCs w:val="22"/>
              <w:lang w:eastAsia="en-AU"/>
              <w14:ligatures w14:val="standardContextual"/>
            </w:rPr>
          </w:pPr>
          <w:hyperlink w:anchor="_Toc141875201" w:history="1">
            <w:r w:rsidR="00C8740D" w:rsidRPr="00A237A6">
              <w:rPr>
                <w:rStyle w:val="Hyperlink"/>
              </w:rPr>
              <w:t>Relevance of the author of the document</w:t>
            </w:r>
            <w:r w:rsidR="00C8740D">
              <w:rPr>
                <w:webHidden/>
              </w:rPr>
              <w:tab/>
            </w:r>
            <w:r w:rsidR="00C8740D">
              <w:rPr>
                <w:webHidden/>
              </w:rPr>
              <w:fldChar w:fldCharType="begin"/>
            </w:r>
            <w:r w:rsidR="00C8740D">
              <w:rPr>
                <w:webHidden/>
              </w:rPr>
              <w:instrText xml:space="preserve"> PAGEREF _Toc141875201 \h </w:instrText>
            </w:r>
            <w:r w:rsidR="00C8740D">
              <w:rPr>
                <w:webHidden/>
              </w:rPr>
            </w:r>
            <w:r w:rsidR="00C8740D">
              <w:rPr>
                <w:webHidden/>
              </w:rPr>
              <w:fldChar w:fldCharType="separate"/>
            </w:r>
            <w:r w:rsidR="00A721BB">
              <w:rPr>
                <w:webHidden/>
              </w:rPr>
              <w:t>9</w:t>
            </w:r>
            <w:r w:rsidR="00C8740D">
              <w:rPr>
                <w:webHidden/>
              </w:rPr>
              <w:fldChar w:fldCharType="end"/>
            </w:r>
          </w:hyperlink>
        </w:p>
        <w:p w14:paraId="0F396553" w14:textId="2B0E08BB" w:rsidR="00C8740D" w:rsidRDefault="00000000">
          <w:pPr>
            <w:pStyle w:val="TOC3"/>
            <w:rPr>
              <w:rFonts w:cstheme="minorBidi"/>
              <w:kern w:val="2"/>
              <w:sz w:val="22"/>
              <w:szCs w:val="22"/>
              <w:lang w:eastAsia="en-AU"/>
              <w14:ligatures w14:val="standardContextual"/>
            </w:rPr>
          </w:pPr>
          <w:hyperlink w:anchor="_Toc141875202" w:history="1">
            <w:r w:rsidR="00C8740D" w:rsidRPr="00A237A6">
              <w:rPr>
                <w:rStyle w:val="Hyperlink"/>
              </w:rPr>
              <w:t>Cause damage to Commonwealth-State relations</w:t>
            </w:r>
            <w:r w:rsidR="00C8740D">
              <w:rPr>
                <w:webHidden/>
              </w:rPr>
              <w:tab/>
            </w:r>
            <w:r w:rsidR="00C8740D">
              <w:rPr>
                <w:webHidden/>
              </w:rPr>
              <w:fldChar w:fldCharType="begin"/>
            </w:r>
            <w:r w:rsidR="00C8740D">
              <w:rPr>
                <w:webHidden/>
              </w:rPr>
              <w:instrText xml:space="preserve"> PAGEREF _Toc141875202 \h </w:instrText>
            </w:r>
            <w:r w:rsidR="00C8740D">
              <w:rPr>
                <w:webHidden/>
              </w:rPr>
            </w:r>
            <w:r w:rsidR="00C8740D">
              <w:rPr>
                <w:webHidden/>
              </w:rPr>
              <w:fldChar w:fldCharType="separate"/>
            </w:r>
            <w:r w:rsidR="00A721BB">
              <w:rPr>
                <w:webHidden/>
              </w:rPr>
              <w:t>9</w:t>
            </w:r>
            <w:r w:rsidR="00C8740D">
              <w:rPr>
                <w:webHidden/>
              </w:rPr>
              <w:fldChar w:fldCharType="end"/>
            </w:r>
          </w:hyperlink>
        </w:p>
        <w:p w14:paraId="27F0DC46" w14:textId="2B8B4E4B" w:rsidR="00C8740D" w:rsidRDefault="00000000">
          <w:pPr>
            <w:pStyle w:val="TOC3"/>
            <w:rPr>
              <w:rFonts w:cstheme="minorBidi"/>
              <w:kern w:val="2"/>
              <w:sz w:val="22"/>
              <w:szCs w:val="22"/>
              <w:lang w:eastAsia="en-AU"/>
              <w14:ligatures w14:val="standardContextual"/>
            </w:rPr>
          </w:pPr>
          <w:hyperlink w:anchor="_Toc141875203" w:history="1">
            <w:r w:rsidR="00C8740D" w:rsidRPr="00A237A6">
              <w:rPr>
                <w:rStyle w:val="Hyperlink"/>
              </w:rPr>
              <w:t>Damage to be reasonably expected</w:t>
            </w:r>
            <w:r w:rsidR="00C8740D">
              <w:rPr>
                <w:webHidden/>
              </w:rPr>
              <w:tab/>
            </w:r>
            <w:r w:rsidR="00C8740D">
              <w:rPr>
                <w:webHidden/>
              </w:rPr>
              <w:fldChar w:fldCharType="begin"/>
            </w:r>
            <w:r w:rsidR="00C8740D">
              <w:rPr>
                <w:webHidden/>
              </w:rPr>
              <w:instrText xml:space="preserve"> PAGEREF _Toc141875203 \h </w:instrText>
            </w:r>
            <w:r w:rsidR="00C8740D">
              <w:rPr>
                <w:webHidden/>
              </w:rPr>
            </w:r>
            <w:r w:rsidR="00C8740D">
              <w:rPr>
                <w:webHidden/>
              </w:rPr>
              <w:fldChar w:fldCharType="separate"/>
            </w:r>
            <w:r w:rsidR="00A721BB">
              <w:rPr>
                <w:webHidden/>
              </w:rPr>
              <w:t>11</w:t>
            </w:r>
            <w:r w:rsidR="00C8740D">
              <w:rPr>
                <w:webHidden/>
              </w:rPr>
              <w:fldChar w:fldCharType="end"/>
            </w:r>
          </w:hyperlink>
        </w:p>
        <w:p w14:paraId="5E3F28F8" w14:textId="3F8D098C" w:rsidR="00C8740D" w:rsidRDefault="00000000">
          <w:pPr>
            <w:pStyle w:val="TOC3"/>
            <w:rPr>
              <w:rFonts w:cstheme="minorBidi"/>
              <w:kern w:val="2"/>
              <w:sz w:val="22"/>
              <w:szCs w:val="22"/>
              <w:lang w:eastAsia="en-AU"/>
              <w14:ligatures w14:val="standardContextual"/>
            </w:rPr>
          </w:pPr>
          <w:hyperlink w:anchor="_Toc141875204" w:history="1">
            <w:r w:rsidR="00C8740D" w:rsidRPr="00A237A6">
              <w:rPr>
                <w:rStyle w:val="Hyperlink"/>
              </w:rPr>
              <w:t>Information communicated in confidence</w:t>
            </w:r>
            <w:r w:rsidR="00C8740D">
              <w:rPr>
                <w:webHidden/>
              </w:rPr>
              <w:tab/>
            </w:r>
            <w:r w:rsidR="00C8740D">
              <w:rPr>
                <w:webHidden/>
              </w:rPr>
              <w:fldChar w:fldCharType="begin"/>
            </w:r>
            <w:r w:rsidR="00C8740D">
              <w:rPr>
                <w:webHidden/>
              </w:rPr>
              <w:instrText xml:space="preserve"> PAGEREF _Toc141875204 \h </w:instrText>
            </w:r>
            <w:r w:rsidR="00C8740D">
              <w:rPr>
                <w:webHidden/>
              </w:rPr>
            </w:r>
            <w:r w:rsidR="00C8740D">
              <w:rPr>
                <w:webHidden/>
              </w:rPr>
              <w:fldChar w:fldCharType="separate"/>
            </w:r>
            <w:r w:rsidR="00A721BB">
              <w:rPr>
                <w:webHidden/>
              </w:rPr>
              <w:t>11</w:t>
            </w:r>
            <w:r w:rsidR="00C8740D">
              <w:rPr>
                <w:webHidden/>
              </w:rPr>
              <w:fldChar w:fldCharType="end"/>
            </w:r>
          </w:hyperlink>
        </w:p>
        <w:p w14:paraId="38138D22" w14:textId="3667CF6D" w:rsidR="00C8740D" w:rsidRDefault="00000000">
          <w:pPr>
            <w:pStyle w:val="TOC3"/>
            <w:rPr>
              <w:rFonts w:cstheme="minorBidi"/>
              <w:kern w:val="2"/>
              <w:sz w:val="22"/>
              <w:szCs w:val="22"/>
              <w:lang w:eastAsia="en-AU"/>
              <w14:ligatures w14:val="standardContextual"/>
            </w:rPr>
          </w:pPr>
          <w:hyperlink w:anchor="_Toc141875205" w:history="1">
            <w:r w:rsidR="00C8740D" w:rsidRPr="00A237A6">
              <w:rPr>
                <w:rStyle w:val="Hyperlink"/>
              </w:rPr>
              <w:t>A State and an authority of a State</w:t>
            </w:r>
            <w:r w:rsidR="00C8740D">
              <w:rPr>
                <w:webHidden/>
              </w:rPr>
              <w:tab/>
            </w:r>
            <w:r w:rsidR="00C8740D">
              <w:rPr>
                <w:webHidden/>
              </w:rPr>
              <w:fldChar w:fldCharType="begin"/>
            </w:r>
            <w:r w:rsidR="00C8740D">
              <w:rPr>
                <w:webHidden/>
              </w:rPr>
              <w:instrText xml:space="preserve"> PAGEREF _Toc141875205 \h </w:instrText>
            </w:r>
            <w:r w:rsidR="00C8740D">
              <w:rPr>
                <w:webHidden/>
              </w:rPr>
            </w:r>
            <w:r w:rsidR="00C8740D">
              <w:rPr>
                <w:webHidden/>
              </w:rPr>
              <w:fldChar w:fldCharType="separate"/>
            </w:r>
            <w:r w:rsidR="00A721BB">
              <w:rPr>
                <w:webHidden/>
              </w:rPr>
              <w:t>12</w:t>
            </w:r>
            <w:r w:rsidR="00C8740D">
              <w:rPr>
                <w:webHidden/>
              </w:rPr>
              <w:fldChar w:fldCharType="end"/>
            </w:r>
          </w:hyperlink>
        </w:p>
        <w:p w14:paraId="611A1F6D" w14:textId="1639F209" w:rsidR="00C8740D" w:rsidRDefault="00000000">
          <w:pPr>
            <w:pStyle w:val="TOC3"/>
            <w:rPr>
              <w:rFonts w:cstheme="minorBidi"/>
              <w:kern w:val="2"/>
              <w:sz w:val="22"/>
              <w:szCs w:val="22"/>
              <w:lang w:eastAsia="en-AU"/>
              <w14:ligatures w14:val="standardContextual"/>
            </w:rPr>
          </w:pPr>
          <w:hyperlink w:anchor="_Toc141875206" w:history="1">
            <w:r w:rsidR="00C8740D" w:rsidRPr="00A237A6">
              <w:rPr>
                <w:rStyle w:val="Hyperlink"/>
              </w:rPr>
              <w:t>Consultation with a State (s 26A)</w:t>
            </w:r>
            <w:r w:rsidR="00C8740D">
              <w:rPr>
                <w:webHidden/>
              </w:rPr>
              <w:tab/>
            </w:r>
            <w:r w:rsidR="00C8740D">
              <w:rPr>
                <w:webHidden/>
              </w:rPr>
              <w:fldChar w:fldCharType="begin"/>
            </w:r>
            <w:r w:rsidR="00C8740D">
              <w:rPr>
                <w:webHidden/>
              </w:rPr>
              <w:instrText xml:space="preserve"> PAGEREF _Toc141875206 \h </w:instrText>
            </w:r>
            <w:r w:rsidR="00C8740D">
              <w:rPr>
                <w:webHidden/>
              </w:rPr>
            </w:r>
            <w:r w:rsidR="00C8740D">
              <w:rPr>
                <w:webHidden/>
              </w:rPr>
              <w:fldChar w:fldCharType="separate"/>
            </w:r>
            <w:r w:rsidR="00A721BB">
              <w:rPr>
                <w:webHidden/>
              </w:rPr>
              <w:t>12</w:t>
            </w:r>
            <w:r w:rsidR="00C8740D">
              <w:rPr>
                <w:webHidden/>
              </w:rPr>
              <w:fldChar w:fldCharType="end"/>
            </w:r>
          </w:hyperlink>
        </w:p>
        <w:p w14:paraId="42347CC7" w14:textId="4E854B70" w:rsidR="00C8740D" w:rsidRDefault="00000000">
          <w:pPr>
            <w:pStyle w:val="TOC3"/>
            <w:rPr>
              <w:rFonts w:cstheme="minorBidi"/>
              <w:kern w:val="2"/>
              <w:sz w:val="22"/>
              <w:szCs w:val="22"/>
              <w:lang w:eastAsia="en-AU"/>
              <w14:ligatures w14:val="standardContextual"/>
            </w:rPr>
          </w:pPr>
          <w:hyperlink w:anchor="_Toc141875207" w:history="1">
            <w:r w:rsidR="00C8740D" w:rsidRPr="00A237A6">
              <w:rPr>
                <w:rStyle w:val="Hyperlink"/>
              </w:rPr>
              <w:t>Consultation comments to be considered when assessing conditional exemption</w:t>
            </w:r>
            <w:r w:rsidR="00C8740D">
              <w:rPr>
                <w:webHidden/>
              </w:rPr>
              <w:tab/>
            </w:r>
            <w:r w:rsidR="00C8740D">
              <w:rPr>
                <w:webHidden/>
              </w:rPr>
              <w:fldChar w:fldCharType="begin"/>
            </w:r>
            <w:r w:rsidR="00C8740D">
              <w:rPr>
                <w:webHidden/>
              </w:rPr>
              <w:instrText xml:space="preserve"> PAGEREF _Toc141875207 \h </w:instrText>
            </w:r>
            <w:r w:rsidR="00C8740D">
              <w:rPr>
                <w:webHidden/>
              </w:rPr>
            </w:r>
            <w:r w:rsidR="00C8740D">
              <w:rPr>
                <w:webHidden/>
              </w:rPr>
              <w:fldChar w:fldCharType="separate"/>
            </w:r>
            <w:r w:rsidR="00A721BB">
              <w:rPr>
                <w:webHidden/>
              </w:rPr>
              <w:t>13</w:t>
            </w:r>
            <w:r w:rsidR="00C8740D">
              <w:rPr>
                <w:webHidden/>
              </w:rPr>
              <w:fldChar w:fldCharType="end"/>
            </w:r>
          </w:hyperlink>
        </w:p>
        <w:p w14:paraId="72A3B282" w14:textId="5EDB0B02" w:rsidR="00C8740D" w:rsidRDefault="00000000">
          <w:pPr>
            <w:pStyle w:val="TOC2"/>
            <w:rPr>
              <w:rFonts w:asciiTheme="minorHAnsi" w:hAnsiTheme="minorHAnsi" w:cstheme="minorBidi"/>
              <w:kern w:val="2"/>
              <w:szCs w:val="22"/>
              <w:lang w:eastAsia="en-AU"/>
              <w14:ligatures w14:val="standardContextual"/>
            </w:rPr>
          </w:pPr>
          <w:hyperlink w:anchor="_Toc141875208" w:history="1">
            <w:r w:rsidR="00C8740D" w:rsidRPr="00A237A6">
              <w:rPr>
                <w:rStyle w:val="Hyperlink"/>
              </w:rPr>
              <w:t>Documents subject to deliberative processes (s 47C)</w:t>
            </w:r>
            <w:r w:rsidR="00C8740D">
              <w:rPr>
                <w:webHidden/>
              </w:rPr>
              <w:tab/>
            </w:r>
            <w:r w:rsidR="00C8740D">
              <w:rPr>
                <w:webHidden/>
              </w:rPr>
              <w:fldChar w:fldCharType="begin"/>
            </w:r>
            <w:r w:rsidR="00C8740D">
              <w:rPr>
                <w:webHidden/>
              </w:rPr>
              <w:instrText xml:space="preserve"> PAGEREF _Toc141875208 \h </w:instrText>
            </w:r>
            <w:r w:rsidR="00C8740D">
              <w:rPr>
                <w:webHidden/>
              </w:rPr>
            </w:r>
            <w:r w:rsidR="00C8740D">
              <w:rPr>
                <w:webHidden/>
              </w:rPr>
              <w:fldChar w:fldCharType="separate"/>
            </w:r>
            <w:r w:rsidR="00A721BB">
              <w:rPr>
                <w:webHidden/>
              </w:rPr>
              <w:t>13</w:t>
            </w:r>
            <w:r w:rsidR="00C8740D">
              <w:rPr>
                <w:webHidden/>
              </w:rPr>
              <w:fldChar w:fldCharType="end"/>
            </w:r>
          </w:hyperlink>
        </w:p>
        <w:p w14:paraId="0D042BBA" w14:textId="4903F935" w:rsidR="00C8740D" w:rsidRDefault="00000000">
          <w:pPr>
            <w:pStyle w:val="TOC3"/>
            <w:rPr>
              <w:rFonts w:cstheme="minorBidi"/>
              <w:kern w:val="2"/>
              <w:sz w:val="22"/>
              <w:szCs w:val="22"/>
              <w:lang w:eastAsia="en-AU"/>
              <w14:ligatures w14:val="standardContextual"/>
            </w:rPr>
          </w:pPr>
          <w:hyperlink w:anchor="_Toc141875209" w:history="1">
            <w:r w:rsidR="00C8740D" w:rsidRPr="00A237A6">
              <w:rPr>
                <w:rStyle w:val="Hyperlink"/>
              </w:rPr>
              <w:t>Deliberative process</w:t>
            </w:r>
            <w:r w:rsidR="00C8740D">
              <w:rPr>
                <w:webHidden/>
              </w:rPr>
              <w:tab/>
            </w:r>
            <w:r w:rsidR="00C8740D">
              <w:rPr>
                <w:webHidden/>
              </w:rPr>
              <w:fldChar w:fldCharType="begin"/>
            </w:r>
            <w:r w:rsidR="00C8740D">
              <w:rPr>
                <w:webHidden/>
              </w:rPr>
              <w:instrText xml:space="preserve"> PAGEREF _Toc141875209 \h </w:instrText>
            </w:r>
            <w:r w:rsidR="00C8740D">
              <w:rPr>
                <w:webHidden/>
              </w:rPr>
            </w:r>
            <w:r w:rsidR="00C8740D">
              <w:rPr>
                <w:webHidden/>
              </w:rPr>
              <w:fldChar w:fldCharType="separate"/>
            </w:r>
            <w:r w:rsidR="00A721BB">
              <w:rPr>
                <w:webHidden/>
              </w:rPr>
              <w:t>14</w:t>
            </w:r>
            <w:r w:rsidR="00C8740D">
              <w:rPr>
                <w:webHidden/>
              </w:rPr>
              <w:fldChar w:fldCharType="end"/>
            </w:r>
          </w:hyperlink>
        </w:p>
        <w:p w14:paraId="740E33D7" w14:textId="14DE45EC" w:rsidR="00C8740D" w:rsidRDefault="00000000">
          <w:pPr>
            <w:pStyle w:val="TOC3"/>
            <w:rPr>
              <w:rFonts w:cstheme="minorBidi"/>
              <w:kern w:val="2"/>
              <w:sz w:val="22"/>
              <w:szCs w:val="22"/>
              <w:lang w:eastAsia="en-AU"/>
              <w14:ligatures w14:val="standardContextual"/>
            </w:rPr>
          </w:pPr>
          <w:hyperlink w:anchor="_Toc141875210" w:history="1">
            <w:r w:rsidR="00C8740D" w:rsidRPr="00A237A6">
              <w:rPr>
                <w:rStyle w:val="Hyperlink"/>
              </w:rPr>
              <w:t>Assessing deliberative matter</w:t>
            </w:r>
            <w:r w:rsidR="00C8740D">
              <w:rPr>
                <w:webHidden/>
              </w:rPr>
              <w:tab/>
            </w:r>
            <w:r w:rsidR="00C8740D">
              <w:rPr>
                <w:webHidden/>
              </w:rPr>
              <w:fldChar w:fldCharType="begin"/>
            </w:r>
            <w:r w:rsidR="00C8740D">
              <w:rPr>
                <w:webHidden/>
              </w:rPr>
              <w:instrText xml:space="preserve"> PAGEREF _Toc141875210 \h </w:instrText>
            </w:r>
            <w:r w:rsidR="00C8740D">
              <w:rPr>
                <w:webHidden/>
              </w:rPr>
            </w:r>
            <w:r w:rsidR="00C8740D">
              <w:rPr>
                <w:webHidden/>
              </w:rPr>
              <w:fldChar w:fldCharType="separate"/>
            </w:r>
            <w:r w:rsidR="00A721BB">
              <w:rPr>
                <w:webHidden/>
              </w:rPr>
              <w:t>15</w:t>
            </w:r>
            <w:r w:rsidR="00C8740D">
              <w:rPr>
                <w:webHidden/>
              </w:rPr>
              <w:fldChar w:fldCharType="end"/>
            </w:r>
          </w:hyperlink>
        </w:p>
        <w:p w14:paraId="5FE7C4ED" w14:textId="18859540" w:rsidR="00C8740D" w:rsidRDefault="00000000">
          <w:pPr>
            <w:pStyle w:val="TOC3"/>
            <w:rPr>
              <w:rFonts w:cstheme="minorBidi"/>
              <w:kern w:val="2"/>
              <w:sz w:val="22"/>
              <w:szCs w:val="22"/>
              <w:lang w:eastAsia="en-AU"/>
              <w14:ligatures w14:val="standardContextual"/>
            </w:rPr>
          </w:pPr>
          <w:hyperlink w:anchor="_Toc141875211" w:history="1">
            <w:r w:rsidR="00C8740D" w:rsidRPr="00A237A6">
              <w:rPr>
                <w:rStyle w:val="Hyperlink"/>
              </w:rPr>
              <w:t>Consultation</w:t>
            </w:r>
            <w:r w:rsidR="00C8740D">
              <w:rPr>
                <w:webHidden/>
              </w:rPr>
              <w:tab/>
            </w:r>
            <w:r w:rsidR="00C8740D">
              <w:rPr>
                <w:webHidden/>
              </w:rPr>
              <w:fldChar w:fldCharType="begin"/>
            </w:r>
            <w:r w:rsidR="00C8740D">
              <w:rPr>
                <w:webHidden/>
              </w:rPr>
              <w:instrText xml:space="preserve"> PAGEREF _Toc141875211 \h </w:instrText>
            </w:r>
            <w:r w:rsidR="00C8740D">
              <w:rPr>
                <w:webHidden/>
              </w:rPr>
            </w:r>
            <w:r w:rsidR="00C8740D">
              <w:rPr>
                <w:webHidden/>
              </w:rPr>
              <w:fldChar w:fldCharType="separate"/>
            </w:r>
            <w:r w:rsidR="00A721BB">
              <w:rPr>
                <w:webHidden/>
              </w:rPr>
              <w:t>16</w:t>
            </w:r>
            <w:r w:rsidR="00C8740D">
              <w:rPr>
                <w:webHidden/>
              </w:rPr>
              <w:fldChar w:fldCharType="end"/>
            </w:r>
          </w:hyperlink>
        </w:p>
        <w:p w14:paraId="597AA1D2" w14:textId="506A9ED7" w:rsidR="00C8740D" w:rsidRDefault="00000000">
          <w:pPr>
            <w:pStyle w:val="TOC3"/>
            <w:rPr>
              <w:rFonts w:cstheme="minorBidi"/>
              <w:kern w:val="2"/>
              <w:sz w:val="22"/>
              <w:szCs w:val="22"/>
              <w:lang w:eastAsia="en-AU"/>
              <w14:ligatures w14:val="standardContextual"/>
            </w:rPr>
          </w:pPr>
          <w:hyperlink w:anchor="_Toc141875212" w:history="1">
            <w:r w:rsidR="00C8740D" w:rsidRPr="00A237A6">
              <w:rPr>
                <w:rStyle w:val="Hyperlink"/>
              </w:rPr>
              <w:t>Purely factual material</w:t>
            </w:r>
            <w:r w:rsidR="00C8740D">
              <w:rPr>
                <w:webHidden/>
              </w:rPr>
              <w:tab/>
            </w:r>
            <w:r w:rsidR="00C8740D">
              <w:rPr>
                <w:webHidden/>
              </w:rPr>
              <w:fldChar w:fldCharType="begin"/>
            </w:r>
            <w:r w:rsidR="00C8740D">
              <w:rPr>
                <w:webHidden/>
              </w:rPr>
              <w:instrText xml:space="preserve"> PAGEREF _Toc141875212 \h </w:instrText>
            </w:r>
            <w:r w:rsidR="00C8740D">
              <w:rPr>
                <w:webHidden/>
              </w:rPr>
            </w:r>
            <w:r w:rsidR="00C8740D">
              <w:rPr>
                <w:webHidden/>
              </w:rPr>
              <w:fldChar w:fldCharType="separate"/>
            </w:r>
            <w:r w:rsidR="00A721BB">
              <w:rPr>
                <w:webHidden/>
              </w:rPr>
              <w:t>16</w:t>
            </w:r>
            <w:r w:rsidR="00C8740D">
              <w:rPr>
                <w:webHidden/>
              </w:rPr>
              <w:fldChar w:fldCharType="end"/>
            </w:r>
          </w:hyperlink>
        </w:p>
        <w:p w14:paraId="509EDA71" w14:textId="672D53B0" w:rsidR="00C8740D" w:rsidRDefault="00000000">
          <w:pPr>
            <w:pStyle w:val="TOC3"/>
            <w:rPr>
              <w:rFonts w:cstheme="minorBidi"/>
              <w:kern w:val="2"/>
              <w:sz w:val="22"/>
              <w:szCs w:val="22"/>
              <w:lang w:eastAsia="en-AU"/>
              <w14:ligatures w14:val="standardContextual"/>
            </w:rPr>
          </w:pPr>
          <w:hyperlink w:anchor="_Toc141875213" w:history="1">
            <w:r w:rsidR="00C8740D" w:rsidRPr="00A237A6">
              <w:rPr>
                <w:rStyle w:val="Hyperlink"/>
              </w:rPr>
              <w:t>Reports on scientific or technical matters</w:t>
            </w:r>
            <w:r w:rsidR="00C8740D">
              <w:rPr>
                <w:webHidden/>
              </w:rPr>
              <w:tab/>
            </w:r>
            <w:r w:rsidR="00C8740D">
              <w:rPr>
                <w:webHidden/>
              </w:rPr>
              <w:fldChar w:fldCharType="begin"/>
            </w:r>
            <w:r w:rsidR="00C8740D">
              <w:rPr>
                <w:webHidden/>
              </w:rPr>
              <w:instrText xml:space="preserve"> PAGEREF _Toc141875213 \h </w:instrText>
            </w:r>
            <w:r w:rsidR="00C8740D">
              <w:rPr>
                <w:webHidden/>
              </w:rPr>
            </w:r>
            <w:r w:rsidR="00C8740D">
              <w:rPr>
                <w:webHidden/>
              </w:rPr>
              <w:fldChar w:fldCharType="separate"/>
            </w:r>
            <w:r w:rsidR="00A721BB">
              <w:rPr>
                <w:webHidden/>
              </w:rPr>
              <w:t>17</w:t>
            </w:r>
            <w:r w:rsidR="00C8740D">
              <w:rPr>
                <w:webHidden/>
              </w:rPr>
              <w:fldChar w:fldCharType="end"/>
            </w:r>
          </w:hyperlink>
        </w:p>
        <w:p w14:paraId="792F0321" w14:textId="33FF1E76" w:rsidR="00C8740D" w:rsidRDefault="00000000">
          <w:pPr>
            <w:pStyle w:val="TOC3"/>
            <w:rPr>
              <w:rFonts w:cstheme="minorBidi"/>
              <w:kern w:val="2"/>
              <w:sz w:val="22"/>
              <w:szCs w:val="22"/>
              <w:lang w:eastAsia="en-AU"/>
              <w14:ligatures w14:val="standardContextual"/>
            </w:rPr>
          </w:pPr>
          <w:hyperlink w:anchor="_Toc141875214" w:history="1">
            <w:r w:rsidR="00C8740D" w:rsidRPr="00A237A6">
              <w:rPr>
                <w:rStyle w:val="Hyperlink"/>
              </w:rPr>
              <w:t>Interaction with Cabinet documents exemption</w:t>
            </w:r>
            <w:r w:rsidR="00C8740D">
              <w:rPr>
                <w:webHidden/>
              </w:rPr>
              <w:tab/>
            </w:r>
            <w:r w:rsidR="00C8740D">
              <w:rPr>
                <w:webHidden/>
              </w:rPr>
              <w:fldChar w:fldCharType="begin"/>
            </w:r>
            <w:r w:rsidR="00C8740D">
              <w:rPr>
                <w:webHidden/>
              </w:rPr>
              <w:instrText xml:space="preserve"> PAGEREF _Toc141875214 \h </w:instrText>
            </w:r>
            <w:r w:rsidR="00C8740D">
              <w:rPr>
                <w:webHidden/>
              </w:rPr>
            </w:r>
            <w:r w:rsidR="00C8740D">
              <w:rPr>
                <w:webHidden/>
              </w:rPr>
              <w:fldChar w:fldCharType="separate"/>
            </w:r>
            <w:r w:rsidR="00A721BB">
              <w:rPr>
                <w:webHidden/>
              </w:rPr>
              <w:t>17</w:t>
            </w:r>
            <w:r w:rsidR="00C8740D">
              <w:rPr>
                <w:webHidden/>
              </w:rPr>
              <w:fldChar w:fldCharType="end"/>
            </w:r>
          </w:hyperlink>
        </w:p>
        <w:p w14:paraId="1B980047" w14:textId="0AF2724B" w:rsidR="00C8740D" w:rsidRDefault="00000000">
          <w:pPr>
            <w:pStyle w:val="TOC2"/>
            <w:rPr>
              <w:rFonts w:asciiTheme="minorHAnsi" w:hAnsiTheme="minorHAnsi" w:cstheme="minorBidi"/>
              <w:kern w:val="2"/>
              <w:szCs w:val="22"/>
              <w:lang w:eastAsia="en-AU"/>
              <w14:ligatures w14:val="standardContextual"/>
            </w:rPr>
          </w:pPr>
          <w:hyperlink w:anchor="_Toc141875215" w:history="1">
            <w:r w:rsidR="00C8740D" w:rsidRPr="00A237A6">
              <w:rPr>
                <w:rStyle w:val="Hyperlink"/>
              </w:rPr>
              <w:t>Documents affecting financial or property interests of the Commonwealth (s 47D)</w:t>
            </w:r>
            <w:r w:rsidR="00C8740D">
              <w:rPr>
                <w:webHidden/>
              </w:rPr>
              <w:tab/>
            </w:r>
            <w:r w:rsidR="00C8740D">
              <w:rPr>
                <w:webHidden/>
              </w:rPr>
              <w:fldChar w:fldCharType="begin"/>
            </w:r>
            <w:r w:rsidR="00C8740D">
              <w:rPr>
                <w:webHidden/>
              </w:rPr>
              <w:instrText xml:space="preserve"> PAGEREF _Toc141875215 \h </w:instrText>
            </w:r>
            <w:r w:rsidR="00C8740D">
              <w:rPr>
                <w:webHidden/>
              </w:rPr>
            </w:r>
            <w:r w:rsidR="00C8740D">
              <w:rPr>
                <w:webHidden/>
              </w:rPr>
              <w:fldChar w:fldCharType="separate"/>
            </w:r>
            <w:r w:rsidR="00A721BB">
              <w:rPr>
                <w:webHidden/>
              </w:rPr>
              <w:t>18</w:t>
            </w:r>
            <w:r w:rsidR="00C8740D">
              <w:rPr>
                <w:webHidden/>
              </w:rPr>
              <w:fldChar w:fldCharType="end"/>
            </w:r>
          </w:hyperlink>
        </w:p>
        <w:p w14:paraId="314F5DDD" w14:textId="25117C1B" w:rsidR="00C8740D" w:rsidRDefault="00000000">
          <w:pPr>
            <w:pStyle w:val="TOC3"/>
            <w:rPr>
              <w:rFonts w:cstheme="minorBidi"/>
              <w:kern w:val="2"/>
              <w:sz w:val="22"/>
              <w:szCs w:val="22"/>
              <w:lang w:eastAsia="en-AU"/>
              <w14:ligatures w14:val="standardContextual"/>
            </w:rPr>
          </w:pPr>
          <w:hyperlink w:anchor="_Toc141875216" w:history="1">
            <w:r w:rsidR="00C8740D" w:rsidRPr="00A237A6">
              <w:rPr>
                <w:rStyle w:val="Hyperlink"/>
              </w:rPr>
              <w:t>Financial or property interests</w:t>
            </w:r>
            <w:r w:rsidR="00C8740D">
              <w:rPr>
                <w:webHidden/>
              </w:rPr>
              <w:tab/>
            </w:r>
            <w:r w:rsidR="00C8740D">
              <w:rPr>
                <w:webHidden/>
              </w:rPr>
              <w:fldChar w:fldCharType="begin"/>
            </w:r>
            <w:r w:rsidR="00C8740D">
              <w:rPr>
                <w:webHidden/>
              </w:rPr>
              <w:instrText xml:space="preserve"> PAGEREF _Toc141875216 \h </w:instrText>
            </w:r>
            <w:r w:rsidR="00C8740D">
              <w:rPr>
                <w:webHidden/>
              </w:rPr>
            </w:r>
            <w:r w:rsidR="00C8740D">
              <w:rPr>
                <w:webHidden/>
              </w:rPr>
              <w:fldChar w:fldCharType="separate"/>
            </w:r>
            <w:r w:rsidR="00A721BB">
              <w:rPr>
                <w:webHidden/>
              </w:rPr>
              <w:t>18</w:t>
            </w:r>
            <w:r w:rsidR="00C8740D">
              <w:rPr>
                <w:webHidden/>
              </w:rPr>
              <w:fldChar w:fldCharType="end"/>
            </w:r>
          </w:hyperlink>
        </w:p>
        <w:p w14:paraId="4CD0B85B" w14:textId="75C76A6D" w:rsidR="00C8740D" w:rsidRDefault="00000000">
          <w:pPr>
            <w:pStyle w:val="TOC3"/>
            <w:rPr>
              <w:rFonts w:cstheme="minorBidi"/>
              <w:kern w:val="2"/>
              <w:sz w:val="22"/>
              <w:szCs w:val="22"/>
              <w:lang w:eastAsia="en-AU"/>
              <w14:ligatures w14:val="standardContextual"/>
            </w:rPr>
          </w:pPr>
          <w:hyperlink w:anchor="_Toc141875217" w:history="1">
            <w:r w:rsidR="00C8740D" w:rsidRPr="00A237A6">
              <w:rPr>
                <w:rStyle w:val="Hyperlink"/>
              </w:rPr>
              <w:t>Substantial adverse effect</w:t>
            </w:r>
            <w:r w:rsidR="00C8740D">
              <w:rPr>
                <w:webHidden/>
              </w:rPr>
              <w:tab/>
            </w:r>
            <w:r w:rsidR="00C8740D">
              <w:rPr>
                <w:webHidden/>
              </w:rPr>
              <w:fldChar w:fldCharType="begin"/>
            </w:r>
            <w:r w:rsidR="00C8740D">
              <w:rPr>
                <w:webHidden/>
              </w:rPr>
              <w:instrText xml:space="preserve"> PAGEREF _Toc141875217 \h </w:instrText>
            </w:r>
            <w:r w:rsidR="00C8740D">
              <w:rPr>
                <w:webHidden/>
              </w:rPr>
            </w:r>
            <w:r w:rsidR="00C8740D">
              <w:rPr>
                <w:webHidden/>
              </w:rPr>
              <w:fldChar w:fldCharType="separate"/>
            </w:r>
            <w:r w:rsidR="00A721BB">
              <w:rPr>
                <w:webHidden/>
              </w:rPr>
              <w:t>18</w:t>
            </w:r>
            <w:r w:rsidR="00C8740D">
              <w:rPr>
                <w:webHidden/>
              </w:rPr>
              <w:fldChar w:fldCharType="end"/>
            </w:r>
          </w:hyperlink>
        </w:p>
        <w:p w14:paraId="7E3D696D" w14:textId="18BE5FCA" w:rsidR="00C8740D" w:rsidRDefault="00000000">
          <w:pPr>
            <w:pStyle w:val="TOC2"/>
            <w:rPr>
              <w:rFonts w:asciiTheme="minorHAnsi" w:hAnsiTheme="minorHAnsi" w:cstheme="minorBidi"/>
              <w:kern w:val="2"/>
              <w:szCs w:val="22"/>
              <w:lang w:eastAsia="en-AU"/>
              <w14:ligatures w14:val="standardContextual"/>
            </w:rPr>
          </w:pPr>
          <w:hyperlink w:anchor="_Toc141875218" w:history="1">
            <w:r w:rsidR="00C8740D" w:rsidRPr="00A237A6">
              <w:rPr>
                <w:rStyle w:val="Hyperlink"/>
              </w:rPr>
              <w:t>Documents affecting certain operations of agencies (s 47E)</w:t>
            </w:r>
            <w:r w:rsidR="00C8740D">
              <w:rPr>
                <w:webHidden/>
              </w:rPr>
              <w:tab/>
            </w:r>
            <w:r w:rsidR="00C8740D">
              <w:rPr>
                <w:webHidden/>
              </w:rPr>
              <w:fldChar w:fldCharType="begin"/>
            </w:r>
            <w:r w:rsidR="00C8740D">
              <w:rPr>
                <w:webHidden/>
              </w:rPr>
              <w:instrText xml:space="preserve"> PAGEREF _Toc141875218 \h </w:instrText>
            </w:r>
            <w:r w:rsidR="00C8740D">
              <w:rPr>
                <w:webHidden/>
              </w:rPr>
            </w:r>
            <w:r w:rsidR="00C8740D">
              <w:rPr>
                <w:webHidden/>
              </w:rPr>
              <w:fldChar w:fldCharType="separate"/>
            </w:r>
            <w:r w:rsidR="00A721BB">
              <w:rPr>
                <w:webHidden/>
              </w:rPr>
              <w:t>19</w:t>
            </w:r>
            <w:r w:rsidR="00C8740D">
              <w:rPr>
                <w:webHidden/>
              </w:rPr>
              <w:fldChar w:fldCharType="end"/>
            </w:r>
          </w:hyperlink>
        </w:p>
        <w:p w14:paraId="150269CB" w14:textId="39010CE2" w:rsidR="00C8740D" w:rsidRDefault="00000000">
          <w:pPr>
            <w:pStyle w:val="TOC3"/>
            <w:rPr>
              <w:rFonts w:cstheme="minorBidi"/>
              <w:kern w:val="2"/>
              <w:sz w:val="22"/>
              <w:szCs w:val="22"/>
              <w:lang w:eastAsia="en-AU"/>
              <w14:ligatures w14:val="standardContextual"/>
            </w:rPr>
          </w:pPr>
          <w:hyperlink w:anchor="_Toc141875219" w:history="1">
            <w:r w:rsidR="00C8740D" w:rsidRPr="00A237A6">
              <w:rPr>
                <w:rStyle w:val="Hyperlink"/>
              </w:rPr>
              <w:t>Prejudice</w:t>
            </w:r>
            <w:r w:rsidR="00C8740D">
              <w:rPr>
                <w:webHidden/>
              </w:rPr>
              <w:tab/>
            </w:r>
            <w:r w:rsidR="00C8740D">
              <w:rPr>
                <w:webHidden/>
              </w:rPr>
              <w:fldChar w:fldCharType="begin"/>
            </w:r>
            <w:r w:rsidR="00C8740D">
              <w:rPr>
                <w:webHidden/>
              </w:rPr>
              <w:instrText xml:space="preserve"> PAGEREF _Toc141875219 \h </w:instrText>
            </w:r>
            <w:r w:rsidR="00C8740D">
              <w:rPr>
                <w:webHidden/>
              </w:rPr>
            </w:r>
            <w:r w:rsidR="00C8740D">
              <w:rPr>
                <w:webHidden/>
              </w:rPr>
              <w:fldChar w:fldCharType="separate"/>
            </w:r>
            <w:r w:rsidR="00A721BB">
              <w:rPr>
                <w:webHidden/>
              </w:rPr>
              <w:t>19</w:t>
            </w:r>
            <w:r w:rsidR="00C8740D">
              <w:rPr>
                <w:webHidden/>
              </w:rPr>
              <w:fldChar w:fldCharType="end"/>
            </w:r>
          </w:hyperlink>
        </w:p>
        <w:p w14:paraId="18A15981" w14:textId="642A6B6E" w:rsidR="00C8740D" w:rsidRDefault="00000000">
          <w:pPr>
            <w:pStyle w:val="TOC3"/>
            <w:rPr>
              <w:rFonts w:cstheme="minorBidi"/>
              <w:kern w:val="2"/>
              <w:sz w:val="22"/>
              <w:szCs w:val="22"/>
              <w:lang w:eastAsia="en-AU"/>
              <w14:ligatures w14:val="standardContextual"/>
            </w:rPr>
          </w:pPr>
          <w:hyperlink w:anchor="_Toc141875220" w:history="1">
            <w:r w:rsidR="00C8740D" w:rsidRPr="00A237A6">
              <w:rPr>
                <w:rStyle w:val="Hyperlink"/>
              </w:rPr>
              <w:t>Reasonably be expected</w:t>
            </w:r>
            <w:r w:rsidR="00C8740D">
              <w:rPr>
                <w:webHidden/>
              </w:rPr>
              <w:tab/>
            </w:r>
            <w:r w:rsidR="00C8740D">
              <w:rPr>
                <w:webHidden/>
              </w:rPr>
              <w:fldChar w:fldCharType="begin"/>
            </w:r>
            <w:r w:rsidR="00C8740D">
              <w:rPr>
                <w:webHidden/>
              </w:rPr>
              <w:instrText xml:space="preserve"> PAGEREF _Toc141875220 \h </w:instrText>
            </w:r>
            <w:r w:rsidR="00C8740D">
              <w:rPr>
                <w:webHidden/>
              </w:rPr>
            </w:r>
            <w:r w:rsidR="00C8740D">
              <w:rPr>
                <w:webHidden/>
              </w:rPr>
              <w:fldChar w:fldCharType="separate"/>
            </w:r>
            <w:r w:rsidR="00A721BB">
              <w:rPr>
                <w:webHidden/>
              </w:rPr>
              <w:t>19</w:t>
            </w:r>
            <w:r w:rsidR="00C8740D">
              <w:rPr>
                <w:webHidden/>
              </w:rPr>
              <w:fldChar w:fldCharType="end"/>
            </w:r>
          </w:hyperlink>
        </w:p>
        <w:p w14:paraId="00F36BA8" w14:textId="1E3F45CC" w:rsidR="00C8740D" w:rsidRDefault="00000000">
          <w:pPr>
            <w:pStyle w:val="TOC3"/>
            <w:rPr>
              <w:rFonts w:cstheme="minorBidi"/>
              <w:kern w:val="2"/>
              <w:sz w:val="22"/>
              <w:szCs w:val="22"/>
              <w:lang w:eastAsia="en-AU"/>
              <w14:ligatures w14:val="standardContextual"/>
            </w:rPr>
          </w:pPr>
          <w:hyperlink w:anchor="_Toc141875221" w:history="1">
            <w:r w:rsidR="00C8740D" w:rsidRPr="00A237A6">
              <w:rPr>
                <w:rStyle w:val="Hyperlink"/>
              </w:rPr>
              <w:t>Reasons for predicted effect</w:t>
            </w:r>
            <w:r w:rsidR="00C8740D">
              <w:rPr>
                <w:webHidden/>
              </w:rPr>
              <w:tab/>
            </w:r>
            <w:r w:rsidR="00C8740D">
              <w:rPr>
                <w:webHidden/>
              </w:rPr>
              <w:fldChar w:fldCharType="begin"/>
            </w:r>
            <w:r w:rsidR="00C8740D">
              <w:rPr>
                <w:webHidden/>
              </w:rPr>
              <w:instrText xml:space="preserve"> PAGEREF _Toc141875221 \h </w:instrText>
            </w:r>
            <w:r w:rsidR="00C8740D">
              <w:rPr>
                <w:webHidden/>
              </w:rPr>
            </w:r>
            <w:r w:rsidR="00C8740D">
              <w:rPr>
                <w:webHidden/>
              </w:rPr>
              <w:fldChar w:fldCharType="separate"/>
            </w:r>
            <w:r w:rsidR="00A721BB">
              <w:rPr>
                <w:webHidden/>
              </w:rPr>
              <w:t>20</w:t>
            </w:r>
            <w:r w:rsidR="00C8740D">
              <w:rPr>
                <w:webHidden/>
              </w:rPr>
              <w:fldChar w:fldCharType="end"/>
            </w:r>
          </w:hyperlink>
        </w:p>
        <w:p w14:paraId="1575AB94" w14:textId="596F2ADE" w:rsidR="00C8740D" w:rsidRDefault="00000000">
          <w:pPr>
            <w:pStyle w:val="TOC3"/>
            <w:rPr>
              <w:rFonts w:cstheme="minorBidi"/>
              <w:kern w:val="2"/>
              <w:sz w:val="22"/>
              <w:szCs w:val="22"/>
              <w:lang w:eastAsia="en-AU"/>
              <w14:ligatures w14:val="standardContextual"/>
            </w:rPr>
          </w:pPr>
          <w:hyperlink w:anchor="_Toc141875222" w:history="1">
            <w:r w:rsidR="00C8740D" w:rsidRPr="00A237A6">
              <w:rPr>
                <w:rStyle w:val="Hyperlink"/>
              </w:rPr>
              <w:t>Prejudice the effectiveness of testing, examining or auditing methods or procedures (s 47E(a))</w:t>
            </w:r>
            <w:r w:rsidR="00C8740D">
              <w:rPr>
                <w:webHidden/>
              </w:rPr>
              <w:tab/>
            </w:r>
            <w:r w:rsidR="00C8740D">
              <w:rPr>
                <w:webHidden/>
              </w:rPr>
              <w:fldChar w:fldCharType="begin"/>
            </w:r>
            <w:r w:rsidR="00C8740D">
              <w:rPr>
                <w:webHidden/>
              </w:rPr>
              <w:instrText xml:space="preserve"> PAGEREF _Toc141875222 \h </w:instrText>
            </w:r>
            <w:r w:rsidR="00C8740D">
              <w:rPr>
                <w:webHidden/>
              </w:rPr>
            </w:r>
            <w:r w:rsidR="00C8740D">
              <w:rPr>
                <w:webHidden/>
              </w:rPr>
              <w:fldChar w:fldCharType="separate"/>
            </w:r>
            <w:r w:rsidR="00A721BB">
              <w:rPr>
                <w:webHidden/>
              </w:rPr>
              <w:t>20</w:t>
            </w:r>
            <w:r w:rsidR="00C8740D">
              <w:rPr>
                <w:webHidden/>
              </w:rPr>
              <w:fldChar w:fldCharType="end"/>
            </w:r>
          </w:hyperlink>
        </w:p>
        <w:p w14:paraId="5E44124C" w14:textId="7392ED99" w:rsidR="00C8740D" w:rsidRDefault="00000000">
          <w:pPr>
            <w:pStyle w:val="TOC3"/>
            <w:rPr>
              <w:rFonts w:cstheme="minorBidi"/>
              <w:kern w:val="2"/>
              <w:sz w:val="22"/>
              <w:szCs w:val="22"/>
              <w:lang w:eastAsia="en-AU"/>
              <w14:ligatures w14:val="standardContextual"/>
            </w:rPr>
          </w:pPr>
          <w:hyperlink w:anchor="_Toc141875223" w:history="1">
            <w:r w:rsidR="00C8740D" w:rsidRPr="00A237A6">
              <w:rPr>
                <w:rStyle w:val="Hyperlink"/>
              </w:rPr>
              <w:t>Prejudice the attainment of testing, examination or auditing objectives (s 47E(b))</w:t>
            </w:r>
            <w:r w:rsidR="00C8740D">
              <w:rPr>
                <w:webHidden/>
              </w:rPr>
              <w:tab/>
            </w:r>
            <w:r w:rsidR="00C8740D">
              <w:rPr>
                <w:webHidden/>
              </w:rPr>
              <w:fldChar w:fldCharType="begin"/>
            </w:r>
            <w:r w:rsidR="00C8740D">
              <w:rPr>
                <w:webHidden/>
              </w:rPr>
              <w:instrText xml:space="preserve"> PAGEREF _Toc141875223 \h </w:instrText>
            </w:r>
            <w:r w:rsidR="00C8740D">
              <w:rPr>
                <w:webHidden/>
              </w:rPr>
            </w:r>
            <w:r w:rsidR="00C8740D">
              <w:rPr>
                <w:webHidden/>
              </w:rPr>
              <w:fldChar w:fldCharType="separate"/>
            </w:r>
            <w:r w:rsidR="00A721BB">
              <w:rPr>
                <w:webHidden/>
              </w:rPr>
              <w:t>21</w:t>
            </w:r>
            <w:r w:rsidR="00C8740D">
              <w:rPr>
                <w:webHidden/>
              </w:rPr>
              <w:fldChar w:fldCharType="end"/>
            </w:r>
          </w:hyperlink>
        </w:p>
        <w:p w14:paraId="747EE887" w14:textId="5362854E" w:rsidR="00C8740D" w:rsidRDefault="00000000">
          <w:pPr>
            <w:pStyle w:val="TOC3"/>
            <w:rPr>
              <w:rFonts w:cstheme="minorBidi"/>
              <w:kern w:val="2"/>
              <w:sz w:val="22"/>
              <w:szCs w:val="22"/>
              <w:lang w:eastAsia="en-AU"/>
              <w14:ligatures w14:val="standardContextual"/>
            </w:rPr>
          </w:pPr>
          <w:hyperlink w:anchor="_Toc141875224" w:history="1">
            <w:r w:rsidR="00C8740D" w:rsidRPr="00A237A6">
              <w:rPr>
                <w:rStyle w:val="Hyperlink"/>
              </w:rPr>
              <w:t>Substantial adverse effect on management or assessment of personnel (s 47E(c))</w:t>
            </w:r>
            <w:r w:rsidR="00C8740D">
              <w:rPr>
                <w:webHidden/>
              </w:rPr>
              <w:tab/>
            </w:r>
            <w:r w:rsidR="00C8740D">
              <w:rPr>
                <w:webHidden/>
              </w:rPr>
              <w:fldChar w:fldCharType="begin"/>
            </w:r>
            <w:r w:rsidR="00C8740D">
              <w:rPr>
                <w:webHidden/>
              </w:rPr>
              <w:instrText xml:space="preserve"> PAGEREF _Toc141875224 \h </w:instrText>
            </w:r>
            <w:r w:rsidR="00C8740D">
              <w:rPr>
                <w:webHidden/>
              </w:rPr>
            </w:r>
            <w:r w:rsidR="00C8740D">
              <w:rPr>
                <w:webHidden/>
              </w:rPr>
              <w:fldChar w:fldCharType="separate"/>
            </w:r>
            <w:r w:rsidR="00A721BB">
              <w:rPr>
                <w:webHidden/>
              </w:rPr>
              <w:t>22</w:t>
            </w:r>
            <w:r w:rsidR="00C8740D">
              <w:rPr>
                <w:webHidden/>
              </w:rPr>
              <w:fldChar w:fldCharType="end"/>
            </w:r>
          </w:hyperlink>
        </w:p>
        <w:p w14:paraId="43AB6F64" w14:textId="081072FF" w:rsidR="00C8740D" w:rsidRDefault="00000000">
          <w:pPr>
            <w:pStyle w:val="TOC3"/>
            <w:rPr>
              <w:rFonts w:cstheme="minorBidi"/>
              <w:kern w:val="2"/>
              <w:sz w:val="22"/>
              <w:szCs w:val="22"/>
              <w:lang w:eastAsia="en-AU"/>
              <w14:ligatures w14:val="standardContextual"/>
            </w:rPr>
          </w:pPr>
          <w:hyperlink w:anchor="_Toc141875225" w:history="1">
            <w:r w:rsidR="00C8740D" w:rsidRPr="00A237A6">
              <w:rPr>
                <w:rStyle w:val="Hyperlink"/>
              </w:rPr>
              <w:t>Substantial adverse effect on an agency’s proper and efficient conduct of operations (s 47E(d))</w:t>
            </w:r>
            <w:r w:rsidR="00C8740D">
              <w:rPr>
                <w:webHidden/>
              </w:rPr>
              <w:tab/>
            </w:r>
            <w:r w:rsidR="00C8740D">
              <w:rPr>
                <w:webHidden/>
              </w:rPr>
              <w:fldChar w:fldCharType="begin"/>
            </w:r>
            <w:r w:rsidR="00C8740D">
              <w:rPr>
                <w:webHidden/>
              </w:rPr>
              <w:instrText xml:space="preserve"> PAGEREF _Toc141875225 \h </w:instrText>
            </w:r>
            <w:r w:rsidR="00C8740D">
              <w:rPr>
                <w:webHidden/>
              </w:rPr>
            </w:r>
            <w:r w:rsidR="00C8740D">
              <w:rPr>
                <w:webHidden/>
              </w:rPr>
              <w:fldChar w:fldCharType="separate"/>
            </w:r>
            <w:r w:rsidR="00A721BB">
              <w:rPr>
                <w:webHidden/>
              </w:rPr>
              <w:t>24</w:t>
            </w:r>
            <w:r w:rsidR="00C8740D">
              <w:rPr>
                <w:webHidden/>
              </w:rPr>
              <w:fldChar w:fldCharType="end"/>
            </w:r>
          </w:hyperlink>
        </w:p>
        <w:p w14:paraId="22DD1BFB" w14:textId="125CCE57" w:rsidR="00C8740D" w:rsidRDefault="00000000">
          <w:pPr>
            <w:pStyle w:val="TOC2"/>
            <w:rPr>
              <w:rFonts w:asciiTheme="minorHAnsi" w:hAnsiTheme="minorHAnsi" w:cstheme="minorBidi"/>
              <w:kern w:val="2"/>
              <w:szCs w:val="22"/>
              <w:lang w:eastAsia="en-AU"/>
              <w14:ligatures w14:val="standardContextual"/>
            </w:rPr>
          </w:pPr>
          <w:hyperlink w:anchor="_Toc141875226" w:history="1">
            <w:r w:rsidR="00C8740D" w:rsidRPr="00A237A6">
              <w:rPr>
                <w:rStyle w:val="Hyperlink"/>
              </w:rPr>
              <w:t>Documents affecting personal privacy (s 47F)</w:t>
            </w:r>
            <w:r w:rsidR="00C8740D">
              <w:rPr>
                <w:webHidden/>
              </w:rPr>
              <w:tab/>
            </w:r>
            <w:r w:rsidR="00C8740D">
              <w:rPr>
                <w:webHidden/>
              </w:rPr>
              <w:fldChar w:fldCharType="begin"/>
            </w:r>
            <w:r w:rsidR="00C8740D">
              <w:rPr>
                <w:webHidden/>
              </w:rPr>
              <w:instrText xml:space="preserve"> PAGEREF _Toc141875226 \h </w:instrText>
            </w:r>
            <w:r w:rsidR="00C8740D">
              <w:rPr>
                <w:webHidden/>
              </w:rPr>
            </w:r>
            <w:r w:rsidR="00C8740D">
              <w:rPr>
                <w:webHidden/>
              </w:rPr>
              <w:fldChar w:fldCharType="separate"/>
            </w:r>
            <w:r w:rsidR="00A721BB">
              <w:rPr>
                <w:webHidden/>
              </w:rPr>
              <w:t>25</w:t>
            </w:r>
            <w:r w:rsidR="00C8740D">
              <w:rPr>
                <w:webHidden/>
              </w:rPr>
              <w:fldChar w:fldCharType="end"/>
            </w:r>
          </w:hyperlink>
        </w:p>
        <w:p w14:paraId="17873F0F" w14:textId="66FB17D5" w:rsidR="00C8740D" w:rsidRDefault="00000000">
          <w:pPr>
            <w:pStyle w:val="TOC3"/>
            <w:rPr>
              <w:rFonts w:cstheme="minorBidi"/>
              <w:kern w:val="2"/>
              <w:sz w:val="22"/>
              <w:szCs w:val="22"/>
              <w:lang w:eastAsia="en-AU"/>
              <w14:ligatures w14:val="standardContextual"/>
            </w:rPr>
          </w:pPr>
          <w:hyperlink w:anchor="_Toc141875227" w:history="1">
            <w:r w:rsidR="00C8740D" w:rsidRPr="00A237A6">
              <w:rPr>
                <w:rStyle w:val="Hyperlink"/>
              </w:rPr>
              <w:t>Personal information</w:t>
            </w:r>
            <w:r w:rsidR="00C8740D">
              <w:rPr>
                <w:webHidden/>
              </w:rPr>
              <w:tab/>
            </w:r>
            <w:r w:rsidR="00C8740D">
              <w:rPr>
                <w:webHidden/>
              </w:rPr>
              <w:fldChar w:fldCharType="begin"/>
            </w:r>
            <w:r w:rsidR="00C8740D">
              <w:rPr>
                <w:webHidden/>
              </w:rPr>
              <w:instrText xml:space="preserve"> PAGEREF _Toc141875227 \h </w:instrText>
            </w:r>
            <w:r w:rsidR="00C8740D">
              <w:rPr>
                <w:webHidden/>
              </w:rPr>
            </w:r>
            <w:r w:rsidR="00C8740D">
              <w:rPr>
                <w:webHidden/>
              </w:rPr>
              <w:fldChar w:fldCharType="separate"/>
            </w:r>
            <w:r w:rsidR="00A721BB">
              <w:rPr>
                <w:webHidden/>
              </w:rPr>
              <w:t>25</w:t>
            </w:r>
            <w:r w:rsidR="00C8740D">
              <w:rPr>
                <w:webHidden/>
              </w:rPr>
              <w:fldChar w:fldCharType="end"/>
            </w:r>
          </w:hyperlink>
        </w:p>
        <w:p w14:paraId="3A8AD1E1" w14:textId="07432D27" w:rsidR="00C8740D" w:rsidRDefault="00000000">
          <w:pPr>
            <w:pStyle w:val="TOC3"/>
            <w:rPr>
              <w:rFonts w:cstheme="minorBidi"/>
              <w:kern w:val="2"/>
              <w:sz w:val="22"/>
              <w:szCs w:val="22"/>
              <w:lang w:eastAsia="en-AU"/>
              <w14:ligatures w14:val="standardContextual"/>
            </w:rPr>
          </w:pPr>
          <w:hyperlink w:anchor="_Toc141875228" w:history="1">
            <w:r w:rsidR="00C8740D" w:rsidRPr="00A237A6">
              <w:rPr>
                <w:rStyle w:val="Hyperlink"/>
              </w:rPr>
              <w:t>A person who is reasonably identifiable</w:t>
            </w:r>
            <w:r w:rsidR="00C8740D">
              <w:rPr>
                <w:webHidden/>
              </w:rPr>
              <w:tab/>
            </w:r>
            <w:r w:rsidR="00C8740D">
              <w:rPr>
                <w:webHidden/>
              </w:rPr>
              <w:fldChar w:fldCharType="begin"/>
            </w:r>
            <w:r w:rsidR="00C8740D">
              <w:rPr>
                <w:webHidden/>
              </w:rPr>
              <w:instrText xml:space="preserve"> PAGEREF _Toc141875228 \h </w:instrText>
            </w:r>
            <w:r w:rsidR="00C8740D">
              <w:rPr>
                <w:webHidden/>
              </w:rPr>
            </w:r>
            <w:r w:rsidR="00C8740D">
              <w:rPr>
                <w:webHidden/>
              </w:rPr>
              <w:fldChar w:fldCharType="separate"/>
            </w:r>
            <w:r w:rsidR="00A721BB">
              <w:rPr>
                <w:webHidden/>
              </w:rPr>
              <w:t>26</w:t>
            </w:r>
            <w:r w:rsidR="00C8740D">
              <w:rPr>
                <w:webHidden/>
              </w:rPr>
              <w:fldChar w:fldCharType="end"/>
            </w:r>
          </w:hyperlink>
        </w:p>
        <w:p w14:paraId="7AA27DC0" w14:textId="10BA9CC5" w:rsidR="00C8740D" w:rsidRDefault="00000000">
          <w:pPr>
            <w:pStyle w:val="TOC3"/>
            <w:rPr>
              <w:rFonts w:cstheme="minorBidi"/>
              <w:kern w:val="2"/>
              <w:sz w:val="22"/>
              <w:szCs w:val="22"/>
              <w:lang w:eastAsia="en-AU"/>
              <w14:ligatures w14:val="standardContextual"/>
            </w:rPr>
          </w:pPr>
          <w:hyperlink w:anchor="_Toc141875229" w:history="1">
            <w:r w:rsidR="00C8740D" w:rsidRPr="00A237A6">
              <w:rPr>
                <w:rStyle w:val="Hyperlink"/>
              </w:rPr>
              <w:t>Says something about a person</w:t>
            </w:r>
            <w:r w:rsidR="00C8740D">
              <w:rPr>
                <w:webHidden/>
              </w:rPr>
              <w:tab/>
            </w:r>
            <w:r w:rsidR="00C8740D">
              <w:rPr>
                <w:webHidden/>
              </w:rPr>
              <w:fldChar w:fldCharType="begin"/>
            </w:r>
            <w:r w:rsidR="00C8740D">
              <w:rPr>
                <w:webHidden/>
              </w:rPr>
              <w:instrText xml:space="preserve"> PAGEREF _Toc141875229 \h </w:instrText>
            </w:r>
            <w:r w:rsidR="00C8740D">
              <w:rPr>
                <w:webHidden/>
              </w:rPr>
            </w:r>
            <w:r w:rsidR="00C8740D">
              <w:rPr>
                <w:webHidden/>
              </w:rPr>
              <w:fldChar w:fldCharType="separate"/>
            </w:r>
            <w:r w:rsidR="00A721BB">
              <w:rPr>
                <w:webHidden/>
              </w:rPr>
              <w:t>27</w:t>
            </w:r>
            <w:r w:rsidR="00C8740D">
              <w:rPr>
                <w:webHidden/>
              </w:rPr>
              <w:fldChar w:fldCharType="end"/>
            </w:r>
          </w:hyperlink>
        </w:p>
        <w:p w14:paraId="46BF26DC" w14:textId="0D237F49" w:rsidR="00C8740D" w:rsidRDefault="00000000">
          <w:pPr>
            <w:pStyle w:val="TOC3"/>
            <w:rPr>
              <w:rFonts w:cstheme="minorBidi"/>
              <w:kern w:val="2"/>
              <w:sz w:val="22"/>
              <w:szCs w:val="22"/>
              <w:lang w:eastAsia="en-AU"/>
              <w14:ligatures w14:val="standardContextual"/>
            </w:rPr>
          </w:pPr>
          <w:hyperlink w:anchor="_Toc141875230" w:history="1">
            <w:r w:rsidR="00C8740D" w:rsidRPr="00A237A6">
              <w:rPr>
                <w:rStyle w:val="Hyperlink"/>
              </w:rPr>
              <w:t>Natural person</w:t>
            </w:r>
            <w:r w:rsidR="00C8740D">
              <w:rPr>
                <w:webHidden/>
              </w:rPr>
              <w:tab/>
            </w:r>
            <w:r w:rsidR="00C8740D">
              <w:rPr>
                <w:webHidden/>
              </w:rPr>
              <w:fldChar w:fldCharType="begin"/>
            </w:r>
            <w:r w:rsidR="00C8740D">
              <w:rPr>
                <w:webHidden/>
              </w:rPr>
              <w:instrText xml:space="preserve"> PAGEREF _Toc141875230 \h </w:instrText>
            </w:r>
            <w:r w:rsidR="00C8740D">
              <w:rPr>
                <w:webHidden/>
              </w:rPr>
            </w:r>
            <w:r w:rsidR="00C8740D">
              <w:rPr>
                <w:webHidden/>
              </w:rPr>
              <w:fldChar w:fldCharType="separate"/>
            </w:r>
            <w:r w:rsidR="00A721BB">
              <w:rPr>
                <w:webHidden/>
              </w:rPr>
              <w:t>27</w:t>
            </w:r>
            <w:r w:rsidR="00C8740D">
              <w:rPr>
                <w:webHidden/>
              </w:rPr>
              <w:fldChar w:fldCharType="end"/>
            </w:r>
          </w:hyperlink>
        </w:p>
        <w:p w14:paraId="2E42A65B" w14:textId="3F238DB3" w:rsidR="00C8740D" w:rsidRDefault="00000000">
          <w:pPr>
            <w:pStyle w:val="TOC3"/>
            <w:rPr>
              <w:rFonts w:cstheme="minorBidi"/>
              <w:kern w:val="2"/>
              <w:sz w:val="22"/>
              <w:szCs w:val="22"/>
              <w:lang w:eastAsia="en-AU"/>
              <w14:ligatures w14:val="standardContextual"/>
            </w:rPr>
          </w:pPr>
          <w:hyperlink w:anchor="_Toc141875231" w:history="1">
            <w:r w:rsidR="00C8740D" w:rsidRPr="00A237A6">
              <w:rPr>
                <w:rStyle w:val="Hyperlink"/>
              </w:rPr>
              <w:t>Unreasonable disclosure</w:t>
            </w:r>
            <w:r w:rsidR="00C8740D">
              <w:rPr>
                <w:webHidden/>
              </w:rPr>
              <w:tab/>
            </w:r>
            <w:r w:rsidR="00C8740D">
              <w:rPr>
                <w:webHidden/>
              </w:rPr>
              <w:fldChar w:fldCharType="begin"/>
            </w:r>
            <w:r w:rsidR="00C8740D">
              <w:rPr>
                <w:webHidden/>
              </w:rPr>
              <w:instrText xml:space="preserve"> PAGEREF _Toc141875231 \h </w:instrText>
            </w:r>
            <w:r w:rsidR="00C8740D">
              <w:rPr>
                <w:webHidden/>
              </w:rPr>
            </w:r>
            <w:r w:rsidR="00C8740D">
              <w:rPr>
                <w:webHidden/>
              </w:rPr>
              <w:fldChar w:fldCharType="separate"/>
            </w:r>
            <w:r w:rsidR="00A721BB">
              <w:rPr>
                <w:webHidden/>
              </w:rPr>
              <w:t>28</w:t>
            </w:r>
            <w:r w:rsidR="00C8740D">
              <w:rPr>
                <w:webHidden/>
              </w:rPr>
              <w:fldChar w:fldCharType="end"/>
            </w:r>
          </w:hyperlink>
        </w:p>
        <w:p w14:paraId="4DF4C221" w14:textId="629DB63F" w:rsidR="00C8740D" w:rsidRDefault="00000000">
          <w:pPr>
            <w:pStyle w:val="TOC3"/>
            <w:rPr>
              <w:rFonts w:cstheme="minorBidi"/>
              <w:kern w:val="2"/>
              <w:sz w:val="22"/>
              <w:szCs w:val="22"/>
              <w:lang w:eastAsia="en-AU"/>
              <w14:ligatures w14:val="standardContextual"/>
            </w:rPr>
          </w:pPr>
          <w:hyperlink w:anchor="_Toc141875232" w:history="1">
            <w:r w:rsidR="00C8740D" w:rsidRPr="00A237A6">
              <w:rPr>
                <w:rStyle w:val="Hyperlink"/>
              </w:rPr>
              <w:t>Joint personal information</w:t>
            </w:r>
            <w:r w:rsidR="00C8740D">
              <w:rPr>
                <w:webHidden/>
              </w:rPr>
              <w:tab/>
            </w:r>
            <w:r w:rsidR="00C8740D">
              <w:rPr>
                <w:webHidden/>
              </w:rPr>
              <w:fldChar w:fldCharType="begin"/>
            </w:r>
            <w:r w:rsidR="00C8740D">
              <w:rPr>
                <w:webHidden/>
              </w:rPr>
              <w:instrText xml:space="preserve"> PAGEREF _Toc141875232 \h </w:instrText>
            </w:r>
            <w:r w:rsidR="00C8740D">
              <w:rPr>
                <w:webHidden/>
              </w:rPr>
            </w:r>
            <w:r w:rsidR="00C8740D">
              <w:rPr>
                <w:webHidden/>
              </w:rPr>
              <w:fldChar w:fldCharType="separate"/>
            </w:r>
            <w:r w:rsidR="00A721BB">
              <w:rPr>
                <w:webHidden/>
              </w:rPr>
              <w:t>30</w:t>
            </w:r>
            <w:r w:rsidR="00C8740D">
              <w:rPr>
                <w:webHidden/>
              </w:rPr>
              <w:fldChar w:fldCharType="end"/>
            </w:r>
          </w:hyperlink>
        </w:p>
        <w:p w14:paraId="41C85A5C" w14:textId="6D1583B3" w:rsidR="00C8740D" w:rsidRDefault="00000000">
          <w:pPr>
            <w:pStyle w:val="TOC3"/>
            <w:rPr>
              <w:rFonts w:cstheme="minorBidi"/>
              <w:kern w:val="2"/>
              <w:sz w:val="22"/>
              <w:szCs w:val="22"/>
              <w:lang w:eastAsia="en-AU"/>
              <w14:ligatures w14:val="standardContextual"/>
            </w:rPr>
          </w:pPr>
          <w:hyperlink w:anchor="_Toc141875233" w:history="1">
            <w:r w:rsidR="00C8740D" w:rsidRPr="00A237A6">
              <w:rPr>
                <w:rStyle w:val="Hyperlink"/>
              </w:rPr>
              <w:t>Personal information about agency employees</w:t>
            </w:r>
            <w:r w:rsidR="00C8740D">
              <w:rPr>
                <w:webHidden/>
              </w:rPr>
              <w:tab/>
            </w:r>
            <w:r w:rsidR="00C8740D">
              <w:rPr>
                <w:webHidden/>
              </w:rPr>
              <w:fldChar w:fldCharType="begin"/>
            </w:r>
            <w:r w:rsidR="00C8740D">
              <w:rPr>
                <w:webHidden/>
              </w:rPr>
              <w:instrText xml:space="preserve"> PAGEREF _Toc141875233 \h </w:instrText>
            </w:r>
            <w:r w:rsidR="00C8740D">
              <w:rPr>
                <w:webHidden/>
              </w:rPr>
            </w:r>
            <w:r w:rsidR="00C8740D">
              <w:rPr>
                <w:webHidden/>
              </w:rPr>
              <w:fldChar w:fldCharType="separate"/>
            </w:r>
            <w:r w:rsidR="00A721BB">
              <w:rPr>
                <w:webHidden/>
              </w:rPr>
              <w:t>31</w:t>
            </w:r>
            <w:r w:rsidR="00C8740D">
              <w:rPr>
                <w:webHidden/>
              </w:rPr>
              <w:fldChar w:fldCharType="end"/>
            </w:r>
          </w:hyperlink>
        </w:p>
        <w:p w14:paraId="3E3F4441" w14:textId="23B14B41" w:rsidR="00C8740D" w:rsidRDefault="00000000">
          <w:pPr>
            <w:pStyle w:val="TOC3"/>
            <w:rPr>
              <w:rFonts w:cstheme="minorBidi"/>
              <w:kern w:val="2"/>
              <w:sz w:val="22"/>
              <w:szCs w:val="22"/>
              <w:lang w:eastAsia="en-AU"/>
              <w14:ligatures w14:val="standardContextual"/>
            </w:rPr>
          </w:pPr>
          <w:hyperlink w:anchor="_Toc141875234" w:history="1">
            <w:r w:rsidR="00C8740D" w:rsidRPr="00A237A6">
              <w:rPr>
                <w:rStyle w:val="Hyperlink"/>
              </w:rPr>
              <w:t>Information relating to APS recruitment processes</w:t>
            </w:r>
            <w:r w:rsidR="00C8740D">
              <w:rPr>
                <w:webHidden/>
              </w:rPr>
              <w:tab/>
            </w:r>
            <w:r w:rsidR="00C8740D">
              <w:rPr>
                <w:webHidden/>
              </w:rPr>
              <w:fldChar w:fldCharType="begin"/>
            </w:r>
            <w:r w:rsidR="00C8740D">
              <w:rPr>
                <w:webHidden/>
              </w:rPr>
              <w:instrText xml:space="preserve"> PAGEREF _Toc141875234 \h </w:instrText>
            </w:r>
            <w:r w:rsidR="00C8740D">
              <w:rPr>
                <w:webHidden/>
              </w:rPr>
            </w:r>
            <w:r w:rsidR="00C8740D">
              <w:rPr>
                <w:webHidden/>
              </w:rPr>
              <w:fldChar w:fldCharType="separate"/>
            </w:r>
            <w:r w:rsidR="00A721BB">
              <w:rPr>
                <w:webHidden/>
              </w:rPr>
              <w:t>32</w:t>
            </w:r>
            <w:r w:rsidR="00C8740D">
              <w:rPr>
                <w:webHidden/>
              </w:rPr>
              <w:fldChar w:fldCharType="end"/>
            </w:r>
          </w:hyperlink>
        </w:p>
        <w:p w14:paraId="1C2A3A5F" w14:textId="2B3BFE3B" w:rsidR="00C8740D" w:rsidRDefault="00000000">
          <w:pPr>
            <w:pStyle w:val="TOC3"/>
            <w:rPr>
              <w:rFonts w:cstheme="minorBidi"/>
              <w:kern w:val="2"/>
              <w:sz w:val="22"/>
              <w:szCs w:val="22"/>
              <w:lang w:eastAsia="en-AU"/>
              <w14:ligatures w14:val="standardContextual"/>
            </w:rPr>
          </w:pPr>
          <w:hyperlink w:anchor="_Toc141875235" w:history="1">
            <w:r w:rsidR="00C8740D" w:rsidRPr="00A237A6">
              <w:rPr>
                <w:rStyle w:val="Hyperlink"/>
              </w:rPr>
              <w:t>Consultation</w:t>
            </w:r>
            <w:r w:rsidR="00C8740D">
              <w:rPr>
                <w:webHidden/>
              </w:rPr>
              <w:tab/>
            </w:r>
            <w:r w:rsidR="00C8740D">
              <w:rPr>
                <w:webHidden/>
              </w:rPr>
              <w:fldChar w:fldCharType="begin"/>
            </w:r>
            <w:r w:rsidR="00C8740D">
              <w:rPr>
                <w:webHidden/>
              </w:rPr>
              <w:instrText xml:space="preserve"> PAGEREF _Toc141875235 \h </w:instrText>
            </w:r>
            <w:r w:rsidR="00C8740D">
              <w:rPr>
                <w:webHidden/>
              </w:rPr>
            </w:r>
            <w:r w:rsidR="00C8740D">
              <w:rPr>
                <w:webHidden/>
              </w:rPr>
              <w:fldChar w:fldCharType="separate"/>
            </w:r>
            <w:r w:rsidR="00A721BB">
              <w:rPr>
                <w:webHidden/>
              </w:rPr>
              <w:t>33</w:t>
            </w:r>
            <w:r w:rsidR="00C8740D">
              <w:rPr>
                <w:webHidden/>
              </w:rPr>
              <w:fldChar w:fldCharType="end"/>
            </w:r>
          </w:hyperlink>
        </w:p>
        <w:p w14:paraId="1B0E104D" w14:textId="64D9F866" w:rsidR="00C8740D" w:rsidRDefault="00000000">
          <w:pPr>
            <w:pStyle w:val="TOC3"/>
            <w:rPr>
              <w:rFonts w:cstheme="minorBidi"/>
              <w:kern w:val="2"/>
              <w:sz w:val="22"/>
              <w:szCs w:val="22"/>
              <w:lang w:eastAsia="en-AU"/>
              <w14:ligatures w14:val="standardContextual"/>
            </w:rPr>
          </w:pPr>
          <w:hyperlink w:anchor="_Toc141875236" w:history="1">
            <w:r w:rsidR="00C8740D" w:rsidRPr="00A237A6">
              <w:rPr>
                <w:rStyle w:val="Hyperlink"/>
              </w:rPr>
              <w:t>Submissions</w:t>
            </w:r>
            <w:r w:rsidR="00C8740D">
              <w:rPr>
                <w:webHidden/>
              </w:rPr>
              <w:tab/>
            </w:r>
            <w:r w:rsidR="00C8740D">
              <w:rPr>
                <w:webHidden/>
              </w:rPr>
              <w:fldChar w:fldCharType="begin"/>
            </w:r>
            <w:r w:rsidR="00C8740D">
              <w:rPr>
                <w:webHidden/>
              </w:rPr>
              <w:instrText xml:space="preserve"> PAGEREF _Toc141875236 \h </w:instrText>
            </w:r>
            <w:r w:rsidR="00C8740D">
              <w:rPr>
                <w:webHidden/>
              </w:rPr>
            </w:r>
            <w:r w:rsidR="00C8740D">
              <w:rPr>
                <w:webHidden/>
              </w:rPr>
              <w:fldChar w:fldCharType="separate"/>
            </w:r>
            <w:r w:rsidR="00A721BB">
              <w:rPr>
                <w:webHidden/>
              </w:rPr>
              <w:t>35</w:t>
            </w:r>
            <w:r w:rsidR="00C8740D">
              <w:rPr>
                <w:webHidden/>
              </w:rPr>
              <w:fldChar w:fldCharType="end"/>
            </w:r>
          </w:hyperlink>
        </w:p>
        <w:p w14:paraId="05941FE2" w14:textId="473E9760" w:rsidR="00C8740D" w:rsidRDefault="00000000">
          <w:pPr>
            <w:pStyle w:val="TOC3"/>
            <w:rPr>
              <w:rFonts w:cstheme="minorBidi"/>
              <w:kern w:val="2"/>
              <w:sz w:val="22"/>
              <w:szCs w:val="22"/>
              <w:lang w:eastAsia="en-AU"/>
              <w14:ligatures w14:val="standardContextual"/>
            </w:rPr>
          </w:pPr>
          <w:hyperlink w:anchor="_Toc141875237" w:history="1">
            <w:r w:rsidR="00C8740D" w:rsidRPr="00A237A6">
              <w:rPr>
                <w:rStyle w:val="Hyperlink"/>
              </w:rPr>
              <w:t>Access given to qualified person</w:t>
            </w:r>
            <w:r w:rsidR="00C8740D">
              <w:rPr>
                <w:webHidden/>
              </w:rPr>
              <w:tab/>
            </w:r>
            <w:r w:rsidR="00C8740D">
              <w:rPr>
                <w:webHidden/>
              </w:rPr>
              <w:fldChar w:fldCharType="begin"/>
            </w:r>
            <w:r w:rsidR="00C8740D">
              <w:rPr>
                <w:webHidden/>
              </w:rPr>
              <w:instrText xml:space="preserve"> PAGEREF _Toc141875237 \h </w:instrText>
            </w:r>
            <w:r w:rsidR="00C8740D">
              <w:rPr>
                <w:webHidden/>
              </w:rPr>
            </w:r>
            <w:r w:rsidR="00C8740D">
              <w:rPr>
                <w:webHidden/>
              </w:rPr>
              <w:fldChar w:fldCharType="separate"/>
            </w:r>
            <w:r w:rsidR="00A721BB">
              <w:rPr>
                <w:webHidden/>
              </w:rPr>
              <w:t>35</w:t>
            </w:r>
            <w:r w:rsidR="00C8740D">
              <w:rPr>
                <w:webHidden/>
              </w:rPr>
              <w:fldChar w:fldCharType="end"/>
            </w:r>
          </w:hyperlink>
        </w:p>
        <w:p w14:paraId="1E97E6A3" w14:textId="506EB84E" w:rsidR="00C8740D" w:rsidRDefault="00000000">
          <w:pPr>
            <w:pStyle w:val="TOC2"/>
            <w:rPr>
              <w:rFonts w:asciiTheme="minorHAnsi" w:hAnsiTheme="minorHAnsi" w:cstheme="minorBidi"/>
              <w:kern w:val="2"/>
              <w:szCs w:val="22"/>
              <w:lang w:eastAsia="en-AU"/>
              <w14:ligatures w14:val="standardContextual"/>
            </w:rPr>
          </w:pPr>
          <w:hyperlink w:anchor="_Toc141875238" w:history="1">
            <w:r w:rsidR="00C8740D" w:rsidRPr="00A237A6">
              <w:rPr>
                <w:rStyle w:val="Hyperlink"/>
              </w:rPr>
              <w:t>Documents disclosing business information (s 47G)</w:t>
            </w:r>
            <w:r w:rsidR="00C8740D">
              <w:rPr>
                <w:webHidden/>
              </w:rPr>
              <w:tab/>
            </w:r>
            <w:r w:rsidR="00C8740D">
              <w:rPr>
                <w:webHidden/>
              </w:rPr>
              <w:fldChar w:fldCharType="begin"/>
            </w:r>
            <w:r w:rsidR="00C8740D">
              <w:rPr>
                <w:webHidden/>
              </w:rPr>
              <w:instrText xml:space="preserve"> PAGEREF _Toc141875238 \h </w:instrText>
            </w:r>
            <w:r w:rsidR="00C8740D">
              <w:rPr>
                <w:webHidden/>
              </w:rPr>
            </w:r>
            <w:r w:rsidR="00C8740D">
              <w:rPr>
                <w:webHidden/>
              </w:rPr>
              <w:fldChar w:fldCharType="separate"/>
            </w:r>
            <w:r w:rsidR="00A721BB">
              <w:rPr>
                <w:webHidden/>
              </w:rPr>
              <w:t>36</w:t>
            </w:r>
            <w:r w:rsidR="00C8740D">
              <w:rPr>
                <w:webHidden/>
              </w:rPr>
              <w:fldChar w:fldCharType="end"/>
            </w:r>
          </w:hyperlink>
        </w:p>
        <w:p w14:paraId="4477C445" w14:textId="428B3DAD" w:rsidR="00C8740D" w:rsidRDefault="00000000">
          <w:pPr>
            <w:pStyle w:val="TOC3"/>
            <w:rPr>
              <w:rFonts w:cstheme="minorBidi"/>
              <w:kern w:val="2"/>
              <w:sz w:val="22"/>
              <w:szCs w:val="22"/>
              <w:lang w:eastAsia="en-AU"/>
              <w14:ligatures w14:val="standardContextual"/>
            </w:rPr>
          </w:pPr>
          <w:hyperlink w:anchor="_Toc141875239" w:history="1">
            <w:r w:rsidR="00C8740D" w:rsidRPr="00A237A6">
              <w:rPr>
                <w:rStyle w:val="Hyperlink"/>
              </w:rPr>
              <w:t>Exemption does not apply in certain circumstances</w:t>
            </w:r>
            <w:r w:rsidR="00C8740D">
              <w:rPr>
                <w:webHidden/>
              </w:rPr>
              <w:tab/>
            </w:r>
            <w:r w:rsidR="00C8740D">
              <w:rPr>
                <w:webHidden/>
              </w:rPr>
              <w:fldChar w:fldCharType="begin"/>
            </w:r>
            <w:r w:rsidR="00C8740D">
              <w:rPr>
                <w:webHidden/>
              </w:rPr>
              <w:instrText xml:space="preserve"> PAGEREF _Toc141875239 \h </w:instrText>
            </w:r>
            <w:r w:rsidR="00C8740D">
              <w:rPr>
                <w:webHidden/>
              </w:rPr>
            </w:r>
            <w:r w:rsidR="00C8740D">
              <w:rPr>
                <w:webHidden/>
              </w:rPr>
              <w:fldChar w:fldCharType="separate"/>
            </w:r>
            <w:r w:rsidR="00A721BB">
              <w:rPr>
                <w:webHidden/>
              </w:rPr>
              <w:t>37</w:t>
            </w:r>
            <w:r w:rsidR="00C8740D">
              <w:rPr>
                <w:webHidden/>
              </w:rPr>
              <w:fldChar w:fldCharType="end"/>
            </w:r>
          </w:hyperlink>
        </w:p>
        <w:p w14:paraId="41B168BA" w14:textId="49CEAFA9" w:rsidR="00C8740D" w:rsidRDefault="00000000">
          <w:pPr>
            <w:pStyle w:val="TOC3"/>
            <w:rPr>
              <w:rFonts w:cstheme="minorBidi"/>
              <w:kern w:val="2"/>
              <w:sz w:val="22"/>
              <w:szCs w:val="22"/>
              <w:lang w:eastAsia="en-AU"/>
              <w14:ligatures w14:val="standardContextual"/>
            </w:rPr>
          </w:pPr>
          <w:hyperlink w:anchor="_Toc141875240" w:history="1">
            <w:r w:rsidR="00C8740D" w:rsidRPr="00A237A6">
              <w:rPr>
                <w:rStyle w:val="Hyperlink"/>
              </w:rPr>
              <w:t>Elements of the exemption</w:t>
            </w:r>
            <w:r w:rsidR="00C8740D">
              <w:rPr>
                <w:webHidden/>
              </w:rPr>
              <w:tab/>
            </w:r>
            <w:r w:rsidR="00C8740D">
              <w:rPr>
                <w:webHidden/>
              </w:rPr>
              <w:fldChar w:fldCharType="begin"/>
            </w:r>
            <w:r w:rsidR="00C8740D">
              <w:rPr>
                <w:webHidden/>
              </w:rPr>
              <w:instrText xml:space="preserve"> PAGEREF _Toc141875240 \h </w:instrText>
            </w:r>
            <w:r w:rsidR="00C8740D">
              <w:rPr>
                <w:webHidden/>
              </w:rPr>
            </w:r>
            <w:r w:rsidR="00C8740D">
              <w:rPr>
                <w:webHidden/>
              </w:rPr>
              <w:fldChar w:fldCharType="separate"/>
            </w:r>
            <w:r w:rsidR="00A721BB">
              <w:rPr>
                <w:webHidden/>
              </w:rPr>
              <w:t>37</w:t>
            </w:r>
            <w:r w:rsidR="00C8740D">
              <w:rPr>
                <w:webHidden/>
              </w:rPr>
              <w:fldChar w:fldCharType="end"/>
            </w:r>
          </w:hyperlink>
        </w:p>
        <w:p w14:paraId="4E0B835B" w14:textId="3BBB2AE3" w:rsidR="00C8740D" w:rsidRDefault="00000000">
          <w:pPr>
            <w:pStyle w:val="TOC3"/>
            <w:rPr>
              <w:rFonts w:cstheme="minorBidi"/>
              <w:kern w:val="2"/>
              <w:sz w:val="22"/>
              <w:szCs w:val="22"/>
              <w:lang w:eastAsia="en-AU"/>
              <w14:ligatures w14:val="standardContextual"/>
            </w:rPr>
          </w:pPr>
          <w:hyperlink w:anchor="_Toc141875241" w:history="1">
            <w:r w:rsidR="00C8740D" w:rsidRPr="00A237A6">
              <w:rPr>
                <w:rStyle w:val="Hyperlink"/>
              </w:rPr>
              <w:t>Could reasonably be expected</w:t>
            </w:r>
            <w:r w:rsidR="00C8740D">
              <w:rPr>
                <w:webHidden/>
              </w:rPr>
              <w:tab/>
            </w:r>
            <w:r w:rsidR="00C8740D">
              <w:rPr>
                <w:webHidden/>
              </w:rPr>
              <w:fldChar w:fldCharType="begin"/>
            </w:r>
            <w:r w:rsidR="00C8740D">
              <w:rPr>
                <w:webHidden/>
              </w:rPr>
              <w:instrText xml:space="preserve"> PAGEREF _Toc141875241 \h </w:instrText>
            </w:r>
            <w:r w:rsidR="00C8740D">
              <w:rPr>
                <w:webHidden/>
              </w:rPr>
            </w:r>
            <w:r w:rsidR="00C8740D">
              <w:rPr>
                <w:webHidden/>
              </w:rPr>
              <w:fldChar w:fldCharType="separate"/>
            </w:r>
            <w:r w:rsidR="00A721BB">
              <w:rPr>
                <w:webHidden/>
              </w:rPr>
              <w:t>38</w:t>
            </w:r>
            <w:r w:rsidR="00C8740D">
              <w:rPr>
                <w:webHidden/>
              </w:rPr>
              <w:fldChar w:fldCharType="end"/>
            </w:r>
          </w:hyperlink>
        </w:p>
        <w:p w14:paraId="2ABB2775" w14:textId="58AA71C9" w:rsidR="00C8740D" w:rsidRDefault="00000000">
          <w:pPr>
            <w:pStyle w:val="TOC3"/>
            <w:rPr>
              <w:rFonts w:cstheme="minorBidi"/>
              <w:kern w:val="2"/>
              <w:sz w:val="22"/>
              <w:szCs w:val="22"/>
              <w:lang w:eastAsia="en-AU"/>
              <w14:ligatures w14:val="standardContextual"/>
            </w:rPr>
          </w:pPr>
          <w:hyperlink w:anchor="_Toc141875242" w:history="1">
            <w:r w:rsidR="00C8740D" w:rsidRPr="00A237A6">
              <w:rPr>
                <w:rStyle w:val="Hyperlink"/>
              </w:rPr>
              <w:t>Unreasonable adverse effect of disclosure</w:t>
            </w:r>
            <w:r w:rsidR="00C8740D">
              <w:rPr>
                <w:webHidden/>
              </w:rPr>
              <w:tab/>
            </w:r>
            <w:r w:rsidR="00C8740D">
              <w:rPr>
                <w:webHidden/>
              </w:rPr>
              <w:fldChar w:fldCharType="begin"/>
            </w:r>
            <w:r w:rsidR="00C8740D">
              <w:rPr>
                <w:webHidden/>
              </w:rPr>
              <w:instrText xml:space="preserve"> PAGEREF _Toc141875242 \h </w:instrText>
            </w:r>
            <w:r w:rsidR="00C8740D">
              <w:rPr>
                <w:webHidden/>
              </w:rPr>
            </w:r>
            <w:r w:rsidR="00C8740D">
              <w:rPr>
                <w:webHidden/>
              </w:rPr>
              <w:fldChar w:fldCharType="separate"/>
            </w:r>
            <w:r w:rsidR="00A721BB">
              <w:rPr>
                <w:webHidden/>
              </w:rPr>
              <w:t>38</w:t>
            </w:r>
            <w:r w:rsidR="00C8740D">
              <w:rPr>
                <w:webHidden/>
              </w:rPr>
              <w:fldChar w:fldCharType="end"/>
            </w:r>
          </w:hyperlink>
        </w:p>
        <w:p w14:paraId="68E56E78" w14:textId="1D639463" w:rsidR="00C8740D" w:rsidRDefault="00000000">
          <w:pPr>
            <w:pStyle w:val="TOC3"/>
            <w:rPr>
              <w:rFonts w:cstheme="minorBidi"/>
              <w:kern w:val="2"/>
              <w:sz w:val="22"/>
              <w:szCs w:val="22"/>
              <w:lang w:eastAsia="en-AU"/>
              <w14:ligatures w14:val="standardContextual"/>
            </w:rPr>
          </w:pPr>
          <w:hyperlink w:anchor="_Toc141875243" w:history="1">
            <w:r w:rsidR="00C8740D" w:rsidRPr="00A237A6">
              <w:rPr>
                <w:rStyle w:val="Hyperlink"/>
              </w:rPr>
              <w:t>Business or professional affairs</w:t>
            </w:r>
            <w:r w:rsidR="00C8740D">
              <w:rPr>
                <w:webHidden/>
              </w:rPr>
              <w:tab/>
            </w:r>
            <w:r w:rsidR="00C8740D">
              <w:rPr>
                <w:webHidden/>
              </w:rPr>
              <w:fldChar w:fldCharType="begin"/>
            </w:r>
            <w:r w:rsidR="00C8740D">
              <w:rPr>
                <w:webHidden/>
              </w:rPr>
              <w:instrText xml:space="preserve"> PAGEREF _Toc141875243 \h </w:instrText>
            </w:r>
            <w:r w:rsidR="00C8740D">
              <w:rPr>
                <w:webHidden/>
              </w:rPr>
            </w:r>
            <w:r w:rsidR="00C8740D">
              <w:rPr>
                <w:webHidden/>
              </w:rPr>
              <w:fldChar w:fldCharType="separate"/>
            </w:r>
            <w:r w:rsidR="00A721BB">
              <w:rPr>
                <w:webHidden/>
              </w:rPr>
              <w:t>39</w:t>
            </w:r>
            <w:r w:rsidR="00C8740D">
              <w:rPr>
                <w:webHidden/>
              </w:rPr>
              <w:fldChar w:fldCharType="end"/>
            </w:r>
          </w:hyperlink>
        </w:p>
        <w:p w14:paraId="44CBEFEC" w14:textId="12B042A2" w:rsidR="00C8740D" w:rsidRDefault="00000000">
          <w:pPr>
            <w:pStyle w:val="TOC3"/>
            <w:rPr>
              <w:rFonts w:cstheme="minorBidi"/>
              <w:kern w:val="2"/>
              <w:sz w:val="22"/>
              <w:szCs w:val="22"/>
              <w:lang w:eastAsia="en-AU"/>
              <w14:ligatures w14:val="standardContextual"/>
            </w:rPr>
          </w:pPr>
          <w:hyperlink w:anchor="_Toc141875244" w:history="1">
            <w:r w:rsidR="00C8740D" w:rsidRPr="00A237A6">
              <w:rPr>
                <w:rStyle w:val="Hyperlink"/>
              </w:rPr>
              <w:t>Organisation or undertaking</w:t>
            </w:r>
            <w:r w:rsidR="00C8740D">
              <w:rPr>
                <w:webHidden/>
              </w:rPr>
              <w:tab/>
            </w:r>
            <w:r w:rsidR="00C8740D">
              <w:rPr>
                <w:webHidden/>
              </w:rPr>
              <w:fldChar w:fldCharType="begin"/>
            </w:r>
            <w:r w:rsidR="00C8740D">
              <w:rPr>
                <w:webHidden/>
              </w:rPr>
              <w:instrText xml:space="preserve"> PAGEREF _Toc141875244 \h </w:instrText>
            </w:r>
            <w:r w:rsidR="00C8740D">
              <w:rPr>
                <w:webHidden/>
              </w:rPr>
            </w:r>
            <w:r w:rsidR="00C8740D">
              <w:rPr>
                <w:webHidden/>
              </w:rPr>
              <w:fldChar w:fldCharType="separate"/>
            </w:r>
            <w:r w:rsidR="00A721BB">
              <w:rPr>
                <w:webHidden/>
              </w:rPr>
              <w:t>39</w:t>
            </w:r>
            <w:r w:rsidR="00C8740D">
              <w:rPr>
                <w:webHidden/>
              </w:rPr>
              <w:fldChar w:fldCharType="end"/>
            </w:r>
          </w:hyperlink>
        </w:p>
        <w:p w14:paraId="5EC01403" w14:textId="010F7D31" w:rsidR="00C8740D" w:rsidRDefault="00000000">
          <w:pPr>
            <w:pStyle w:val="TOC3"/>
            <w:rPr>
              <w:rFonts w:cstheme="minorBidi"/>
              <w:kern w:val="2"/>
              <w:sz w:val="22"/>
              <w:szCs w:val="22"/>
              <w:lang w:eastAsia="en-AU"/>
              <w14:ligatures w14:val="standardContextual"/>
            </w:rPr>
          </w:pPr>
          <w:hyperlink w:anchor="_Toc141875245" w:history="1">
            <w:r w:rsidR="00C8740D" w:rsidRPr="00A237A6">
              <w:rPr>
                <w:rStyle w:val="Hyperlink"/>
              </w:rPr>
              <w:t>Prejudice future supply of information</w:t>
            </w:r>
            <w:r w:rsidR="00C8740D">
              <w:rPr>
                <w:webHidden/>
              </w:rPr>
              <w:tab/>
            </w:r>
            <w:r w:rsidR="00C8740D">
              <w:rPr>
                <w:webHidden/>
              </w:rPr>
              <w:fldChar w:fldCharType="begin"/>
            </w:r>
            <w:r w:rsidR="00C8740D">
              <w:rPr>
                <w:webHidden/>
              </w:rPr>
              <w:instrText xml:space="preserve"> PAGEREF _Toc141875245 \h </w:instrText>
            </w:r>
            <w:r w:rsidR="00C8740D">
              <w:rPr>
                <w:webHidden/>
              </w:rPr>
            </w:r>
            <w:r w:rsidR="00C8740D">
              <w:rPr>
                <w:webHidden/>
              </w:rPr>
              <w:fldChar w:fldCharType="separate"/>
            </w:r>
            <w:r w:rsidR="00A721BB">
              <w:rPr>
                <w:webHidden/>
              </w:rPr>
              <w:t>40</w:t>
            </w:r>
            <w:r w:rsidR="00C8740D">
              <w:rPr>
                <w:webHidden/>
              </w:rPr>
              <w:fldChar w:fldCharType="end"/>
            </w:r>
          </w:hyperlink>
        </w:p>
        <w:p w14:paraId="09CCAAC8" w14:textId="6FBBF8C3" w:rsidR="00C8740D" w:rsidRDefault="00000000">
          <w:pPr>
            <w:pStyle w:val="TOC3"/>
            <w:rPr>
              <w:rFonts w:cstheme="minorBidi"/>
              <w:kern w:val="2"/>
              <w:sz w:val="22"/>
              <w:szCs w:val="22"/>
              <w:lang w:eastAsia="en-AU"/>
              <w14:ligatures w14:val="standardContextual"/>
            </w:rPr>
          </w:pPr>
          <w:hyperlink w:anchor="_Toc141875246" w:history="1">
            <w:r w:rsidR="00C8740D" w:rsidRPr="00A237A6">
              <w:rPr>
                <w:rStyle w:val="Hyperlink"/>
              </w:rPr>
              <w:t>Consultation</w:t>
            </w:r>
            <w:r w:rsidR="00C8740D">
              <w:rPr>
                <w:webHidden/>
              </w:rPr>
              <w:tab/>
            </w:r>
            <w:r w:rsidR="00C8740D">
              <w:rPr>
                <w:webHidden/>
              </w:rPr>
              <w:fldChar w:fldCharType="begin"/>
            </w:r>
            <w:r w:rsidR="00C8740D">
              <w:rPr>
                <w:webHidden/>
              </w:rPr>
              <w:instrText xml:space="preserve"> PAGEREF _Toc141875246 \h </w:instrText>
            </w:r>
            <w:r w:rsidR="00C8740D">
              <w:rPr>
                <w:webHidden/>
              </w:rPr>
            </w:r>
            <w:r w:rsidR="00C8740D">
              <w:rPr>
                <w:webHidden/>
              </w:rPr>
              <w:fldChar w:fldCharType="separate"/>
            </w:r>
            <w:r w:rsidR="00A721BB">
              <w:rPr>
                <w:webHidden/>
              </w:rPr>
              <w:t>40</w:t>
            </w:r>
            <w:r w:rsidR="00C8740D">
              <w:rPr>
                <w:webHidden/>
              </w:rPr>
              <w:fldChar w:fldCharType="end"/>
            </w:r>
          </w:hyperlink>
        </w:p>
        <w:p w14:paraId="0BC07F85" w14:textId="4269F421" w:rsidR="00C8740D" w:rsidRDefault="00000000">
          <w:pPr>
            <w:pStyle w:val="TOC3"/>
            <w:rPr>
              <w:rFonts w:cstheme="minorBidi"/>
              <w:kern w:val="2"/>
              <w:sz w:val="22"/>
              <w:szCs w:val="22"/>
              <w:lang w:eastAsia="en-AU"/>
              <w14:ligatures w14:val="standardContextual"/>
            </w:rPr>
          </w:pPr>
          <w:hyperlink w:anchor="_Toc141875247" w:history="1">
            <w:r w:rsidR="00C8740D" w:rsidRPr="00A237A6">
              <w:rPr>
                <w:rStyle w:val="Hyperlink"/>
              </w:rPr>
              <w:t>Submissions</w:t>
            </w:r>
            <w:r w:rsidR="00C8740D">
              <w:rPr>
                <w:webHidden/>
              </w:rPr>
              <w:tab/>
            </w:r>
            <w:r w:rsidR="00C8740D">
              <w:rPr>
                <w:webHidden/>
              </w:rPr>
              <w:fldChar w:fldCharType="begin"/>
            </w:r>
            <w:r w:rsidR="00C8740D">
              <w:rPr>
                <w:webHidden/>
              </w:rPr>
              <w:instrText xml:space="preserve"> PAGEREF _Toc141875247 \h </w:instrText>
            </w:r>
            <w:r w:rsidR="00C8740D">
              <w:rPr>
                <w:webHidden/>
              </w:rPr>
            </w:r>
            <w:r w:rsidR="00C8740D">
              <w:rPr>
                <w:webHidden/>
              </w:rPr>
              <w:fldChar w:fldCharType="separate"/>
            </w:r>
            <w:r w:rsidR="00A721BB">
              <w:rPr>
                <w:webHidden/>
              </w:rPr>
              <w:t>41</w:t>
            </w:r>
            <w:r w:rsidR="00C8740D">
              <w:rPr>
                <w:webHidden/>
              </w:rPr>
              <w:fldChar w:fldCharType="end"/>
            </w:r>
          </w:hyperlink>
        </w:p>
        <w:p w14:paraId="72E8C204" w14:textId="01786E67" w:rsidR="00C8740D" w:rsidRDefault="00000000">
          <w:pPr>
            <w:pStyle w:val="TOC2"/>
            <w:rPr>
              <w:rFonts w:asciiTheme="minorHAnsi" w:hAnsiTheme="minorHAnsi" w:cstheme="minorBidi"/>
              <w:kern w:val="2"/>
              <w:szCs w:val="22"/>
              <w:lang w:eastAsia="en-AU"/>
              <w14:ligatures w14:val="standardContextual"/>
            </w:rPr>
          </w:pPr>
          <w:hyperlink w:anchor="_Toc141875248" w:history="1">
            <w:r w:rsidR="00C8740D" w:rsidRPr="00A237A6">
              <w:rPr>
                <w:rStyle w:val="Hyperlink"/>
              </w:rPr>
              <w:t>Research documents (s 47H)</w:t>
            </w:r>
            <w:r w:rsidR="00C8740D">
              <w:rPr>
                <w:webHidden/>
              </w:rPr>
              <w:tab/>
            </w:r>
            <w:r w:rsidR="00C8740D">
              <w:rPr>
                <w:webHidden/>
              </w:rPr>
              <w:fldChar w:fldCharType="begin"/>
            </w:r>
            <w:r w:rsidR="00C8740D">
              <w:rPr>
                <w:webHidden/>
              </w:rPr>
              <w:instrText xml:space="preserve"> PAGEREF _Toc141875248 \h </w:instrText>
            </w:r>
            <w:r w:rsidR="00C8740D">
              <w:rPr>
                <w:webHidden/>
              </w:rPr>
            </w:r>
            <w:r w:rsidR="00C8740D">
              <w:rPr>
                <w:webHidden/>
              </w:rPr>
              <w:fldChar w:fldCharType="separate"/>
            </w:r>
            <w:r w:rsidR="00A721BB">
              <w:rPr>
                <w:webHidden/>
              </w:rPr>
              <w:t>42</w:t>
            </w:r>
            <w:r w:rsidR="00C8740D">
              <w:rPr>
                <w:webHidden/>
              </w:rPr>
              <w:fldChar w:fldCharType="end"/>
            </w:r>
          </w:hyperlink>
        </w:p>
        <w:p w14:paraId="66681633" w14:textId="46150565" w:rsidR="00C8740D" w:rsidRDefault="00000000">
          <w:pPr>
            <w:pStyle w:val="TOC2"/>
            <w:rPr>
              <w:rFonts w:asciiTheme="minorHAnsi" w:hAnsiTheme="minorHAnsi" w:cstheme="minorBidi"/>
              <w:kern w:val="2"/>
              <w:szCs w:val="22"/>
              <w:lang w:eastAsia="en-AU"/>
              <w14:ligatures w14:val="standardContextual"/>
            </w:rPr>
          </w:pPr>
          <w:hyperlink w:anchor="_Toc141875249" w:history="1">
            <w:r w:rsidR="00C8740D" w:rsidRPr="00A237A6">
              <w:rPr>
                <w:rStyle w:val="Hyperlink"/>
              </w:rPr>
              <w:t>Documents affecting the Australian economy (s 47J)</w:t>
            </w:r>
            <w:r w:rsidR="00C8740D">
              <w:rPr>
                <w:webHidden/>
              </w:rPr>
              <w:tab/>
            </w:r>
            <w:r w:rsidR="00C8740D">
              <w:rPr>
                <w:webHidden/>
              </w:rPr>
              <w:fldChar w:fldCharType="begin"/>
            </w:r>
            <w:r w:rsidR="00C8740D">
              <w:rPr>
                <w:webHidden/>
              </w:rPr>
              <w:instrText xml:space="preserve"> PAGEREF _Toc141875249 \h </w:instrText>
            </w:r>
            <w:r w:rsidR="00C8740D">
              <w:rPr>
                <w:webHidden/>
              </w:rPr>
            </w:r>
            <w:r w:rsidR="00C8740D">
              <w:rPr>
                <w:webHidden/>
              </w:rPr>
              <w:fldChar w:fldCharType="separate"/>
            </w:r>
            <w:r w:rsidR="00A721BB">
              <w:rPr>
                <w:webHidden/>
              </w:rPr>
              <w:t>42</w:t>
            </w:r>
            <w:r w:rsidR="00C8740D">
              <w:rPr>
                <w:webHidden/>
              </w:rPr>
              <w:fldChar w:fldCharType="end"/>
            </w:r>
          </w:hyperlink>
        </w:p>
        <w:p w14:paraId="4228A162" w14:textId="6484AFE9" w:rsidR="00C8740D" w:rsidRDefault="00000000">
          <w:pPr>
            <w:pStyle w:val="TOC1"/>
            <w:rPr>
              <w:rFonts w:cstheme="minorBidi"/>
              <w:noProof/>
              <w:kern w:val="2"/>
              <w:sz w:val="22"/>
              <w:szCs w:val="22"/>
              <w:lang w:eastAsia="en-AU"/>
              <w14:ligatures w14:val="standardContextual"/>
            </w:rPr>
          </w:pPr>
          <w:hyperlink w:anchor="_Toc141875250" w:history="1">
            <w:r w:rsidR="00C8740D" w:rsidRPr="00A237A6">
              <w:rPr>
                <w:rStyle w:val="Hyperlink"/>
                <w:noProof/>
              </w:rPr>
              <w:t>The public interest test</w:t>
            </w:r>
            <w:r w:rsidR="00C8740D">
              <w:rPr>
                <w:noProof/>
                <w:webHidden/>
              </w:rPr>
              <w:tab/>
            </w:r>
            <w:r w:rsidR="00C8740D">
              <w:rPr>
                <w:noProof/>
                <w:webHidden/>
              </w:rPr>
              <w:fldChar w:fldCharType="begin"/>
            </w:r>
            <w:r w:rsidR="00C8740D">
              <w:rPr>
                <w:noProof/>
                <w:webHidden/>
              </w:rPr>
              <w:instrText xml:space="preserve"> PAGEREF _Toc141875250 \h </w:instrText>
            </w:r>
            <w:r w:rsidR="00C8740D">
              <w:rPr>
                <w:noProof/>
                <w:webHidden/>
              </w:rPr>
            </w:r>
            <w:r w:rsidR="00C8740D">
              <w:rPr>
                <w:noProof/>
                <w:webHidden/>
              </w:rPr>
              <w:fldChar w:fldCharType="separate"/>
            </w:r>
            <w:r w:rsidR="00A721BB">
              <w:rPr>
                <w:noProof/>
                <w:webHidden/>
              </w:rPr>
              <w:t>44</w:t>
            </w:r>
            <w:r w:rsidR="00C8740D">
              <w:rPr>
                <w:noProof/>
                <w:webHidden/>
              </w:rPr>
              <w:fldChar w:fldCharType="end"/>
            </w:r>
          </w:hyperlink>
        </w:p>
        <w:p w14:paraId="2BC3F3EF" w14:textId="07A3E2AF" w:rsidR="00C8740D" w:rsidRDefault="00000000">
          <w:pPr>
            <w:pStyle w:val="TOC2"/>
            <w:rPr>
              <w:rFonts w:asciiTheme="minorHAnsi" w:hAnsiTheme="minorHAnsi" w:cstheme="minorBidi"/>
              <w:kern w:val="2"/>
              <w:szCs w:val="22"/>
              <w:lang w:eastAsia="en-AU"/>
              <w14:ligatures w14:val="standardContextual"/>
            </w:rPr>
          </w:pPr>
          <w:hyperlink w:anchor="_Toc141875251" w:history="1">
            <w:r w:rsidR="00C8740D" w:rsidRPr="00A237A6">
              <w:rPr>
                <w:rStyle w:val="Hyperlink"/>
              </w:rPr>
              <w:t>Applying the public interest test</w:t>
            </w:r>
            <w:r w:rsidR="00C8740D">
              <w:rPr>
                <w:webHidden/>
              </w:rPr>
              <w:tab/>
            </w:r>
            <w:r w:rsidR="00C8740D">
              <w:rPr>
                <w:webHidden/>
              </w:rPr>
              <w:fldChar w:fldCharType="begin"/>
            </w:r>
            <w:r w:rsidR="00C8740D">
              <w:rPr>
                <w:webHidden/>
              </w:rPr>
              <w:instrText xml:space="preserve"> PAGEREF _Toc141875251 \h </w:instrText>
            </w:r>
            <w:r w:rsidR="00C8740D">
              <w:rPr>
                <w:webHidden/>
              </w:rPr>
            </w:r>
            <w:r w:rsidR="00C8740D">
              <w:rPr>
                <w:webHidden/>
              </w:rPr>
              <w:fldChar w:fldCharType="separate"/>
            </w:r>
            <w:r w:rsidR="00A721BB">
              <w:rPr>
                <w:webHidden/>
              </w:rPr>
              <w:t>44</w:t>
            </w:r>
            <w:r w:rsidR="00C8740D">
              <w:rPr>
                <w:webHidden/>
              </w:rPr>
              <w:fldChar w:fldCharType="end"/>
            </w:r>
          </w:hyperlink>
        </w:p>
        <w:p w14:paraId="1771EEAB" w14:textId="5C1801AF" w:rsidR="00C8740D" w:rsidRDefault="00000000">
          <w:pPr>
            <w:pStyle w:val="TOC3"/>
            <w:rPr>
              <w:rFonts w:cstheme="minorBidi"/>
              <w:kern w:val="2"/>
              <w:sz w:val="22"/>
              <w:szCs w:val="22"/>
              <w:lang w:eastAsia="en-AU"/>
              <w14:ligatures w14:val="standardContextual"/>
            </w:rPr>
          </w:pPr>
          <w:hyperlink w:anchor="_Toc141875252" w:history="1">
            <w:r w:rsidR="00C8740D" w:rsidRPr="00A237A6">
              <w:rPr>
                <w:rStyle w:val="Hyperlink"/>
              </w:rPr>
              <w:t>Identify the factors favouring access</w:t>
            </w:r>
            <w:r w:rsidR="00C8740D">
              <w:rPr>
                <w:webHidden/>
              </w:rPr>
              <w:tab/>
            </w:r>
            <w:r w:rsidR="00C8740D">
              <w:rPr>
                <w:webHidden/>
              </w:rPr>
              <w:fldChar w:fldCharType="begin"/>
            </w:r>
            <w:r w:rsidR="00C8740D">
              <w:rPr>
                <w:webHidden/>
              </w:rPr>
              <w:instrText xml:space="preserve"> PAGEREF _Toc141875252 \h </w:instrText>
            </w:r>
            <w:r w:rsidR="00C8740D">
              <w:rPr>
                <w:webHidden/>
              </w:rPr>
            </w:r>
            <w:r w:rsidR="00C8740D">
              <w:rPr>
                <w:webHidden/>
              </w:rPr>
              <w:fldChar w:fldCharType="separate"/>
            </w:r>
            <w:r w:rsidR="00A721BB">
              <w:rPr>
                <w:webHidden/>
              </w:rPr>
              <w:t>45</w:t>
            </w:r>
            <w:r w:rsidR="00C8740D">
              <w:rPr>
                <w:webHidden/>
              </w:rPr>
              <w:fldChar w:fldCharType="end"/>
            </w:r>
          </w:hyperlink>
        </w:p>
        <w:p w14:paraId="08DDDD9B" w14:textId="0F2BBC5A" w:rsidR="00C8740D" w:rsidRDefault="00000000">
          <w:pPr>
            <w:pStyle w:val="TOC3"/>
            <w:rPr>
              <w:rFonts w:cstheme="minorBidi"/>
              <w:kern w:val="2"/>
              <w:sz w:val="22"/>
              <w:szCs w:val="22"/>
              <w:lang w:eastAsia="en-AU"/>
              <w14:ligatures w14:val="standardContextual"/>
            </w:rPr>
          </w:pPr>
          <w:hyperlink w:anchor="_Toc141875253" w:history="1">
            <w:r w:rsidR="00C8740D" w:rsidRPr="00A237A6">
              <w:rPr>
                <w:rStyle w:val="Hyperlink"/>
              </w:rPr>
              <w:t>Identify any factors against access</w:t>
            </w:r>
            <w:r w:rsidR="00C8740D">
              <w:rPr>
                <w:webHidden/>
              </w:rPr>
              <w:tab/>
            </w:r>
            <w:r w:rsidR="00C8740D">
              <w:rPr>
                <w:webHidden/>
              </w:rPr>
              <w:fldChar w:fldCharType="begin"/>
            </w:r>
            <w:r w:rsidR="00C8740D">
              <w:rPr>
                <w:webHidden/>
              </w:rPr>
              <w:instrText xml:space="preserve"> PAGEREF _Toc141875253 \h </w:instrText>
            </w:r>
            <w:r w:rsidR="00C8740D">
              <w:rPr>
                <w:webHidden/>
              </w:rPr>
            </w:r>
            <w:r w:rsidR="00C8740D">
              <w:rPr>
                <w:webHidden/>
              </w:rPr>
              <w:fldChar w:fldCharType="separate"/>
            </w:r>
            <w:r w:rsidR="00A721BB">
              <w:rPr>
                <w:webHidden/>
              </w:rPr>
              <w:t>46</w:t>
            </w:r>
            <w:r w:rsidR="00C8740D">
              <w:rPr>
                <w:webHidden/>
              </w:rPr>
              <w:fldChar w:fldCharType="end"/>
            </w:r>
          </w:hyperlink>
        </w:p>
        <w:p w14:paraId="428B41B9" w14:textId="4D49BC1F" w:rsidR="00C8740D" w:rsidRDefault="00000000">
          <w:pPr>
            <w:pStyle w:val="TOC3"/>
            <w:rPr>
              <w:rFonts w:cstheme="minorBidi"/>
              <w:kern w:val="2"/>
              <w:sz w:val="22"/>
              <w:szCs w:val="22"/>
              <w:lang w:eastAsia="en-AU"/>
              <w14:ligatures w14:val="standardContextual"/>
            </w:rPr>
          </w:pPr>
          <w:hyperlink w:anchor="_Toc141875254" w:history="1">
            <w:r w:rsidR="00C8740D" w:rsidRPr="00A237A6">
              <w:rPr>
                <w:rStyle w:val="Hyperlink"/>
              </w:rPr>
              <w:t>Ensure no irrelevant factor is considered</w:t>
            </w:r>
            <w:r w:rsidR="00C8740D">
              <w:rPr>
                <w:webHidden/>
              </w:rPr>
              <w:tab/>
            </w:r>
            <w:r w:rsidR="00C8740D">
              <w:rPr>
                <w:webHidden/>
              </w:rPr>
              <w:fldChar w:fldCharType="begin"/>
            </w:r>
            <w:r w:rsidR="00C8740D">
              <w:rPr>
                <w:webHidden/>
              </w:rPr>
              <w:instrText xml:space="preserve"> PAGEREF _Toc141875254 \h </w:instrText>
            </w:r>
            <w:r w:rsidR="00C8740D">
              <w:rPr>
                <w:webHidden/>
              </w:rPr>
            </w:r>
            <w:r w:rsidR="00C8740D">
              <w:rPr>
                <w:webHidden/>
              </w:rPr>
              <w:fldChar w:fldCharType="separate"/>
            </w:r>
            <w:r w:rsidR="00A721BB">
              <w:rPr>
                <w:webHidden/>
              </w:rPr>
              <w:t>48</w:t>
            </w:r>
            <w:r w:rsidR="00C8740D">
              <w:rPr>
                <w:webHidden/>
              </w:rPr>
              <w:fldChar w:fldCharType="end"/>
            </w:r>
          </w:hyperlink>
        </w:p>
        <w:p w14:paraId="73653BCF" w14:textId="6E075E52" w:rsidR="00C8740D" w:rsidRDefault="00000000">
          <w:pPr>
            <w:pStyle w:val="TOC3"/>
            <w:rPr>
              <w:rFonts w:cstheme="minorBidi"/>
              <w:kern w:val="2"/>
              <w:sz w:val="22"/>
              <w:szCs w:val="22"/>
              <w:lang w:eastAsia="en-AU"/>
              <w14:ligatures w14:val="standardContextual"/>
            </w:rPr>
          </w:pPr>
          <w:hyperlink w:anchor="_Toc141875255" w:history="1">
            <w:r w:rsidR="00C8740D" w:rsidRPr="00A237A6">
              <w:rPr>
                <w:rStyle w:val="Hyperlink"/>
              </w:rPr>
              <w:t>Weigh the relevant factors to determine where the public interest lies</w:t>
            </w:r>
            <w:r w:rsidR="00C8740D">
              <w:rPr>
                <w:webHidden/>
              </w:rPr>
              <w:tab/>
            </w:r>
            <w:r w:rsidR="00C8740D">
              <w:rPr>
                <w:webHidden/>
              </w:rPr>
              <w:fldChar w:fldCharType="begin"/>
            </w:r>
            <w:r w:rsidR="00C8740D">
              <w:rPr>
                <w:webHidden/>
              </w:rPr>
              <w:instrText xml:space="preserve"> PAGEREF _Toc141875255 \h </w:instrText>
            </w:r>
            <w:r w:rsidR="00C8740D">
              <w:rPr>
                <w:webHidden/>
              </w:rPr>
            </w:r>
            <w:r w:rsidR="00C8740D">
              <w:rPr>
                <w:webHidden/>
              </w:rPr>
              <w:fldChar w:fldCharType="separate"/>
            </w:r>
            <w:r w:rsidR="00A721BB">
              <w:rPr>
                <w:webHidden/>
              </w:rPr>
              <w:t>49</w:t>
            </w:r>
            <w:r w:rsidR="00C8740D">
              <w:rPr>
                <w:webHidden/>
              </w:rPr>
              <w:fldChar w:fldCharType="end"/>
            </w:r>
          </w:hyperlink>
        </w:p>
        <w:p w14:paraId="0DB459BB" w14:textId="25EF287E" w:rsidR="00C8740D" w:rsidRDefault="00000000">
          <w:pPr>
            <w:pStyle w:val="TOC3"/>
            <w:rPr>
              <w:rFonts w:cstheme="minorBidi"/>
              <w:kern w:val="2"/>
              <w:sz w:val="22"/>
              <w:szCs w:val="22"/>
              <w:lang w:eastAsia="en-AU"/>
              <w14:ligatures w14:val="standardContextual"/>
            </w:rPr>
          </w:pPr>
          <w:hyperlink w:anchor="_Toc141875256" w:history="1">
            <w:r w:rsidR="00C8740D" w:rsidRPr="00A237A6">
              <w:rPr>
                <w:rStyle w:val="Hyperlink"/>
              </w:rPr>
              <w:t>The public interest test and s 47B (Commonwealth-State relations)</w:t>
            </w:r>
            <w:r w:rsidR="00C8740D">
              <w:rPr>
                <w:webHidden/>
              </w:rPr>
              <w:tab/>
            </w:r>
            <w:r w:rsidR="00C8740D">
              <w:rPr>
                <w:webHidden/>
              </w:rPr>
              <w:fldChar w:fldCharType="begin"/>
            </w:r>
            <w:r w:rsidR="00C8740D">
              <w:rPr>
                <w:webHidden/>
              </w:rPr>
              <w:instrText xml:space="preserve"> PAGEREF _Toc141875256 \h </w:instrText>
            </w:r>
            <w:r w:rsidR="00C8740D">
              <w:rPr>
                <w:webHidden/>
              </w:rPr>
            </w:r>
            <w:r w:rsidR="00C8740D">
              <w:rPr>
                <w:webHidden/>
              </w:rPr>
              <w:fldChar w:fldCharType="separate"/>
            </w:r>
            <w:r w:rsidR="00A721BB">
              <w:rPr>
                <w:webHidden/>
              </w:rPr>
              <w:t>49</w:t>
            </w:r>
            <w:r w:rsidR="00C8740D">
              <w:rPr>
                <w:webHidden/>
              </w:rPr>
              <w:fldChar w:fldCharType="end"/>
            </w:r>
          </w:hyperlink>
        </w:p>
        <w:p w14:paraId="5AE31334" w14:textId="5C4B94C0" w:rsidR="00C8740D" w:rsidRDefault="00000000">
          <w:pPr>
            <w:pStyle w:val="TOC3"/>
            <w:rPr>
              <w:rFonts w:cstheme="minorBidi"/>
              <w:kern w:val="2"/>
              <w:sz w:val="22"/>
              <w:szCs w:val="22"/>
              <w:lang w:eastAsia="en-AU"/>
              <w14:ligatures w14:val="standardContextual"/>
            </w:rPr>
          </w:pPr>
          <w:hyperlink w:anchor="_Toc141875257" w:history="1">
            <w:r w:rsidR="00C8740D" w:rsidRPr="00A237A6">
              <w:rPr>
                <w:rStyle w:val="Hyperlink"/>
              </w:rPr>
              <w:t>Inhibition of frankness and candour</w:t>
            </w:r>
            <w:r w:rsidR="00C8740D">
              <w:rPr>
                <w:webHidden/>
              </w:rPr>
              <w:tab/>
            </w:r>
            <w:r w:rsidR="00C8740D">
              <w:rPr>
                <w:webHidden/>
              </w:rPr>
              <w:fldChar w:fldCharType="begin"/>
            </w:r>
            <w:r w:rsidR="00C8740D">
              <w:rPr>
                <w:webHidden/>
              </w:rPr>
              <w:instrText xml:space="preserve"> PAGEREF _Toc141875257 \h </w:instrText>
            </w:r>
            <w:r w:rsidR="00C8740D">
              <w:rPr>
                <w:webHidden/>
              </w:rPr>
            </w:r>
            <w:r w:rsidR="00C8740D">
              <w:rPr>
                <w:webHidden/>
              </w:rPr>
              <w:fldChar w:fldCharType="separate"/>
            </w:r>
            <w:r w:rsidR="00A721BB">
              <w:rPr>
                <w:webHidden/>
              </w:rPr>
              <w:t>50</w:t>
            </w:r>
            <w:r w:rsidR="00C8740D">
              <w:rPr>
                <w:webHidden/>
              </w:rPr>
              <w:fldChar w:fldCharType="end"/>
            </w:r>
          </w:hyperlink>
        </w:p>
        <w:p w14:paraId="54649B8A" w14:textId="577CFDC2" w:rsidR="00C8740D" w:rsidRDefault="00000000">
          <w:pPr>
            <w:pStyle w:val="TOC3"/>
            <w:rPr>
              <w:rFonts w:cstheme="minorBidi"/>
              <w:kern w:val="2"/>
              <w:sz w:val="22"/>
              <w:szCs w:val="22"/>
              <w:lang w:eastAsia="en-AU"/>
              <w14:ligatures w14:val="standardContextual"/>
            </w:rPr>
          </w:pPr>
          <w:hyperlink w:anchor="_Toc141875258" w:history="1">
            <w:r w:rsidR="00C8740D" w:rsidRPr="00A237A6">
              <w:rPr>
                <w:rStyle w:val="Hyperlink"/>
              </w:rPr>
              <w:t>Incoming government briefs and the public interest test</w:t>
            </w:r>
            <w:r w:rsidR="00C8740D">
              <w:rPr>
                <w:webHidden/>
              </w:rPr>
              <w:tab/>
            </w:r>
            <w:r w:rsidR="00C8740D">
              <w:rPr>
                <w:webHidden/>
              </w:rPr>
              <w:fldChar w:fldCharType="begin"/>
            </w:r>
            <w:r w:rsidR="00C8740D">
              <w:rPr>
                <w:webHidden/>
              </w:rPr>
              <w:instrText xml:space="preserve"> PAGEREF _Toc141875258 \h </w:instrText>
            </w:r>
            <w:r w:rsidR="00C8740D">
              <w:rPr>
                <w:webHidden/>
              </w:rPr>
            </w:r>
            <w:r w:rsidR="00C8740D">
              <w:rPr>
                <w:webHidden/>
              </w:rPr>
              <w:fldChar w:fldCharType="separate"/>
            </w:r>
            <w:r w:rsidR="00A721BB">
              <w:rPr>
                <w:webHidden/>
              </w:rPr>
              <w:t>51</w:t>
            </w:r>
            <w:r w:rsidR="00C8740D">
              <w:rPr>
                <w:webHidden/>
              </w:rPr>
              <w:fldChar w:fldCharType="end"/>
            </w:r>
          </w:hyperlink>
        </w:p>
        <w:p w14:paraId="69CF0F86" w14:textId="32AFDB52" w:rsidR="00951843" w:rsidRDefault="00951843">
          <w:r>
            <w:rPr>
              <w:b/>
              <w:bCs/>
              <w:noProof/>
            </w:rPr>
            <w:fldChar w:fldCharType="end"/>
          </w:r>
        </w:p>
      </w:sdtContent>
    </w:sdt>
    <w:p w14:paraId="29B11D14" w14:textId="77777777" w:rsidR="00EB4F37" w:rsidRPr="00EB4F37" w:rsidRDefault="00EB4F37" w:rsidP="00EB4F37">
      <w:pPr>
        <w:rPr>
          <w:lang w:eastAsia="en-US"/>
        </w:rPr>
      </w:pPr>
      <w:bookmarkStart w:id="0" w:name="_Toc347922857"/>
      <w:bookmarkStart w:id="1" w:name="_Toc347924285"/>
      <w:bookmarkStart w:id="2" w:name="_Toc380597022"/>
    </w:p>
    <w:bookmarkEnd w:id="0"/>
    <w:bookmarkEnd w:id="1"/>
    <w:bookmarkEnd w:id="2"/>
    <w:p w14:paraId="39B13089" w14:textId="77777777" w:rsidR="00BB0A82" w:rsidRPr="00DD07E1" w:rsidRDefault="00F4121A" w:rsidP="00BB0A82">
      <w:pPr>
        <w:pStyle w:val="Heading2"/>
        <w:rPr>
          <w:b/>
          <w:bCs/>
        </w:rPr>
      </w:pPr>
      <w:r>
        <w:br w:type="page"/>
      </w:r>
      <w:bookmarkStart w:id="3" w:name="_Toc458761639"/>
      <w:bookmarkStart w:id="4" w:name="_Toc11154459"/>
      <w:bookmarkStart w:id="5" w:name="_Toc141875196"/>
      <w:r w:rsidR="00BB0A82" w:rsidRPr="00DD07E1">
        <w:lastRenderedPageBreak/>
        <w:t>Introduction</w:t>
      </w:r>
      <w:bookmarkEnd w:id="3"/>
      <w:bookmarkEnd w:id="4"/>
      <w:bookmarkEnd w:id="5"/>
    </w:p>
    <w:p w14:paraId="23F1C48F" w14:textId="045B835E" w:rsidR="00572A45" w:rsidRDefault="008D5849" w:rsidP="00901310">
      <w:pPr>
        <w:pStyle w:val="NumberedParagraphs"/>
        <w:ind w:left="567"/>
      </w:pPr>
      <w:r>
        <w:t xml:space="preserve">This </w:t>
      </w:r>
      <w:r w:rsidR="00572A45">
        <w:t xml:space="preserve">Part of the FOI Guidelines sets out </w:t>
      </w:r>
      <w:r w:rsidR="007227AB">
        <w:t xml:space="preserve">each of </w:t>
      </w:r>
      <w:r w:rsidR="00572A45">
        <w:t xml:space="preserve">the conditional exemptions in Division 3 of Part IV of the FOI Act and explains the </w:t>
      </w:r>
      <w:r w:rsidR="007227AB">
        <w:t xml:space="preserve">threshold criteria </w:t>
      </w:r>
      <w:r w:rsidR="00572A45">
        <w:t xml:space="preserve">that must </w:t>
      </w:r>
      <w:r w:rsidR="002E2770">
        <w:t>be met</w:t>
      </w:r>
      <w:r w:rsidR="00572A45">
        <w:t xml:space="preserve"> before </w:t>
      </w:r>
      <w:r w:rsidR="007227AB">
        <w:t xml:space="preserve">deciding that a document is conditionally exempt. </w:t>
      </w:r>
    </w:p>
    <w:p w14:paraId="56B8F60F" w14:textId="7C1A36E6" w:rsidR="001B0EF2" w:rsidRDefault="001B0EF2" w:rsidP="00901310">
      <w:pPr>
        <w:pStyle w:val="NumberedParagraphs"/>
        <w:ind w:left="567"/>
      </w:pPr>
      <w:r>
        <w:t>Section 11A(5) of the FOI Act provides that whe</w:t>
      </w:r>
      <w:r w:rsidR="00951A11">
        <w:t>n</w:t>
      </w:r>
      <w:r>
        <w:t xml:space="preserve"> </w:t>
      </w:r>
      <w:r w:rsidRPr="002D4A28">
        <w:t xml:space="preserve">a document is conditionally exempt under a </w:t>
      </w:r>
      <w:r>
        <w:t xml:space="preserve">conditional exemption in </w:t>
      </w:r>
      <w:r w:rsidRPr="002D4A28">
        <w:t xml:space="preserve">Division 3 of Part IV of the FOI Act, access must be given </w:t>
      </w:r>
      <w:r>
        <w:t xml:space="preserve">to the document </w:t>
      </w:r>
      <w:r w:rsidRPr="002D4A28">
        <w:t>unless</w:t>
      </w:r>
      <w:r>
        <w:t>,</w:t>
      </w:r>
      <w:r w:rsidRPr="002D4A28">
        <w:t xml:space="preserve"> in the circumstances</w:t>
      </w:r>
      <w:r>
        <w:t>,</w:t>
      </w:r>
      <w:r w:rsidRPr="002D4A28">
        <w:t xml:space="preserve"> giving access would, on balance, </w:t>
      </w:r>
      <w:r w:rsidRPr="005A1C6E">
        <w:rPr>
          <w:i/>
          <w:iCs/>
        </w:rPr>
        <w:t>be contrary to the public interest</w:t>
      </w:r>
      <w:r w:rsidRPr="002D4A28">
        <w:t xml:space="preserve"> (s 11A(5)).</w:t>
      </w:r>
    </w:p>
    <w:p w14:paraId="05810DB7" w14:textId="2D7F165E" w:rsidR="009C494A" w:rsidRDefault="00F06DC1" w:rsidP="00901310">
      <w:pPr>
        <w:pStyle w:val="NumberedParagraphs"/>
        <w:ind w:left="567"/>
      </w:pPr>
      <w:r>
        <w:t>After discuss</w:t>
      </w:r>
      <w:r w:rsidR="008D5849">
        <w:t xml:space="preserve">ing each </w:t>
      </w:r>
      <w:r>
        <w:t xml:space="preserve">conditional exemption and </w:t>
      </w:r>
      <w:r w:rsidR="008D5849">
        <w:t xml:space="preserve">its </w:t>
      </w:r>
      <w:r>
        <w:t xml:space="preserve">threshold criteria, </w:t>
      </w:r>
      <w:r w:rsidR="009C494A">
        <w:t xml:space="preserve">Part 6 </w:t>
      </w:r>
      <w:r w:rsidR="00C876F1">
        <w:t xml:space="preserve">sets out </w:t>
      </w:r>
      <w:r w:rsidR="004C10A6">
        <w:t xml:space="preserve">how </w:t>
      </w:r>
      <w:r w:rsidR="00392253">
        <w:t>decision-makers should</w:t>
      </w:r>
      <w:r w:rsidR="004C10A6">
        <w:t xml:space="preserve"> apply the </w:t>
      </w:r>
      <w:r w:rsidR="009C494A">
        <w:t>public interest test</w:t>
      </w:r>
      <w:r>
        <w:t>,</w:t>
      </w:r>
      <w:r w:rsidR="009C494A">
        <w:t xml:space="preserve"> which is common to all conditional exemptions in Division 3 of Part IV.</w:t>
      </w:r>
    </w:p>
    <w:p w14:paraId="33E27B54" w14:textId="6972FE95" w:rsidR="003A518E" w:rsidRDefault="003A518E" w:rsidP="003A518E">
      <w:pPr>
        <w:pStyle w:val="Heading3"/>
      </w:pPr>
      <w:bookmarkStart w:id="6" w:name="_Toc141875197"/>
      <w:bookmarkStart w:id="7" w:name="_Hlk138764272"/>
      <w:r>
        <w:t>Decision making under Division 3 of Part IV</w:t>
      </w:r>
      <w:bookmarkEnd w:id="6"/>
    </w:p>
    <w:p w14:paraId="754D4152" w14:textId="6DDF4745" w:rsidR="00FC42EE" w:rsidRDefault="003A518E" w:rsidP="00901310">
      <w:pPr>
        <w:pStyle w:val="NumberedParagraphs"/>
        <w:ind w:left="567"/>
      </w:pPr>
      <w:r>
        <w:t>Deciding whether a document is exempt under Division 3 of Part IV of the FOI Act requires decision maker</w:t>
      </w:r>
      <w:r w:rsidR="004C4AE8">
        <w:t>s</w:t>
      </w:r>
      <w:r>
        <w:t xml:space="preserve"> to</w:t>
      </w:r>
      <w:r w:rsidR="00FC42EE">
        <w:t>:</w:t>
      </w:r>
    </w:p>
    <w:p w14:paraId="17CAED33" w14:textId="09045D08" w:rsidR="00FC42EE" w:rsidRDefault="00BB657E" w:rsidP="00901310">
      <w:pPr>
        <w:pStyle w:val="NumberedParagraphs"/>
        <w:numPr>
          <w:ilvl w:val="0"/>
          <w:numId w:val="68"/>
        </w:numPr>
        <w:ind w:left="851" w:hanging="284"/>
      </w:pPr>
      <w:r>
        <w:t xml:space="preserve">consider </w:t>
      </w:r>
      <w:r w:rsidR="00FC42EE">
        <w:t>the document</w:t>
      </w:r>
      <w:r w:rsidR="00125D01">
        <w:t>(s)</w:t>
      </w:r>
      <w:r w:rsidR="00FC42EE">
        <w:t xml:space="preserve"> at issue and the </w:t>
      </w:r>
      <w:r w:rsidR="007808AB">
        <w:t xml:space="preserve">matters that must be </w:t>
      </w:r>
      <w:r w:rsidR="00D27F1A">
        <w:t xml:space="preserve">established </w:t>
      </w:r>
      <w:r w:rsidR="008E5651">
        <w:t>(</w:t>
      </w:r>
      <w:r w:rsidR="00FC42EE">
        <w:t>threshold</w:t>
      </w:r>
      <w:r w:rsidR="008E5651">
        <w:t>)</w:t>
      </w:r>
      <w:r w:rsidR="00FC42EE">
        <w:t xml:space="preserve"> for each conditional exemption</w:t>
      </w:r>
    </w:p>
    <w:p w14:paraId="75086A93" w14:textId="07719FA7" w:rsidR="00BB657E" w:rsidRDefault="00BB657E" w:rsidP="00901310">
      <w:pPr>
        <w:pStyle w:val="NumberedParagraphs"/>
        <w:numPr>
          <w:ilvl w:val="0"/>
          <w:numId w:val="68"/>
        </w:numPr>
        <w:ind w:left="851" w:hanging="284"/>
      </w:pPr>
      <w:r>
        <w:t xml:space="preserve">decide, in the context of each </w:t>
      </w:r>
      <w:r w:rsidR="00011C88">
        <w:t xml:space="preserve">individual </w:t>
      </w:r>
      <w:r>
        <w:t>document, whether the threshold for one or more conditional exemptions is met</w:t>
      </w:r>
      <w:r w:rsidR="00125D01">
        <w:rPr>
          <w:rStyle w:val="FootnoteReference"/>
        </w:rPr>
        <w:footnoteReference w:id="1"/>
      </w:r>
    </w:p>
    <w:p w14:paraId="32231CB8" w14:textId="354CE6E2" w:rsidR="00BB657E" w:rsidRDefault="007A7569" w:rsidP="00901310">
      <w:pPr>
        <w:pStyle w:val="NumberedParagraphs"/>
        <w:numPr>
          <w:ilvl w:val="0"/>
          <w:numId w:val="68"/>
        </w:numPr>
        <w:ind w:left="851" w:hanging="284"/>
      </w:pPr>
      <w:r>
        <w:t xml:space="preserve">consider whether giving access would be contrary to </w:t>
      </w:r>
      <w:r w:rsidR="00BB657E">
        <w:t xml:space="preserve">the public interest test </w:t>
      </w:r>
      <w:r>
        <w:t>(</w:t>
      </w:r>
      <w:r w:rsidR="00BB657E">
        <w:t>s 11A</w:t>
      </w:r>
      <w:r w:rsidR="00011C88">
        <w:t>(5)</w:t>
      </w:r>
      <w:r>
        <w:t>)</w:t>
      </w:r>
      <w:r w:rsidR="00011C88">
        <w:t xml:space="preserve"> by:</w:t>
      </w:r>
    </w:p>
    <w:p w14:paraId="2607F561" w14:textId="15374B4F" w:rsidR="00077F52" w:rsidRDefault="00077F52" w:rsidP="00901310">
      <w:pPr>
        <w:pStyle w:val="NumberedParagraphs"/>
        <w:numPr>
          <w:ilvl w:val="0"/>
          <w:numId w:val="69"/>
        </w:numPr>
        <w:ind w:left="1276" w:hanging="425"/>
      </w:pPr>
      <w:r>
        <w:t>identify</w:t>
      </w:r>
      <w:r w:rsidR="00011C88">
        <w:t>ing</w:t>
      </w:r>
      <w:r>
        <w:t xml:space="preserve"> the public interest factors favouring disclosure</w:t>
      </w:r>
      <w:r w:rsidR="00943636">
        <w:t xml:space="preserve"> (s 11B(3))</w:t>
      </w:r>
      <w:r w:rsidR="00E87F51">
        <w:t xml:space="preserve"> (see</w:t>
      </w:r>
      <w:r w:rsidR="00E051E8">
        <w:t xml:space="preserve"> [6.2</w:t>
      </w:r>
      <w:r w:rsidR="003128BD">
        <w:t>2</w:t>
      </w:r>
      <w:r w:rsidR="00B17E42">
        <w:t>2</w:t>
      </w:r>
      <w:r w:rsidR="00E051E8">
        <w:t>]–[6.2</w:t>
      </w:r>
      <w:r w:rsidR="003128BD">
        <w:t>2</w:t>
      </w:r>
      <w:r w:rsidR="00B17E42">
        <w:t>4</w:t>
      </w:r>
      <w:r w:rsidR="00E051E8">
        <w:t>])</w:t>
      </w:r>
    </w:p>
    <w:p w14:paraId="72917E6E" w14:textId="37B10D78" w:rsidR="00077F52" w:rsidRDefault="00077F52" w:rsidP="00901310">
      <w:pPr>
        <w:pStyle w:val="NumberedParagraphs"/>
        <w:numPr>
          <w:ilvl w:val="0"/>
          <w:numId w:val="69"/>
        </w:numPr>
        <w:ind w:left="1276" w:hanging="425"/>
      </w:pPr>
      <w:r>
        <w:t>identify</w:t>
      </w:r>
      <w:r w:rsidR="00011C88">
        <w:t>ing</w:t>
      </w:r>
      <w:r>
        <w:t xml:space="preserve"> the public interest factors against disclosure</w:t>
      </w:r>
      <w:r w:rsidR="00E87F51">
        <w:t xml:space="preserve"> (see </w:t>
      </w:r>
      <w:r w:rsidR="00E051E8">
        <w:t>[6.2</w:t>
      </w:r>
      <w:r w:rsidR="00DD5C17">
        <w:t>2</w:t>
      </w:r>
      <w:r w:rsidR="005E7ADA">
        <w:t>5</w:t>
      </w:r>
      <w:r w:rsidR="00E051E8">
        <w:t>]–[6.2</w:t>
      </w:r>
      <w:r w:rsidR="00DD5C17">
        <w:t>2</w:t>
      </w:r>
      <w:r w:rsidR="005E7ADA">
        <w:t>7</w:t>
      </w:r>
      <w:r w:rsidR="00E051E8">
        <w:t>])</w:t>
      </w:r>
    </w:p>
    <w:p w14:paraId="11C288E3" w14:textId="2D1DA367" w:rsidR="00077F52" w:rsidRDefault="00077F52" w:rsidP="00901310">
      <w:pPr>
        <w:pStyle w:val="NumberedParagraphs"/>
        <w:numPr>
          <w:ilvl w:val="0"/>
          <w:numId w:val="69"/>
        </w:numPr>
        <w:ind w:left="1276" w:hanging="425"/>
      </w:pPr>
      <w:r>
        <w:t>ensur</w:t>
      </w:r>
      <w:r w:rsidR="00011C88">
        <w:t>ing</w:t>
      </w:r>
      <w:r>
        <w:t xml:space="preserve"> no irrelevant factors are considered</w:t>
      </w:r>
      <w:r w:rsidR="00943636">
        <w:t xml:space="preserve"> (s 11B(4)</w:t>
      </w:r>
      <w:r w:rsidR="00E87F51">
        <w:t xml:space="preserve"> (see </w:t>
      </w:r>
      <w:r w:rsidR="00E051E8">
        <w:t>[6.2</w:t>
      </w:r>
      <w:r w:rsidR="00DD5C17">
        <w:t>22</w:t>
      </w:r>
      <w:r w:rsidR="005E7ADA">
        <w:t>8</w:t>
      </w:r>
      <w:r w:rsidR="00E051E8">
        <w:t>]–[6.22</w:t>
      </w:r>
      <w:r w:rsidR="005E7ADA">
        <w:t>9</w:t>
      </w:r>
      <w:r w:rsidR="00E051E8">
        <w:t>])</w:t>
      </w:r>
    </w:p>
    <w:p w14:paraId="4072C5AD" w14:textId="0EFDB61D" w:rsidR="00C034D9" w:rsidRDefault="00077F52" w:rsidP="002709DD">
      <w:pPr>
        <w:pStyle w:val="NumberedParagraphs"/>
        <w:numPr>
          <w:ilvl w:val="0"/>
          <w:numId w:val="69"/>
        </w:numPr>
        <w:ind w:left="1276" w:hanging="425"/>
      </w:pPr>
      <w:r>
        <w:t>weigh</w:t>
      </w:r>
      <w:r w:rsidR="00011C88">
        <w:t>ing</w:t>
      </w:r>
      <w:r>
        <w:t xml:space="preserve"> the relevant factors for and against disclosure </w:t>
      </w:r>
      <w:r w:rsidR="004D180F">
        <w:t>to reach a decision</w:t>
      </w:r>
      <w:r w:rsidR="00E051E8">
        <w:t xml:space="preserve"> (see [6.2</w:t>
      </w:r>
      <w:r w:rsidR="005E7ADA">
        <w:t>30</w:t>
      </w:r>
      <w:r w:rsidR="00E051E8">
        <w:t>]–[6.2</w:t>
      </w:r>
      <w:r w:rsidR="005E7ADA">
        <w:t>33</w:t>
      </w:r>
      <w:r w:rsidR="00E051E8">
        <w:t>].</w:t>
      </w:r>
      <w:r w:rsidR="00AF4BDB">
        <w:t xml:space="preserve"> I</w:t>
      </w:r>
      <w:r>
        <w:t>t is only if the factors against disclosure outweigh those for disclosure that the document will be exempt.</w:t>
      </w:r>
      <w:bookmarkEnd w:id="7"/>
    </w:p>
    <w:p w14:paraId="5CEA1833" w14:textId="77777777" w:rsidR="00C034D9" w:rsidRDefault="00C034D9">
      <w:pPr>
        <w:spacing w:after="0"/>
        <w:ind w:left="284" w:hanging="284"/>
      </w:pPr>
      <w:r>
        <w:br w:type="page"/>
      </w:r>
    </w:p>
    <w:p w14:paraId="1B616687" w14:textId="77777777" w:rsidR="004C4AE8" w:rsidRDefault="004C4AE8" w:rsidP="002709DD">
      <w:pPr>
        <w:pStyle w:val="NumberedParagraphs"/>
        <w:numPr>
          <w:ilvl w:val="0"/>
          <w:numId w:val="69"/>
        </w:numPr>
        <w:ind w:left="1276" w:hanging="425"/>
      </w:pPr>
    </w:p>
    <w:p w14:paraId="35EC43D1" w14:textId="0CB2D011" w:rsidR="007906FC" w:rsidRDefault="008F28AC" w:rsidP="007906FC">
      <w:pPr>
        <w:pStyle w:val="NumberedParagraphs"/>
        <w:ind w:left="567"/>
      </w:pPr>
      <w:r>
        <w:t xml:space="preserve">The </w:t>
      </w:r>
      <w:r w:rsidR="00C034D9">
        <w:t>decision-making</w:t>
      </w:r>
      <w:r>
        <w:t xml:space="preserve"> process under Division 3 of Part IV is also represented in the flow chart below. </w:t>
      </w:r>
    </w:p>
    <w:p w14:paraId="5671E768" w14:textId="519BB02C" w:rsidR="00C539B2" w:rsidRDefault="00C539B2" w:rsidP="0020561F">
      <w:pPr>
        <w:pStyle w:val="NumberedParagraphs"/>
        <w:numPr>
          <w:ilvl w:val="0"/>
          <w:numId w:val="0"/>
        </w:numPr>
        <w:ind w:left="567"/>
      </w:pPr>
      <w:r w:rsidRPr="00C539B2">
        <w:rPr>
          <w:noProof/>
        </w:rPr>
        <w:drawing>
          <wp:inline distT="0" distB="0" distL="0" distR="0" wp14:anchorId="5CC27155" wp14:editId="2A82B28E">
            <wp:extent cx="4940554" cy="48071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0554" cy="4807197"/>
                    </a:xfrm>
                    <a:prstGeom prst="rect">
                      <a:avLst/>
                    </a:prstGeom>
                  </pic:spPr>
                </pic:pic>
              </a:graphicData>
            </a:graphic>
          </wp:inline>
        </w:drawing>
      </w:r>
    </w:p>
    <w:p w14:paraId="7884F29D" w14:textId="0C8779F4" w:rsidR="00BB4649" w:rsidRDefault="00BB4649" w:rsidP="0020561F">
      <w:pPr>
        <w:pStyle w:val="NumberedParagraphs"/>
        <w:numPr>
          <w:ilvl w:val="0"/>
          <w:numId w:val="0"/>
        </w:numPr>
        <w:ind w:left="567"/>
      </w:pPr>
    </w:p>
    <w:p w14:paraId="4200E417" w14:textId="52BC7476" w:rsidR="00B14695" w:rsidRDefault="00F53AA6" w:rsidP="00375152">
      <w:pPr>
        <w:pStyle w:val="Heading3"/>
      </w:pPr>
      <w:bookmarkStart w:id="8" w:name="_Toc141875198"/>
      <w:r>
        <w:t xml:space="preserve">Identifying the </w:t>
      </w:r>
      <w:r w:rsidR="00C3154F">
        <w:t>matters that must be established</w:t>
      </w:r>
      <w:r w:rsidR="004954D0">
        <w:t xml:space="preserve"> for each conditional exemption</w:t>
      </w:r>
      <w:bookmarkEnd w:id="8"/>
    </w:p>
    <w:p w14:paraId="62A4E595" w14:textId="52CAD77F" w:rsidR="005D0C4D" w:rsidRPr="002D4A28" w:rsidRDefault="007027EE" w:rsidP="00901310">
      <w:pPr>
        <w:pStyle w:val="NumberedParagraphs"/>
        <w:ind w:left="567"/>
      </w:pPr>
      <w:bookmarkStart w:id="9" w:name="_Ref458426074"/>
      <w:r w:rsidRPr="00152345">
        <w:t xml:space="preserve">A document is conditionally exempt if it satisfies all the elements of any of the </w:t>
      </w:r>
      <w:r>
        <w:t>8</w:t>
      </w:r>
      <w:r w:rsidRPr="00152345">
        <w:t xml:space="preserve"> conditional exemptions listed </w:t>
      </w:r>
      <w:r w:rsidR="003A518E">
        <w:t>below</w:t>
      </w:r>
      <w:r w:rsidRPr="00152345">
        <w:t xml:space="preserve">. </w:t>
      </w:r>
      <w:r w:rsidR="005D0C4D" w:rsidRPr="002D4A28">
        <w:t xml:space="preserve">Conditional exemptions </w:t>
      </w:r>
      <w:r w:rsidR="005D0C4D">
        <w:t>in</w:t>
      </w:r>
      <w:r w:rsidR="005D0C4D" w:rsidRPr="002D4A28">
        <w:t xml:space="preserve"> Division 3 of Part IV that are subject to the public interest test relate to the following:</w:t>
      </w:r>
    </w:p>
    <w:p w14:paraId="6B0860EA" w14:textId="77777777" w:rsidR="005D0C4D" w:rsidRPr="007500E4" w:rsidRDefault="005D0C4D" w:rsidP="00901310">
      <w:pPr>
        <w:pStyle w:val="IndentBullet1"/>
        <w:ind w:left="851" w:hanging="284"/>
      </w:pPr>
      <w:r w:rsidRPr="00152345">
        <w:t>Commonwealth-State relations (s 47B)</w:t>
      </w:r>
      <w:r w:rsidRPr="007500E4">
        <w:rPr>
          <w:rStyle w:val="FootnoteReference"/>
        </w:rPr>
        <w:footnoteReference w:id="2"/>
      </w:r>
    </w:p>
    <w:p w14:paraId="3B7ADE67" w14:textId="77777777" w:rsidR="005D0C4D" w:rsidRPr="007500E4" w:rsidRDefault="005D0C4D" w:rsidP="00901310">
      <w:pPr>
        <w:pStyle w:val="IndentBullet1"/>
        <w:ind w:left="851" w:hanging="284"/>
      </w:pPr>
      <w:r w:rsidRPr="00152345">
        <w:t>deliberative processes (s 47C)</w:t>
      </w:r>
      <w:r w:rsidRPr="00DD07E1">
        <w:rPr>
          <w:rStyle w:val="FootnoteReference"/>
        </w:rPr>
        <w:footnoteReference w:id="3"/>
      </w:r>
    </w:p>
    <w:p w14:paraId="73B2F6BF" w14:textId="77777777" w:rsidR="005D0C4D" w:rsidRPr="007500E4" w:rsidRDefault="005D0C4D" w:rsidP="00901310">
      <w:pPr>
        <w:pStyle w:val="IndentBullet1"/>
        <w:ind w:left="851" w:hanging="284"/>
      </w:pPr>
      <w:r w:rsidRPr="00152345">
        <w:t>financial or property interests of the Commonwealth (s 47D)</w:t>
      </w:r>
      <w:r w:rsidRPr="00DD07E1">
        <w:rPr>
          <w:rStyle w:val="FootnoteReference"/>
        </w:rPr>
        <w:footnoteReference w:id="4"/>
      </w:r>
    </w:p>
    <w:p w14:paraId="33B0FBB8" w14:textId="77777777" w:rsidR="005D0C4D" w:rsidRPr="007500E4" w:rsidRDefault="005D0C4D" w:rsidP="00901310">
      <w:pPr>
        <w:pStyle w:val="IndentBullet1"/>
        <w:ind w:left="851" w:hanging="284"/>
      </w:pPr>
      <w:r w:rsidRPr="00152345">
        <w:lastRenderedPageBreak/>
        <w:t>certain operations of agencies (s 47E)</w:t>
      </w:r>
      <w:r w:rsidRPr="00DD07E1">
        <w:rPr>
          <w:rStyle w:val="FootnoteReference"/>
        </w:rPr>
        <w:footnoteReference w:id="5"/>
      </w:r>
      <w:r w:rsidRPr="00DD07E1">
        <w:t xml:space="preserve"> </w:t>
      </w:r>
    </w:p>
    <w:p w14:paraId="27B57EEA" w14:textId="77777777" w:rsidR="005D0C4D" w:rsidRPr="007500E4" w:rsidRDefault="005D0C4D" w:rsidP="00901310">
      <w:pPr>
        <w:pStyle w:val="IndentBullet1"/>
        <w:ind w:left="851" w:hanging="284"/>
      </w:pPr>
      <w:r w:rsidRPr="00152345">
        <w:t>personal privacy (s 47F)</w:t>
      </w:r>
      <w:r w:rsidRPr="00DD07E1">
        <w:rPr>
          <w:rStyle w:val="FootnoteReference"/>
        </w:rPr>
        <w:footnoteReference w:id="6"/>
      </w:r>
    </w:p>
    <w:p w14:paraId="78D28BE7" w14:textId="77777777" w:rsidR="005D0C4D" w:rsidRPr="007500E4" w:rsidRDefault="005D0C4D" w:rsidP="00901310">
      <w:pPr>
        <w:pStyle w:val="IndentBullet1"/>
        <w:ind w:left="851" w:hanging="284"/>
      </w:pPr>
      <w:r w:rsidRPr="00152345">
        <w:t>business (other than documents to which s 47 applies) (s 47G)</w:t>
      </w:r>
      <w:r w:rsidRPr="007500E4">
        <w:rPr>
          <w:rStyle w:val="FootnoteReference"/>
        </w:rPr>
        <w:footnoteReference w:id="7"/>
      </w:r>
    </w:p>
    <w:p w14:paraId="404E2643" w14:textId="77777777" w:rsidR="005D0C4D" w:rsidRPr="007500E4" w:rsidRDefault="005D0C4D" w:rsidP="00901310">
      <w:pPr>
        <w:pStyle w:val="IndentBullet1"/>
        <w:ind w:left="851" w:hanging="284"/>
      </w:pPr>
      <w:r w:rsidRPr="00152345">
        <w:t>research (s 47H)</w:t>
      </w:r>
      <w:r w:rsidRPr="007500E4">
        <w:rPr>
          <w:rStyle w:val="FootnoteReference"/>
        </w:rPr>
        <w:footnoteReference w:id="8"/>
      </w:r>
    </w:p>
    <w:p w14:paraId="111EB03C" w14:textId="684CE934" w:rsidR="005D0C4D" w:rsidRPr="00152345" w:rsidRDefault="005D0C4D" w:rsidP="00901310">
      <w:pPr>
        <w:pStyle w:val="IndentBullet1"/>
        <w:ind w:left="851" w:hanging="284"/>
      </w:pPr>
      <w:r w:rsidRPr="00152345">
        <w:t>the economy (s 47J).</w:t>
      </w:r>
      <w:r w:rsidR="003140F3">
        <w:rPr>
          <w:rStyle w:val="FootnoteReference"/>
        </w:rPr>
        <w:footnoteReference w:id="9"/>
      </w:r>
    </w:p>
    <w:p w14:paraId="04D33D14" w14:textId="2FFB3414" w:rsidR="007027EE" w:rsidRDefault="007027EE" w:rsidP="00901310">
      <w:pPr>
        <w:pStyle w:val="NumberedParagraphs"/>
        <w:ind w:left="567"/>
      </w:pPr>
      <w:r w:rsidRPr="00152345">
        <w:t xml:space="preserve">For </w:t>
      </w:r>
      <w:r w:rsidR="007906FC">
        <w:t xml:space="preserve">several </w:t>
      </w:r>
      <w:r w:rsidRPr="00152345">
        <w:t>conditional exemption</w:t>
      </w:r>
      <w:r w:rsidR="007906FC">
        <w:t xml:space="preserve">s </w:t>
      </w:r>
      <w:r w:rsidRPr="00152345">
        <w:t>the</w:t>
      </w:r>
      <w:r>
        <w:t>re is a</w:t>
      </w:r>
      <w:r w:rsidRPr="00152345">
        <w:t xml:space="preserve"> harm threshold that must be reached </w:t>
      </w:r>
      <w:r>
        <w:t>for the conditional exemption to apply. For example, a document will be conditionally exempt if its disclosure:</w:t>
      </w:r>
    </w:p>
    <w:p w14:paraId="36DAD3CD" w14:textId="69E85846" w:rsidR="007027EE" w:rsidRDefault="007027EE" w:rsidP="00901310">
      <w:pPr>
        <w:pStyle w:val="IndentBullet1"/>
        <w:ind w:left="851" w:hanging="284"/>
      </w:pPr>
      <w:r>
        <w:t xml:space="preserve">would, or could reasonably be expected to, </w:t>
      </w:r>
      <w:r w:rsidRPr="00946CA3">
        <w:rPr>
          <w:i/>
          <w:iCs/>
        </w:rPr>
        <w:t>cause damage</w:t>
      </w:r>
      <w:r>
        <w:t xml:space="preserve"> to relations between the Commonwealth and a State (s 47B(a))</w:t>
      </w:r>
    </w:p>
    <w:p w14:paraId="03FC2768" w14:textId="77777777" w:rsidR="007027EE" w:rsidRDefault="007027EE" w:rsidP="00901310">
      <w:pPr>
        <w:pStyle w:val="IndentBullet1"/>
        <w:ind w:left="851" w:hanging="284"/>
      </w:pPr>
      <w:r>
        <w:t xml:space="preserve">would have a </w:t>
      </w:r>
      <w:r w:rsidRPr="00946CA3">
        <w:rPr>
          <w:i/>
          <w:iCs/>
        </w:rPr>
        <w:t>substantial adverse effect</w:t>
      </w:r>
      <w:r>
        <w:t xml:space="preserve"> on the financial or property interests of the Commonwealth or an agency (s 47D)</w:t>
      </w:r>
    </w:p>
    <w:p w14:paraId="7B8082A4" w14:textId="77777777" w:rsidR="007027EE" w:rsidRDefault="007027EE" w:rsidP="00901310">
      <w:pPr>
        <w:pStyle w:val="IndentBullet1"/>
        <w:ind w:left="851" w:hanging="284"/>
      </w:pPr>
      <w:r>
        <w:t xml:space="preserve">would, or could reasonably be expected to, have a </w:t>
      </w:r>
      <w:r w:rsidRPr="00946CA3">
        <w:rPr>
          <w:i/>
          <w:iCs/>
        </w:rPr>
        <w:t>substantial adverse effect</w:t>
      </w:r>
      <w:r>
        <w:t xml:space="preserve"> on the management or assessment of personnel by the Commonwealth or by an agency, or on the proper and efficient conduct of the operations of an agency (ss 47E(c) and 47E(d))</w:t>
      </w:r>
    </w:p>
    <w:p w14:paraId="0C20C0D2" w14:textId="77777777" w:rsidR="007027EE" w:rsidRDefault="007027EE" w:rsidP="00901310">
      <w:pPr>
        <w:pStyle w:val="IndentBullet1"/>
        <w:ind w:left="851" w:hanging="284"/>
      </w:pPr>
      <w:r>
        <w:t xml:space="preserve">would involve the </w:t>
      </w:r>
      <w:r w:rsidRPr="00946CA3">
        <w:rPr>
          <w:i/>
          <w:iCs/>
        </w:rPr>
        <w:t>unreasonable disclosure</w:t>
      </w:r>
      <w:r>
        <w:t xml:space="preserve"> of personal information about any person (including a deceased person) (s 47F)</w:t>
      </w:r>
    </w:p>
    <w:p w14:paraId="5F91F9DA" w14:textId="77777777" w:rsidR="007027EE" w:rsidRDefault="007027EE" w:rsidP="00901310">
      <w:pPr>
        <w:pStyle w:val="IndentBullet1"/>
        <w:ind w:left="851" w:hanging="284"/>
      </w:pPr>
      <w:r>
        <w:t xml:space="preserve">would disclose information concerning a person in respect of their business or professional affairs or concerning the business of commercial or financial affairs of an organisation or undertaking in a case in which the disclosure of the information would, or could reasonably be expected to, </w:t>
      </w:r>
      <w:r w:rsidRPr="00946CA3">
        <w:rPr>
          <w:i/>
          <w:iCs/>
        </w:rPr>
        <w:t>unreasonably affect that person adversely</w:t>
      </w:r>
      <w:r>
        <w:t xml:space="preserve"> in respect of their lawful business or professional affairs or that organisation or undertaking in respect of its lawful business, commercial or financial affairs (s 47G(1))</w:t>
      </w:r>
    </w:p>
    <w:p w14:paraId="7E2AF78F" w14:textId="77777777" w:rsidR="007027EE" w:rsidRDefault="007027EE" w:rsidP="00901310">
      <w:pPr>
        <w:pStyle w:val="IndentBullet1"/>
        <w:ind w:left="851" w:hanging="284"/>
      </w:pPr>
      <w:r>
        <w:t xml:space="preserve">before the completion of research would be </w:t>
      </w:r>
      <w:r w:rsidRPr="00946CA3">
        <w:rPr>
          <w:i/>
          <w:iCs/>
        </w:rPr>
        <w:t>likely unreasonably to expose the agency or officer to disadvantage</w:t>
      </w:r>
      <w:r>
        <w:t xml:space="preserve"> (s 47H)</w:t>
      </w:r>
    </w:p>
    <w:p w14:paraId="51682135" w14:textId="0EB37FC7" w:rsidR="007027EE" w:rsidRDefault="007027EE" w:rsidP="00901310">
      <w:pPr>
        <w:pStyle w:val="IndentBullet1"/>
        <w:ind w:left="851" w:hanging="284"/>
      </w:pPr>
      <w:r>
        <w:t xml:space="preserve">would, or could reasonably be expected to, have a </w:t>
      </w:r>
      <w:r w:rsidRPr="00946CA3">
        <w:rPr>
          <w:i/>
          <w:iCs/>
        </w:rPr>
        <w:t>substantial adverse effect</w:t>
      </w:r>
      <w:r>
        <w:t xml:space="preserve"> on Australia’s economy (s 47J)</w:t>
      </w:r>
      <w:r w:rsidR="00DB5993">
        <w:t>.</w:t>
      </w:r>
    </w:p>
    <w:p w14:paraId="74F2AEF4" w14:textId="7C207280" w:rsidR="007027EE" w:rsidRPr="00DD07E1" w:rsidRDefault="007027EE" w:rsidP="00901310">
      <w:pPr>
        <w:pStyle w:val="NumberedParagraphs"/>
        <w:ind w:left="567"/>
      </w:pPr>
      <w:r w:rsidRPr="00152345">
        <w:t>A decision maker’s initial consideration of the harm that may arise is concerned with whether the document meets the criteria for being a conditionally exempt document. This may require a balancing of public interest and non-public interest factors.</w:t>
      </w:r>
      <w:r w:rsidRPr="0036068C">
        <w:rPr>
          <w:vertAlign w:val="superscript"/>
        </w:rPr>
        <w:footnoteReference w:id="10"/>
      </w:r>
      <w:r w:rsidRPr="00152345">
        <w:t xml:space="preserve"> However, this is not a determination of where</w:t>
      </w:r>
      <w:r>
        <w:t>,</w:t>
      </w:r>
      <w:r w:rsidRPr="00152345">
        <w:t xml:space="preserve"> on balance</w:t>
      </w:r>
      <w:r>
        <w:t>,</w:t>
      </w:r>
      <w:r w:rsidRPr="00152345">
        <w:t xml:space="preserve"> the public interest lies </w:t>
      </w:r>
      <w:r>
        <w:t>because</w:t>
      </w:r>
      <w:r w:rsidRPr="00152345">
        <w:t xml:space="preserve"> s 11</w:t>
      </w:r>
      <w:proofErr w:type="gramStart"/>
      <w:r w:rsidRPr="00152345">
        <w:t>A(</w:t>
      </w:r>
      <w:proofErr w:type="gramEnd"/>
      <w:r w:rsidRPr="00152345">
        <w:t>5) requires a decision maker to separately undertake a balancing exercise of public interest factor</w:t>
      </w:r>
      <w:r>
        <w:t>s so as to determine whether giving access to the document at that time would, on balance, be contrary to the public interest</w:t>
      </w:r>
      <w:r w:rsidRPr="00152345">
        <w:t>. Section 11A(5) does not allow for consideration of factors that cannot be framed in terms of the public interest, or aspects of it.</w:t>
      </w:r>
      <w:r w:rsidRPr="00DD07E1">
        <w:rPr>
          <w:rStyle w:val="FootnoteReference"/>
        </w:rPr>
        <w:footnoteReference w:id="11"/>
      </w:r>
    </w:p>
    <w:p w14:paraId="1D2EB5C3" w14:textId="2C4C16A4" w:rsidR="007027EE" w:rsidRPr="00152345" w:rsidRDefault="007027EE" w:rsidP="00901310">
      <w:pPr>
        <w:pStyle w:val="NumberedParagraphs"/>
        <w:ind w:left="567"/>
      </w:pPr>
      <w:r w:rsidRPr="00152345">
        <w:lastRenderedPageBreak/>
        <w:t xml:space="preserve">For example, s 47G(1)(a) concerns documents that relate to the lawful business or professional affairs of an individual, or the lawful business, commercial or financial affairs of an organisation or undertaking. </w:t>
      </w:r>
      <w:r>
        <w:t>T</w:t>
      </w:r>
      <w:r w:rsidRPr="00152345">
        <w:t>o find that s 47G(1)(a) applies, a decision maker need</w:t>
      </w:r>
      <w:r>
        <w:t>s</w:t>
      </w:r>
      <w:r w:rsidRPr="00152345">
        <w:t xml:space="preserve"> to be satisfied that if the document w</w:t>
      </w:r>
      <w:r>
        <w:t>as</w:t>
      </w:r>
      <w:r w:rsidRPr="00152345">
        <w:t xml:space="preserve"> disclosed there would be an unreasonable adverse effect, on the business or professional affairs of an individual, or </w:t>
      </w:r>
      <w:r>
        <w:t xml:space="preserve">on </w:t>
      </w:r>
      <w:r w:rsidRPr="00152345">
        <w:t>the lawful business, commercial or financial affairs of an organisation or undertaking.</w:t>
      </w:r>
    </w:p>
    <w:p w14:paraId="23FFBBB4" w14:textId="4079FBB7" w:rsidR="007027EE" w:rsidRPr="00DD07E1" w:rsidRDefault="007027EE" w:rsidP="00901310">
      <w:pPr>
        <w:pStyle w:val="NumberedParagraphs"/>
        <w:ind w:left="567"/>
      </w:pPr>
      <w:r w:rsidRPr="00152345">
        <w:t>These criteria require more than simply asserting that a third party’s business affairs would be adversely affected by disclosure. The effect need</w:t>
      </w:r>
      <w:r w:rsidR="0069732E">
        <w:t>s</w:t>
      </w:r>
      <w:r w:rsidRPr="00152345">
        <w:t xml:space="preserve"> to be </w:t>
      </w:r>
      <w:r w:rsidRPr="002709DD">
        <w:rPr>
          <w:i/>
          <w:iCs/>
        </w:rPr>
        <w:t>unreasonable</w:t>
      </w:r>
      <w:r w:rsidRPr="00152345">
        <w:t>. This requires a balancing of interests, including the private interests of the business and other interests such as the public interest. Where other interests, for example environmental interests, outweigh the private interest of the business this conditional exemption cannot apply.</w:t>
      </w:r>
      <w:r w:rsidRPr="00901310">
        <w:rPr>
          <w:vertAlign w:val="superscript"/>
        </w:rPr>
        <w:footnoteReference w:id="12"/>
      </w:r>
      <w:r w:rsidRPr="00152345">
        <w:t xml:space="preserve"> Likewise, where the documents reveal unlawful business activities the </w:t>
      </w:r>
      <w:r>
        <w:t>s </w:t>
      </w:r>
      <w:r w:rsidRPr="00152345">
        <w:t xml:space="preserve">47G(1)(a) conditional exemption cannot apply (see </w:t>
      </w:r>
      <w:r w:rsidRPr="0020561F">
        <w:t>[</w:t>
      </w:r>
      <w:r w:rsidRPr="0020561F">
        <w:fldChar w:fldCharType="begin"/>
      </w:r>
      <w:r w:rsidRPr="0020561F">
        <w:instrText xml:space="preserve"> REF _Ref459111108 \r \h  \* MERGEFORMAT </w:instrText>
      </w:r>
      <w:r w:rsidRPr="0020561F">
        <w:fldChar w:fldCharType="separate"/>
      </w:r>
      <w:r w:rsidR="00A721BB">
        <w:t>6.173</w:t>
      </w:r>
      <w:r w:rsidRPr="0020561F">
        <w:fldChar w:fldCharType="end"/>
      </w:r>
      <w:r w:rsidRPr="0020561F">
        <w:t>]</w:t>
      </w:r>
      <w:r w:rsidRPr="00152345">
        <w:t xml:space="preserve"> below).</w:t>
      </w:r>
    </w:p>
    <w:p w14:paraId="70C60DA5" w14:textId="7D62CC11" w:rsidR="00D32726" w:rsidRDefault="00D14AD7" w:rsidP="00D32726">
      <w:pPr>
        <w:pStyle w:val="NumberedParagraphs"/>
        <w:ind w:left="567"/>
      </w:pPr>
      <w:bookmarkStart w:id="11" w:name="The_public_interest_test"/>
      <w:bookmarkStart w:id="12" w:name="_bookmark1"/>
      <w:bookmarkStart w:id="13" w:name="_Ref459276590"/>
      <w:bookmarkEnd w:id="9"/>
      <w:bookmarkEnd w:id="11"/>
      <w:bookmarkEnd w:id="12"/>
      <w:r w:rsidRPr="00AE4087">
        <w:t>When</w:t>
      </w:r>
      <w:r w:rsidR="00BB0A82" w:rsidRPr="00AE4087">
        <w:t xml:space="preserve"> processing an FOI request, an agency may come to </w:t>
      </w:r>
      <w:r w:rsidRPr="00AE4087">
        <w:t>the</w:t>
      </w:r>
      <w:r w:rsidR="00BB0A82" w:rsidRPr="00AE4087">
        <w:t xml:space="preserve"> view that a certain class of documents should always be exempt due to particular recurring factors weighing against the public interest in disclosure. However, an agency cannot rely on a class claim contention when </w:t>
      </w:r>
      <w:r w:rsidR="0066500D">
        <w:t>refusing access to</w:t>
      </w:r>
      <w:r w:rsidR="00BB0A82" w:rsidRPr="00AE4087">
        <w:t xml:space="preserve"> a document under a conditional exemption. Rather, agencies and ministers must administer each </w:t>
      </w:r>
      <w:r w:rsidR="00AB7260">
        <w:t xml:space="preserve">FOI </w:t>
      </w:r>
      <w:r w:rsidR="00BB0A82" w:rsidRPr="00AE4087">
        <w:t>request individually</w:t>
      </w:r>
      <w:r w:rsidR="0066500D">
        <w:t>,</w:t>
      </w:r>
      <w:r w:rsidR="00BB0A82" w:rsidRPr="00AE4087">
        <w:t xml:space="preserve"> </w:t>
      </w:r>
      <w:r w:rsidR="00C56F32">
        <w:t>having</w:t>
      </w:r>
      <w:r w:rsidR="00BB0A82" w:rsidRPr="0020561F">
        <w:t xml:space="preserve"> regard to the contents of </w:t>
      </w:r>
      <w:r w:rsidR="00C56F32">
        <w:t>the</w:t>
      </w:r>
      <w:r w:rsidR="00BB0A82" w:rsidRPr="0020561F">
        <w:t xml:space="preserve"> document and </w:t>
      </w:r>
      <w:r w:rsidR="00004C84">
        <w:t xml:space="preserve">should </w:t>
      </w:r>
      <w:r w:rsidR="00BB0A82" w:rsidRPr="00AE4087">
        <w:t xml:space="preserve">apply the public interest test to the particular document to decide whether </w:t>
      </w:r>
      <w:r w:rsidR="0066500D">
        <w:t>to grant access</w:t>
      </w:r>
      <w:r w:rsidR="00BB0A82" w:rsidRPr="00AE4087">
        <w:t xml:space="preserve"> at that time.</w:t>
      </w:r>
      <w:r w:rsidR="00BB0A82" w:rsidRPr="00901310">
        <w:rPr>
          <w:vertAlign w:val="superscript"/>
        </w:rPr>
        <w:footnoteReference w:id="13"/>
      </w:r>
      <w:bookmarkStart w:id="14" w:name="Commonwealth-State_relations"/>
      <w:bookmarkStart w:id="15" w:name="_bookmark15"/>
      <w:bookmarkStart w:id="16" w:name="_Toc11154469"/>
      <w:bookmarkEnd w:id="13"/>
      <w:bookmarkEnd w:id="14"/>
      <w:bookmarkEnd w:id="15"/>
    </w:p>
    <w:p w14:paraId="61E4EA80" w14:textId="77777777" w:rsidR="00D32726" w:rsidRPr="00F65E52" w:rsidRDefault="00D32726" w:rsidP="002709DD">
      <w:pPr>
        <w:pStyle w:val="Heading3"/>
        <w:rPr>
          <w:b/>
        </w:rPr>
      </w:pPr>
      <w:bookmarkStart w:id="17" w:name="_Toc11223778"/>
      <w:bookmarkStart w:id="18" w:name="_Toc134534739"/>
      <w:bookmarkStart w:id="19" w:name="_Toc141875199"/>
      <w:r w:rsidRPr="00F65E52">
        <w:t>Commonly used terms</w:t>
      </w:r>
      <w:bookmarkEnd w:id="17"/>
      <w:bookmarkEnd w:id="18"/>
      <w:bookmarkEnd w:id="19"/>
    </w:p>
    <w:p w14:paraId="644372FB" w14:textId="1C5EFBC4" w:rsidR="00D32726" w:rsidRPr="00F13E19" w:rsidRDefault="00D32726" w:rsidP="00D32726">
      <w:pPr>
        <w:pStyle w:val="NumberedParagraphs"/>
        <w:ind w:left="567"/>
      </w:pPr>
      <w:r w:rsidRPr="00D32726">
        <w:rPr>
          <w:szCs w:val="22"/>
        </w:rPr>
        <w:t>Certain expressions in the FOI Act are common to several exemptions and conditional exemptions. The</w:t>
      </w:r>
      <w:r w:rsidR="00F13E19">
        <w:rPr>
          <w:szCs w:val="22"/>
        </w:rPr>
        <w:t>se</w:t>
      </w:r>
      <w:r w:rsidRPr="00D32726">
        <w:rPr>
          <w:szCs w:val="22"/>
        </w:rPr>
        <w:t xml:space="preserve"> are explained below.</w:t>
      </w:r>
      <w:bookmarkStart w:id="20" w:name="_bookmark3"/>
      <w:bookmarkStart w:id="21" w:name="_Ref457822394"/>
      <w:bookmarkEnd w:id="20"/>
    </w:p>
    <w:p w14:paraId="0A081E4B" w14:textId="77777777" w:rsidR="00F13E19" w:rsidRPr="00FF5DF0" w:rsidRDefault="00F13E19" w:rsidP="002709DD">
      <w:pPr>
        <w:ind w:left="567"/>
        <w:rPr>
          <w:b/>
          <w:bCs/>
          <w:i/>
          <w:iCs/>
        </w:rPr>
      </w:pPr>
      <w:bookmarkStart w:id="22" w:name="_Toc11223779"/>
      <w:bookmarkStart w:id="23" w:name="_Toc134534740"/>
      <w:r w:rsidRPr="002709DD">
        <w:rPr>
          <w:b/>
          <w:bCs/>
          <w:i/>
          <w:iCs/>
        </w:rPr>
        <w:t>Would or could reasonably be expected to</w:t>
      </w:r>
      <w:bookmarkEnd w:id="22"/>
      <w:bookmarkEnd w:id="23"/>
    </w:p>
    <w:p w14:paraId="67261B9C" w14:textId="2F6E7F99" w:rsidR="00D32726" w:rsidRPr="00D32726" w:rsidRDefault="00D32726" w:rsidP="00D32726">
      <w:pPr>
        <w:pStyle w:val="NumberedParagraphs"/>
        <w:ind w:left="567"/>
      </w:pPr>
      <w:r w:rsidRPr="00D32726">
        <w:rPr>
          <w:szCs w:val="22"/>
        </w:rPr>
        <w:t>The test ‘would or could reasonably be expected’ appears in the following conditional exemptions:</w:t>
      </w:r>
      <w:bookmarkEnd w:id="21"/>
    </w:p>
    <w:p w14:paraId="7820D9F1" w14:textId="77777777" w:rsidR="00D32726" w:rsidRPr="00D32726" w:rsidRDefault="00D32726" w:rsidP="00D32726">
      <w:pPr>
        <w:pStyle w:val="BodyText"/>
        <w:numPr>
          <w:ilvl w:val="0"/>
          <w:numId w:val="363"/>
        </w:numPr>
        <w:tabs>
          <w:tab w:val="left" w:pos="1134"/>
        </w:tabs>
        <w:spacing w:before="119"/>
        <w:ind w:left="1134" w:hanging="567"/>
        <w:rPr>
          <w:rFonts w:asciiTheme="minorHAnsi" w:hAnsiTheme="minorHAnsi"/>
          <w:sz w:val="22"/>
          <w:szCs w:val="22"/>
        </w:rPr>
      </w:pPr>
      <w:r w:rsidRPr="00D32726">
        <w:rPr>
          <w:rFonts w:asciiTheme="minorHAnsi" w:hAnsiTheme="minorHAnsi"/>
          <w:sz w:val="22"/>
          <w:szCs w:val="22"/>
        </w:rPr>
        <w:t>Commonwealth-State relations (s 47B)</w:t>
      </w:r>
    </w:p>
    <w:p w14:paraId="1F55D995" w14:textId="5514808D" w:rsidR="00D32726" w:rsidRPr="00D32726" w:rsidRDefault="00D32726" w:rsidP="00D32726">
      <w:pPr>
        <w:pStyle w:val="BodyText"/>
        <w:numPr>
          <w:ilvl w:val="0"/>
          <w:numId w:val="363"/>
        </w:numPr>
        <w:tabs>
          <w:tab w:val="left" w:pos="1134"/>
        </w:tabs>
        <w:spacing w:before="119"/>
        <w:ind w:left="1134" w:hanging="567"/>
        <w:rPr>
          <w:rFonts w:asciiTheme="minorHAnsi" w:hAnsiTheme="minorHAnsi"/>
          <w:sz w:val="22"/>
          <w:szCs w:val="22"/>
        </w:rPr>
      </w:pPr>
      <w:r w:rsidRPr="00D32726">
        <w:rPr>
          <w:rFonts w:asciiTheme="minorHAnsi" w:hAnsiTheme="minorHAnsi"/>
          <w:sz w:val="22"/>
          <w:szCs w:val="22"/>
        </w:rPr>
        <w:t>certain operations of agenc</w:t>
      </w:r>
      <w:r w:rsidR="001D1B32">
        <w:rPr>
          <w:rFonts w:asciiTheme="minorHAnsi" w:hAnsiTheme="minorHAnsi"/>
          <w:sz w:val="22"/>
          <w:szCs w:val="22"/>
        </w:rPr>
        <w:t>ies</w:t>
      </w:r>
      <w:r w:rsidRPr="00D32726">
        <w:rPr>
          <w:rFonts w:asciiTheme="minorHAnsi" w:hAnsiTheme="minorHAnsi"/>
          <w:sz w:val="22"/>
          <w:szCs w:val="22"/>
        </w:rPr>
        <w:t xml:space="preserve"> (ss 47E(a)-(d))</w:t>
      </w:r>
    </w:p>
    <w:p w14:paraId="3B88EA3E" w14:textId="77777777" w:rsidR="00D32726" w:rsidRPr="00D32726" w:rsidRDefault="00D32726" w:rsidP="00314CA1">
      <w:pPr>
        <w:pStyle w:val="BodyText"/>
        <w:numPr>
          <w:ilvl w:val="0"/>
          <w:numId w:val="363"/>
        </w:numPr>
        <w:tabs>
          <w:tab w:val="left" w:pos="1134"/>
        </w:tabs>
        <w:spacing w:before="119" w:after="120"/>
        <w:ind w:left="1134" w:hanging="567"/>
        <w:rPr>
          <w:rFonts w:asciiTheme="minorHAnsi" w:hAnsiTheme="minorHAnsi"/>
          <w:sz w:val="22"/>
          <w:szCs w:val="22"/>
        </w:rPr>
      </w:pPr>
      <w:r w:rsidRPr="00D32726">
        <w:rPr>
          <w:rFonts w:asciiTheme="minorHAnsi" w:hAnsiTheme="minorHAnsi"/>
          <w:sz w:val="22"/>
          <w:szCs w:val="22"/>
        </w:rPr>
        <w:t>business affairs (ss 47G(1)(a)-(b)).</w:t>
      </w:r>
    </w:p>
    <w:p w14:paraId="0E8F2072" w14:textId="77777777" w:rsidR="00D32726" w:rsidRPr="00D32726" w:rsidRDefault="00D32726" w:rsidP="00F13E19">
      <w:pPr>
        <w:pStyle w:val="NumberedParagraphs"/>
        <w:ind w:left="567"/>
        <w:rPr>
          <w:szCs w:val="22"/>
        </w:rPr>
      </w:pPr>
      <w:bookmarkStart w:id="24" w:name="_Ref463872226"/>
      <w:r w:rsidRPr="00D32726">
        <w:rPr>
          <w:szCs w:val="22"/>
        </w:rPr>
        <w:lastRenderedPageBreak/>
        <w:t>The test requires the decision maker to assess the likelihood of the predicted or forecast event, effect or damage occurring after disclosure of a document.</w:t>
      </w:r>
      <w:r w:rsidRPr="002709DD">
        <w:rPr>
          <w:szCs w:val="22"/>
          <w:vertAlign w:val="superscript"/>
        </w:rPr>
        <w:footnoteReference w:id="14"/>
      </w:r>
      <w:bookmarkEnd w:id="24"/>
    </w:p>
    <w:p w14:paraId="23DC79AD" w14:textId="29E3DC5D" w:rsidR="00D32726" w:rsidRPr="00D32726" w:rsidRDefault="00D32726" w:rsidP="00F13E19">
      <w:pPr>
        <w:pStyle w:val="NumberedParagraphs"/>
        <w:ind w:left="567"/>
        <w:rPr>
          <w:szCs w:val="22"/>
        </w:rPr>
      </w:pPr>
      <w:r w:rsidRPr="00D32726">
        <w:rPr>
          <w:szCs w:val="22"/>
        </w:rPr>
        <w:t xml:space="preserve">The use of the word ‘could’ </w:t>
      </w:r>
      <w:proofErr w:type="gramStart"/>
      <w:r w:rsidRPr="00D32726">
        <w:rPr>
          <w:szCs w:val="22"/>
        </w:rPr>
        <w:t>is</w:t>
      </w:r>
      <w:proofErr w:type="gramEnd"/>
      <w:r w:rsidRPr="00D32726">
        <w:rPr>
          <w:szCs w:val="22"/>
        </w:rPr>
        <w:t xml:space="preserve"> less stringent than ‘would’ and requires analysis of the reasonable expectation rather than </w:t>
      </w:r>
      <w:r w:rsidR="00876B1E">
        <w:rPr>
          <w:szCs w:val="22"/>
        </w:rPr>
        <w:t xml:space="preserve">the </w:t>
      </w:r>
      <w:r w:rsidRPr="00D32726">
        <w:rPr>
          <w:szCs w:val="22"/>
        </w:rPr>
        <w:t>certainty of an event, effect or damage occurring. It may be a reasonable expectation that an effect has occurred, is presently occurring, or could occur in the future.</w:t>
      </w:r>
      <w:r w:rsidRPr="002709DD">
        <w:rPr>
          <w:szCs w:val="22"/>
          <w:vertAlign w:val="superscript"/>
        </w:rPr>
        <w:footnoteReference w:id="15"/>
      </w:r>
    </w:p>
    <w:p w14:paraId="5C34A788" w14:textId="77777777" w:rsidR="00D32726" w:rsidRPr="00D32726" w:rsidRDefault="00D32726" w:rsidP="00F13E19">
      <w:pPr>
        <w:pStyle w:val="NumberedParagraphs"/>
        <w:ind w:left="567"/>
        <w:rPr>
          <w:szCs w:val="22"/>
        </w:rPr>
      </w:pPr>
      <w:bookmarkStart w:id="26" w:name="_Ref457822419"/>
      <w:r w:rsidRPr="00D32726">
        <w:rPr>
          <w:szCs w:val="22"/>
        </w:rPr>
        <w:t>The mere risk, allegation, possibility, or chance of prejudice does not qualify as a reasonable expectation.</w:t>
      </w:r>
      <w:r w:rsidRPr="002709DD">
        <w:rPr>
          <w:szCs w:val="22"/>
          <w:vertAlign w:val="superscript"/>
        </w:rPr>
        <w:footnoteReference w:id="16"/>
      </w:r>
      <w:r w:rsidRPr="00D32726">
        <w:rPr>
          <w:szCs w:val="22"/>
        </w:rPr>
        <w:t xml:space="preserve"> There must, based on reasonable grounds, be at least a real, significant or material possibility of prejudice.</w:t>
      </w:r>
      <w:r w:rsidRPr="002709DD">
        <w:rPr>
          <w:szCs w:val="22"/>
          <w:vertAlign w:val="superscript"/>
        </w:rPr>
        <w:footnoteReference w:id="17"/>
      </w:r>
      <w:bookmarkEnd w:id="26"/>
    </w:p>
    <w:p w14:paraId="6B0BE365" w14:textId="77777777" w:rsidR="00D32726" w:rsidRPr="00FF5DF0" w:rsidRDefault="00D32726" w:rsidP="002709DD">
      <w:pPr>
        <w:ind w:firstLine="567"/>
        <w:rPr>
          <w:b/>
          <w:bCs/>
          <w:i/>
          <w:iCs/>
        </w:rPr>
      </w:pPr>
      <w:bookmarkStart w:id="28" w:name="_Toc11223780"/>
      <w:bookmarkStart w:id="29" w:name="_Toc134534741"/>
      <w:r w:rsidRPr="002709DD">
        <w:rPr>
          <w:b/>
          <w:bCs/>
          <w:i/>
          <w:iCs/>
        </w:rPr>
        <w:t>Substantial adverse effect</w:t>
      </w:r>
      <w:bookmarkEnd w:id="28"/>
      <w:bookmarkEnd w:id="29"/>
    </w:p>
    <w:p w14:paraId="421F9579" w14:textId="77777777" w:rsidR="00D32726" w:rsidRPr="00D32726" w:rsidRDefault="00D32726" w:rsidP="00F13E19">
      <w:pPr>
        <w:pStyle w:val="NumberedParagraphs"/>
        <w:ind w:left="567"/>
        <w:rPr>
          <w:szCs w:val="22"/>
        </w:rPr>
      </w:pPr>
      <w:bookmarkStart w:id="30" w:name="_Ref463872246"/>
      <w:r w:rsidRPr="00D32726">
        <w:rPr>
          <w:szCs w:val="22"/>
        </w:rPr>
        <w:t>Several conditional exemptions</w:t>
      </w:r>
      <w:r w:rsidRPr="002709DD">
        <w:rPr>
          <w:szCs w:val="22"/>
          <w:vertAlign w:val="superscript"/>
        </w:rPr>
        <w:footnoteReference w:id="18"/>
      </w:r>
      <w:r w:rsidRPr="00D32726">
        <w:rPr>
          <w:szCs w:val="22"/>
        </w:rPr>
        <w:t xml:space="preserve"> require the decision maker to assess the impact and scale of an expected effect or event that would follow disclosure of the document. That is, the expected effect needs to be both ‘substantial’ and ‘adverse’.</w:t>
      </w:r>
      <w:bookmarkEnd w:id="30"/>
    </w:p>
    <w:p w14:paraId="50B61F7E" w14:textId="77777777" w:rsidR="00D32726" w:rsidRPr="00D32726" w:rsidRDefault="00D32726" w:rsidP="00F13E19">
      <w:pPr>
        <w:pStyle w:val="NumberedParagraphs"/>
        <w:ind w:left="567"/>
        <w:rPr>
          <w:szCs w:val="22"/>
        </w:rPr>
      </w:pPr>
      <w:bookmarkStart w:id="31" w:name="_Hlk61861747"/>
      <w:r w:rsidRPr="00F13E19">
        <w:rPr>
          <w:szCs w:val="22"/>
        </w:rPr>
        <w:t>The term ‘substantial adverse effect’ broadly means ‘an adverse effect which is sufficiently serious or significant to cause concern to a properly concerned reasonable person’.</w:t>
      </w:r>
      <w:r w:rsidRPr="002709DD">
        <w:rPr>
          <w:szCs w:val="22"/>
          <w:vertAlign w:val="superscript"/>
        </w:rPr>
        <w:footnoteReference w:id="19"/>
      </w:r>
      <w:r w:rsidRPr="00F13E19">
        <w:rPr>
          <w:szCs w:val="22"/>
        </w:rPr>
        <w:t xml:space="preserve"> The word ‘substantial’, taken in the context of substantial loss or damage, has</w:t>
      </w:r>
      <w:r w:rsidRPr="00D32726">
        <w:rPr>
          <w:szCs w:val="22"/>
        </w:rPr>
        <w:t xml:space="preserve"> been interpreted as including ‘loss or damage that is, in the circumstances, real or of substance and not insubstantial or nominal’.</w:t>
      </w:r>
      <w:r w:rsidRPr="00D32726">
        <w:rPr>
          <w:szCs w:val="22"/>
          <w:vertAlign w:val="superscript"/>
        </w:rPr>
        <w:footnoteReference w:id="20"/>
      </w:r>
    </w:p>
    <w:bookmarkEnd w:id="31"/>
    <w:p w14:paraId="75E30B1F" w14:textId="639683FF" w:rsidR="00D32726" w:rsidRPr="00D32726" w:rsidRDefault="00D32726" w:rsidP="00F13E19">
      <w:pPr>
        <w:pStyle w:val="NumberedParagraphs"/>
        <w:ind w:left="567"/>
        <w:rPr>
          <w:szCs w:val="22"/>
        </w:rPr>
      </w:pPr>
      <w:r w:rsidRPr="00D32726">
        <w:rPr>
          <w:szCs w:val="22"/>
        </w:rPr>
        <w:t xml:space="preserve">A decision maker should clearly describe the expected effect and its impact on the usual operations or activity of the agency in the statement of reasons to show their deliberations in determining the extent of the expected effect. </w:t>
      </w:r>
      <w:r w:rsidR="006C4236">
        <w:rPr>
          <w:szCs w:val="22"/>
        </w:rPr>
        <w:t>I</w:t>
      </w:r>
      <w:r w:rsidRPr="00D32726">
        <w:rPr>
          <w:szCs w:val="22"/>
        </w:rPr>
        <w:t>t may sometimes be necessary to use general terms to avoid making the statement of reasons itself an ‘exempt document’ (s</w:t>
      </w:r>
      <w:r w:rsidR="006C4236">
        <w:rPr>
          <w:szCs w:val="22"/>
        </w:rPr>
        <w:t> </w:t>
      </w:r>
      <w:r w:rsidRPr="00D32726">
        <w:rPr>
          <w:szCs w:val="22"/>
        </w:rPr>
        <w:t>26(2)).</w:t>
      </w:r>
    </w:p>
    <w:p w14:paraId="222EA91D" w14:textId="77777777" w:rsidR="00D32726" w:rsidRPr="00FF5DF0" w:rsidRDefault="00D32726" w:rsidP="002709DD">
      <w:pPr>
        <w:ind w:firstLine="567"/>
        <w:rPr>
          <w:b/>
          <w:bCs/>
          <w:i/>
          <w:iCs/>
        </w:rPr>
      </w:pPr>
      <w:bookmarkStart w:id="35" w:name="_Toc11223781"/>
      <w:bookmarkStart w:id="36" w:name="_Toc134534742"/>
      <w:r w:rsidRPr="002709DD">
        <w:rPr>
          <w:b/>
          <w:bCs/>
          <w:i/>
          <w:iCs/>
        </w:rPr>
        <w:t>Prejudice</w:t>
      </w:r>
      <w:bookmarkEnd w:id="35"/>
      <w:bookmarkEnd w:id="36"/>
    </w:p>
    <w:p w14:paraId="731A72F5" w14:textId="77777777" w:rsidR="00D32726" w:rsidRPr="00D32726" w:rsidRDefault="00D32726" w:rsidP="00F13E19">
      <w:pPr>
        <w:pStyle w:val="NumberedParagraphs"/>
        <w:ind w:left="567"/>
        <w:rPr>
          <w:szCs w:val="22"/>
        </w:rPr>
      </w:pPr>
      <w:r w:rsidRPr="00D32726">
        <w:rPr>
          <w:szCs w:val="22"/>
        </w:rPr>
        <w:t>Some exemptions and conditional exemptions</w:t>
      </w:r>
      <w:r w:rsidRPr="00D32726">
        <w:rPr>
          <w:szCs w:val="22"/>
          <w:vertAlign w:val="superscript"/>
        </w:rPr>
        <w:footnoteReference w:id="21"/>
      </w:r>
      <w:r w:rsidRPr="00D32726">
        <w:rPr>
          <w:szCs w:val="22"/>
        </w:rPr>
        <w:t xml:space="preserve"> require the decision maker to assess whether the potential disclosure of a document would be prejudicial. The FOI Act does not define prejudice. The Macquarie Dictionary definition of ‘prejudice’ requires:</w:t>
      </w:r>
    </w:p>
    <w:p w14:paraId="58B90E66" w14:textId="77777777" w:rsidR="00D32726" w:rsidRPr="00D32726" w:rsidRDefault="00D32726" w:rsidP="00D32726">
      <w:pPr>
        <w:pStyle w:val="BodyText"/>
        <w:numPr>
          <w:ilvl w:val="2"/>
          <w:numId w:val="364"/>
        </w:numPr>
        <w:tabs>
          <w:tab w:val="left" w:pos="1134"/>
        </w:tabs>
        <w:spacing w:before="120"/>
        <w:ind w:left="1134" w:hanging="567"/>
        <w:rPr>
          <w:rFonts w:asciiTheme="minorHAnsi" w:hAnsiTheme="minorHAnsi"/>
          <w:sz w:val="22"/>
          <w:szCs w:val="22"/>
        </w:rPr>
      </w:pPr>
      <w:r w:rsidRPr="00D32726">
        <w:rPr>
          <w:rFonts w:asciiTheme="minorHAnsi" w:hAnsiTheme="minorHAnsi"/>
          <w:sz w:val="22"/>
          <w:szCs w:val="22"/>
        </w:rPr>
        <w:t xml:space="preserve">disadvantage resulting from some judgement or action of </w:t>
      </w:r>
      <w:proofErr w:type="gramStart"/>
      <w:r w:rsidRPr="00D32726">
        <w:rPr>
          <w:rFonts w:asciiTheme="minorHAnsi" w:hAnsiTheme="minorHAnsi"/>
          <w:sz w:val="22"/>
          <w:szCs w:val="22"/>
        </w:rPr>
        <w:t>another</w:t>
      </w:r>
      <w:proofErr w:type="gramEnd"/>
    </w:p>
    <w:p w14:paraId="4E6A4063" w14:textId="77777777" w:rsidR="00D32726" w:rsidRPr="00D32726" w:rsidRDefault="00D32726" w:rsidP="002709DD">
      <w:pPr>
        <w:pStyle w:val="BodyText"/>
        <w:numPr>
          <w:ilvl w:val="2"/>
          <w:numId w:val="364"/>
        </w:numPr>
        <w:tabs>
          <w:tab w:val="left" w:pos="1134"/>
        </w:tabs>
        <w:spacing w:before="120" w:after="120"/>
        <w:ind w:left="1134" w:hanging="567"/>
        <w:rPr>
          <w:rFonts w:asciiTheme="minorHAnsi" w:hAnsiTheme="minorHAnsi"/>
          <w:sz w:val="22"/>
          <w:szCs w:val="22"/>
        </w:rPr>
      </w:pPr>
      <w:r w:rsidRPr="00D32726">
        <w:rPr>
          <w:rFonts w:asciiTheme="minorHAnsi" w:hAnsiTheme="minorHAnsi"/>
          <w:sz w:val="22"/>
          <w:szCs w:val="22"/>
        </w:rPr>
        <w:t>resulting injury or detriment.</w:t>
      </w:r>
    </w:p>
    <w:p w14:paraId="5D34EDEE" w14:textId="77777777" w:rsidR="00D32726" w:rsidRPr="00D32726" w:rsidRDefault="00D32726" w:rsidP="00F13E19">
      <w:pPr>
        <w:pStyle w:val="NumberedParagraphs"/>
        <w:ind w:left="567"/>
        <w:rPr>
          <w:szCs w:val="22"/>
        </w:rPr>
      </w:pPr>
      <w:r w:rsidRPr="00D32726">
        <w:rPr>
          <w:szCs w:val="22"/>
        </w:rPr>
        <w:lastRenderedPageBreak/>
        <w:t>A prejudicial effect is one which would cause a bias or change to the expected results leading to detrimental or disadvantageous outcomes. There is no need to establish a ‘substantial adverse effect’ (see discussion above) and proof of prejudice is sufficient.</w:t>
      </w:r>
      <w:r w:rsidRPr="00D32726">
        <w:rPr>
          <w:szCs w:val="22"/>
          <w:vertAlign w:val="superscript"/>
        </w:rPr>
        <w:footnoteReference w:id="22"/>
      </w:r>
    </w:p>
    <w:p w14:paraId="0469A867" w14:textId="77777777" w:rsidR="00BB0A82" w:rsidRPr="004827E2" w:rsidRDefault="00BB0A82" w:rsidP="00AE4087">
      <w:pPr>
        <w:pStyle w:val="Heading2"/>
        <w:spacing w:before="240"/>
      </w:pPr>
      <w:bookmarkStart w:id="38" w:name="_Toc141875200"/>
      <w:r w:rsidRPr="004827E2">
        <w:t>Documents affecting Commonwealth-State relations (s 47B)</w:t>
      </w:r>
      <w:bookmarkEnd w:id="16"/>
      <w:bookmarkEnd w:id="38"/>
    </w:p>
    <w:p w14:paraId="646E3981" w14:textId="77777777" w:rsidR="00BB0A82" w:rsidRPr="004827E2" w:rsidRDefault="00BB0A82" w:rsidP="00901310">
      <w:pPr>
        <w:pStyle w:val="NumberedParagraphs"/>
        <w:ind w:left="567"/>
      </w:pPr>
      <w:bookmarkStart w:id="39" w:name="_Ref459110587"/>
      <w:r w:rsidRPr="004827E2">
        <w:t>Section 47B conditionally exempts a document where disclosure:</w:t>
      </w:r>
      <w:bookmarkEnd w:id="39"/>
    </w:p>
    <w:p w14:paraId="73A0EBA4" w14:textId="77777777" w:rsidR="00BB0A82" w:rsidRPr="004827E2" w:rsidRDefault="00BB0A82" w:rsidP="00901310">
      <w:pPr>
        <w:pStyle w:val="IndentBullet1"/>
        <w:ind w:left="851" w:hanging="284"/>
      </w:pPr>
      <w:r w:rsidRPr="004827E2">
        <w:t xml:space="preserve">would, or could reasonably be expected to, </w:t>
      </w:r>
      <w:r w:rsidRPr="002709DD">
        <w:rPr>
          <w:i/>
          <w:iCs/>
        </w:rPr>
        <w:t>cause damage</w:t>
      </w:r>
      <w:r w:rsidRPr="004827E2">
        <w:t xml:space="preserve"> to relations between the Commonwealth and a State (s 47B(a))</w:t>
      </w:r>
    </w:p>
    <w:p w14:paraId="7F7CF45A" w14:textId="77777777" w:rsidR="00BB0A82" w:rsidRPr="004827E2" w:rsidRDefault="00BB0A82" w:rsidP="00901310">
      <w:pPr>
        <w:pStyle w:val="IndentBullet1"/>
        <w:ind w:left="851" w:hanging="284"/>
      </w:pPr>
      <w:r w:rsidRPr="004827E2">
        <w:t>would divulge information or matter communicated in confidence by or on behalf of the Government of a State or an authority of a State, to the Commonwealth, to an authority of the Commonwealth or to a person receiving the communication on behalf of the Commonwealth (s 47B(b))</w:t>
      </w:r>
    </w:p>
    <w:p w14:paraId="77B7119C" w14:textId="77777777" w:rsidR="00BB0A82" w:rsidRPr="004827E2" w:rsidRDefault="00BB0A82" w:rsidP="00901310">
      <w:pPr>
        <w:pStyle w:val="IndentBullet1"/>
        <w:ind w:left="851" w:hanging="284"/>
      </w:pPr>
      <w:r w:rsidRPr="004827E2">
        <w:t>would divulge information or matter communicated in confidence by or on behalf of an authority of Norfolk Island, to the Government of the Commonwealth, to an authority of the Commonwealth or to a person receiving the communication on behalf of the Commonwealth or an authority of the Commonwealth (s 47B(d)), or</w:t>
      </w:r>
    </w:p>
    <w:p w14:paraId="452B83AF" w14:textId="77777777" w:rsidR="00BB0A82" w:rsidRPr="004827E2" w:rsidRDefault="00BB0A82" w:rsidP="00901310">
      <w:pPr>
        <w:pStyle w:val="IndentBullet1"/>
        <w:ind w:left="851" w:hanging="284"/>
      </w:pPr>
      <w:r w:rsidRPr="004827E2">
        <w:t>would divulge information or matter communicated in confidence by or on behalf of the Government of a State or an authority of a State, to an authority of Norfolk Island or to a person receiving the communication on behalf of an authority of Norfolk Island (s 47B(f)).</w:t>
      </w:r>
    </w:p>
    <w:p w14:paraId="3167ADB6" w14:textId="20265F22" w:rsidR="00BB0A82" w:rsidRPr="004827E2" w:rsidRDefault="00BB0A82" w:rsidP="00901310">
      <w:pPr>
        <w:pStyle w:val="NumberedParagraphs"/>
        <w:ind w:left="567"/>
      </w:pPr>
      <w:r w:rsidRPr="004827E2">
        <w:t xml:space="preserve">For the purposes of this </w:t>
      </w:r>
      <w:r w:rsidR="00AD540E">
        <w:t xml:space="preserve">conditional </w:t>
      </w:r>
      <w:r w:rsidRPr="004827E2">
        <w:t>exemption, a State includes the Australian Capital Territory and the Northern Territory (s 4(1))</w:t>
      </w:r>
      <w:r w:rsidR="00DC44B4">
        <w:t>.</w:t>
      </w:r>
      <w:r w:rsidR="00BE046B">
        <w:t>D</w:t>
      </w:r>
    </w:p>
    <w:p w14:paraId="717FF07D" w14:textId="77777777" w:rsidR="00BB0A82" w:rsidRPr="004827E2" w:rsidRDefault="00BB0A82" w:rsidP="00BB0A82">
      <w:pPr>
        <w:pStyle w:val="Heading3"/>
      </w:pPr>
      <w:bookmarkStart w:id="40" w:name="Author_of_the_document_irrelevant"/>
      <w:bookmarkStart w:id="41" w:name="_bookmark16"/>
      <w:bookmarkStart w:id="42" w:name="_Toc11154470"/>
      <w:bookmarkStart w:id="43" w:name="_Toc141875201"/>
      <w:bookmarkEnd w:id="40"/>
      <w:bookmarkEnd w:id="41"/>
      <w:r w:rsidRPr="004827E2">
        <w:t>Relevance of the author of the document</w:t>
      </w:r>
      <w:bookmarkEnd w:id="42"/>
      <w:bookmarkEnd w:id="43"/>
    </w:p>
    <w:p w14:paraId="5439CF4A" w14:textId="5D12E2F8" w:rsidR="00BB0A82" w:rsidRPr="007500E4" w:rsidRDefault="00BB0A82" w:rsidP="00901310">
      <w:pPr>
        <w:pStyle w:val="NumberedParagraphs"/>
        <w:ind w:left="567"/>
      </w:pPr>
      <w:r w:rsidRPr="007500E4">
        <w:t>The</w:t>
      </w:r>
      <w:r w:rsidRPr="00DD07E1">
        <w:t xml:space="preserve"> document </w:t>
      </w:r>
      <w:r w:rsidRPr="007500E4">
        <w:t>does</w:t>
      </w:r>
      <w:r w:rsidRPr="00DD07E1">
        <w:t xml:space="preserve"> </w:t>
      </w:r>
      <w:r w:rsidRPr="007500E4">
        <w:t>not</w:t>
      </w:r>
      <w:r w:rsidRPr="00DD07E1">
        <w:t xml:space="preserve"> have </w:t>
      </w:r>
      <w:r w:rsidRPr="007500E4">
        <w:t>to</w:t>
      </w:r>
      <w:r w:rsidRPr="00DD07E1">
        <w:t xml:space="preserve"> have been supplied </w:t>
      </w:r>
      <w:r w:rsidRPr="007500E4">
        <w:t>or</w:t>
      </w:r>
      <w:r w:rsidRPr="00DD07E1">
        <w:t xml:space="preserve"> written </w:t>
      </w:r>
      <w:r w:rsidRPr="007500E4">
        <w:t>by</w:t>
      </w:r>
      <w:r w:rsidRPr="00DD07E1">
        <w:t xml:space="preserve"> </w:t>
      </w:r>
      <w:r w:rsidRPr="007500E4">
        <w:t>the</w:t>
      </w:r>
      <w:r w:rsidRPr="00901310">
        <w:t xml:space="preserve"> </w:t>
      </w:r>
      <w:r w:rsidRPr="00DD07E1">
        <w:t xml:space="preserve">Commonwealth, </w:t>
      </w:r>
      <w:r w:rsidRPr="007500E4">
        <w:t>a</w:t>
      </w:r>
      <w:r w:rsidRPr="00DD07E1">
        <w:t xml:space="preserve"> State </w:t>
      </w:r>
      <w:r w:rsidRPr="007500E4">
        <w:t>agency</w:t>
      </w:r>
      <w:r w:rsidR="00857EDE">
        <w:t xml:space="preserve">, </w:t>
      </w:r>
      <w:r w:rsidRPr="007500E4">
        <w:t>a</w:t>
      </w:r>
      <w:r w:rsidRPr="00DD07E1">
        <w:t xml:space="preserve"> State authority </w:t>
      </w:r>
      <w:r w:rsidR="00857EDE">
        <w:t xml:space="preserve">or an authority of Norfolk Island </w:t>
      </w:r>
      <w:r w:rsidRPr="007500E4">
        <w:t>to</w:t>
      </w:r>
      <w:r w:rsidRPr="00DD07E1">
        <w:t xml:space="preserve"> </w:t>
      </w:r>
      <w:r w:rsidRPr="007500E4">
        <w:t>fall</w:t>
      </w:r>
      <w:r w:rsidRPr="00DD07E1">
        <w:t xml:space="preserve"> within </w:t>
      </w:r>
      <w:r w:rsidRPr="007500E4">
        <w:t>this</w:t>
      </w:r>
      <w:r w:rsidRPr="00DD07E1">
        <w:t xml:space="preserve"> exemption. The</w:t>
      </w:r>
      <w:r w:rsidRPr="00901310">
        <w:t xml:space="preserve"> </w:t>
      </w:r>
      <w:r w:rsidRPr="00DD07E1">
        <w:t xml:space="preserve">content </w:t>
      </w:r>
      <w:r w:rsidRPr="007500E4">
        <w:t>of</w:t>
      </w:r>
      <w:r w:rsidRPr="00DD07E1">
        <w:t xml:space="preserve"> the document </w:t>
      </w:r>
      <w:r w:rsidRPr="007500E4">
        <w:t>(and</w:t>
      </w:r>
      <w:r w:rsidRPr="00DD07E1">
        <w:t xml:space="preserve"> potentially </w:t>
      </w:r>
      <w:r w:rsidRPr="007500E4">
        <w:t>the</w:t>
      </w:r>
      <w:r w:rsidRPr="00DD07E1">
        <w:t xml:space="preserve"> reason </w:t>
      </w:r>
      <w:r w:rsidR="009A0FBD">
        <w:t xml:space="preserve">why </w:t>
      </w:r>
      <w:r w:rsidRPr="00DD07E1">
        <w:t xml:space="preserve">or circumstances </w:t>
      </w:r>
      <w:r w:rsidR="009A0FBD">
        <w:t>in which</w:t>
      </w:r>
      <w:r w:rsidRPr="00DD07E1">
        <w:t xml:space="preserve"> the document</w:t>
      </w:r>
      <w:r w:rsidRPr="00901310">
        <w:t xml:space="preserve"> </w:t>
      </w:r>
      <w:r w:rsidRPr="00DD07E1">
        <w:t xml:space="preserve">was </w:t>
      </w:r>
      <w:r w:rsidRPr="007500E4">
        <w:t>created)</w:t>
      </w:r>
      <w:r w:rsidRPr="00DD07E1">
        <w:t xml:space="preserve"> </w:t>
      </w:r>
      <w:r w:rsidRPr="007500E4">
        <w:t>is</w:t>
      </w:r>
      <w:r w:rsidRPr="00DD07E1">
        <w:t xml:space="preserve"> the deciding factor, </w:t>
      </w:r>
      <w:r w:rsidRPr="007500E4">
        <w:t>rathe</w:t>
      </w:r>
      <w:r w:rsidRPr="00A92D8B">
        <w:t xml:space="preserve">r than the originator’s identity. </w:t>
      </w:r>
      <w:r w:rsidR="00D93330" w:rsidRPr="00A92D8B">
        <w:t>It follows that i</w:t>
      </w:r>
      <w:r w:rsidRPr="00A92D8B">
        <w:t xml:space="preserve">t is also not a </w:t>
      </w:r>
      <w:r w:rsidRPr="00DD07E1">
        <w:t xml:space="preserve">relevant consideration that </w:t>
      </w:r>
      <w:r w:rsidRPr="007500E4">
        <w:t>all</w:t>
      </w:r>
      <w:r w:rsidRPr="00DD07E1">
        <w:t xml:space="preserve"> </w:t>
      </w:r>
      <w:r w:rsidRPr="007500E4">
        <w:t>the</w:t>
      </w:r>
      <w:r w:rsidRPr="00DD07E1">
        <w:t xml:space="preserve"> parties referred to in the document are aware of the</w:t>
      </w:r>
      <w:r w:rsidRPr="00901310">
        <w:t xml:space="preserve"> </w:t>
      </w:r>
      <w:r w:rsidRPr="00DD07E1">
        <w:t xml:space="preserve">document </w:t>
      </w:r>
      <w:r w:rsidRPr="007500E4">
        <w:t>or</w:t>
      </w:r>
      <w:r w:rsidRPr="00DD07E1">
        <w:t xml:space="preserve"> </w:t>
      </w:r>
      <w:r w:rsidRPr="007500E4">
        <w:t>of</w:t>
      </w:r>
      <w:r w:rsidRPr="00DD07E1">
        <w:t xml:space="preserve"> the reference </w:t>
      </w:r>
      <w:r w:rsidRPr="007500E4">
        <w:t>to</w:t>
      </w:r>
      <w:r w:rsidRPr="00DD07E1">
        <w:t xml:space="preserve"> </w:t>
      </w:r>
      <w:r w:rsidRPr="007500E4">
        <w:t>the</w:t>
      </w:r>
      <w:r w:rsidRPr="00DD07E1">
        <w:t xml:space="preserve"> particular agency.</w:t>
      </w:r>
    </w:p>
    <w:p w14:paraId="48D228AB" w14:textId="389A3EFA" w:rsidR="00BB0A82" w:rsidRPr="0049745E" w:rsidRDefault="00BB0A82" w:rsidP="00BB0A82">
      <w:pPr>
        <w:pStyle w:val="Heading3"/>
        <w:rPr>
          <w:b/>
          <w:bCs w:val="0"/>
          <w:iCs/>
        </w:rPr>
      </w:pPr>
      <w:bookmarkStart w:id="44" w:name="Cause_damage_to_Commonwealth-State_relat"/>
      <w:bookmarkStart w:id="45" w:name="_bookmark17"/>
      <w:bookmarkStart w:id="46" w:name="_Toc11154471"/>
      <w:bookmarkStart w:id="47" w:name="_Toc141875202"/>
      <w:bookmarkEnd w:id="44"/>
      <w:bookmarkEnd w:id="45"/>
      <w:r w:rsidRPr="00DD07E1">
        <w:t xml:space="preserve">Cause damage </w:t>
      </w:r>
      <w:r w:rsidRPr="007500E4">
        <w:t>to</w:t>
      </w:r>
      <w:r w:rsidRPr="00DD07E1">
        <w:t xml:space="preserve"> Commonwealth-State relations</w:t>
      </w:r>
      <w:bookmarkEnd w:id="46"/>
      <w:bookmarkEnd w:id="47"/>
    </w:p>
    <w:p w14:paraId="416EF958" w14:textId="2B13F94A" w:rsidR="00BB0A82" w:rsidRPr="007500E4" w:rsidRDefault="00BB0A82" w:rsidP="00901310">
      <w:pPr>
        <w:pStyle w:val="NumberedParagraphs"/>
        <w:ind w:left="567"/>
      </w:pPr>
      <w:r w:rsidRPr="007500E4">
        <w:t>A</w:t>
      </w:r>
      <w:r w:rsidRPr="00DD07E1">
        <w:t xml:space="preserve"> decision maker </w:t>
      </w:r>
      <w:r w:rsidRPr="007500E4">
        <w:t>may</w:t>
      </w:r>
      <w:r w:rsidRPr="00DD07E1">
        <w:t xml:space="preserve"> consider that disclosure would, </w:t>
      </w:r>
      <w:r w:rsidRPr="007500E4">
        <w:t>or</w:t>
      </w:r>
      <w:r w:rsidRPr="00DD07E1">
        <w:t xml:space="preserve"> could reasonably </w:t>
      </w:r>
      <w:r w:rsidRPr="007500E4">
        <w:t>be</w:t>
      </w:r>
      <w:r w:rsidRPr="00901310">
        <w:t xml:space="preserve"> </w:t>
      </w:r>
      <w:r w:rsidRPr="00DD07E1">
        <w:t>expected to</w:t>
      </w:r>
      <w:r w:rsidR="005D7B6B">
        <w:t>,</w:t>
      </w:r>
      <w:r w:rsidRPr="00DD07E1">
        <w:t xml:space="preserve"> </w:t>
      </w:r>
      <w:r w:rsidRPr="007500E4">
        <w:t>damage</w:t>
      </w:r>
      <w:r w:rsidRPr="00DD07E1">
        <w:t xml:space="preserve"> the </w:t>
      </w:r>
      <w:r w:rsidRPr="00901310">
        <w:t>working relations</w:t>
      </w:r>
      <w:r w:rsidRPr="00DD07E1">
        <w:t xml:space="preserve"> </w:t>
      </w:r>
      <w:r w:rsidRPr="007500E4">
        <w:t>of</w:t>
      </w:r>
      <w:r w:rsidRPr="00DD07E1">
        <w:t xml:space="preserve"> the Commonwealth and </w:t>
      </w:r>
      <w:r w:rsidRPr="007500E4">
        <w:t>one</w:t>
      </w:r>
      <w:r w:rsidRPr="00DD07E1">
        <w:t xml:space="preserve"> </w:t>
      </w:r>
      <w:r w:rsidRPr="007500E4">
        <w:t>or</w:t>
      </w:r>
      <w:r w:rsidRPr="00DD07E1">
        <w:t xml:space="preserve"> more States</w:t>
      </w:r>
      <w:r w:rsidRPr="00901310">
        <w:t xml:space="preserve"> </w:t>
      </w:r>
      <w:r w:rsidRPr="00DD07E1">
        <w:t>(s</w:t>
      </w:r>
      <w:r>
        <w:t> </w:t>
      </w:r>
      <w:r w:rsidRPr="00A92D8B">
        <w:t xml:space="preserve">47B(a)). ‘Working relations’ encompass all interactions of the </w:t>
      </w:r>
      <w:r w:rsidR="001443AC" w:rsidRPr="00A92D8B">
        <w:t>Australian Government</w:t>
      </w:r>
      <w:r w:rsidRPr="00A92D8B">
        <w:t xml:space="preserve"> and the </w:t>
      </w:r>
      <w:r w:rsidRPr="00DD07E1">
        <w:t>States,</w:t>
      </w:r>
      <w:r w:rsidRPr="00901310">
        <w:rPr>
          <w:vertAlign w:val="superscript"/>
        </w:rPr>
        <w:footnoteReference w:id="23"/>
      </w:r>
      <w:r w:rsidRPr="00901310">
        <w:t xml:space="preserve"> </w:t>
      </w:r>
      <w:r w:rsidRPr="00DD07E1">
        <w:t xml:space="preserve">from </w:t>
      </w:r>
      <w:r w:rsidRPr="007500E4">
        <w:t>formal</w:t>
      </w:r>
      <w:r w:rsidRPr="00DD07E1">
        <w:t xml:space="preserve"> Commonwealth-State consultation processes such </w:t>
      </w:r>
      <w:r w:rsidRPr="007500E4">
        <w:t>as</w:t>
      </w:r>
      <w:r w:rsidRPr="00DD07E1">
        <w:t xml:space="preserve"> the </w:t>
      </w:r>
      <w:r w:rsidR="00795968">
        <w:t>National Cabinet</w:t>
      </w:r>
      <w:r w:rsidRPr="00DD07E1">
        <w:t xml:space="preserve"> through </w:t>
      </w:r>
      <w:r w:rsidRPr="007500E4">
        <w:t>to</w:t>
      </w:r>
      <w:r w:rsidRPr="00DD07E1">
        <w:t xml:space="preserve"> </w:t>
      </w:r>
      <w:r w:rsidRPr="007500E4">
        <w:t>any</w:t>
      </w:r>
      <w:r w:rsidRPr="00DD07E1">
        <w:t xml:space="preserve"> working arrangements between agencies undertaken </w:t>
      </w:r>
      <w:r w:rsidRPr="007500E4">
        <w:t>as</w:t>
      </w:r>
      <w:r w:rsidRPr="00DD07E1">
        <w:t xml:space="preserve"> part of their </w:t>
      </w:r>
      <w:r w:rsidRPr="007500E4">
        <w:t>day</w:t>
      </w:r>
      <w:r w:rsidR="0035455A">
        <w:t>-</w:t>
      </w:r>
      <w:r w:rsidRPr="007500E4">
        <w:t>to</w:t>
      </w:r>
      <w:r w:rsidR="0035455A">
        <w:t>-</w:t>
      </w:r>
      <w:r w:rsidRPr="007500E4">
        <w:t>day</w:t>
      </w:r>
      <w:r w:rsidRPr="00DD07E1">
        <w:t xml:space="preserve"> functions.</w:t>
      </w:r>
    </w:p>
    <w:p w14:paraId="59607AE9" w14:textId="384F4A13" w:rsidR="00BB0A82" w:rsidRPr="007500E4" w:rsidRDefault="00BB0A82" w:rsidP="00901310">
      <w:pPr>
        <w:pStyle w:val="NumberedParagraphs"/>
        <w:ind w:left="567"/>
      </w:pPr>
      <w:r w:rsidRPr="00DD07E1">
        <w:t xml:space="preserve">Disclosure </w:t>
      </w:r>
      <w:r w:rsidRPr="007500E4">
        <w:t>of</w:t>
      </w:r>
      <w:r w:rsidRPr="00DD07E1">
        <w:t xml:space="preserve"> </w:t>
      </w:r>
      <w:r w:rsidR="0035455A">
        <w:t>a</w:t>
      </w:r>
      <w:r w:rsidRPr="00DD07E1">
        <w:t xml:space="preserve"> document </w:t>
      </w:r>
      <w:r w:rsidRPr="007500E4">
        <w:t>may</w:t>
      </w:r>
      <w:r w:rsidRPr="00DD07E1">
        <w:t xml:space="preserve"> cause damage by, </w:t>
      </w:r>
      <w:r w:rsidRPr="007500E4">
        <w:t>for</w:t>
      </w:r>
      <w:r w:rsidRPr="00DD07E1">
        <w:t xml:space="preserve"> example:</w:t>
      </w:r>
    </w:p>
    <w:p w14:paraId="65582398" w14:textId="77777777" w:rsidR="00BB0A82" w:rsidRPr="007500E4" w:rsidRDefault="00BB0A82" w:rsidP="00901310">
      <w:pPr>
        <w:pStyle w:val="IndentBullet1"/>
        <w:ind w:left="851" w:hanging="284"/>
        <w:rPr>
          <w:sz w:val="16"/>
          <w:szCs w:val="16"/>
        </w:rPr>
      </w:pPr>
      <w:r w:rsidRPr="00DD07E1">
        <w:lastRenderedPageBreak/>
        <w:t xml:space="preserve">interrupting </w:t>
      </w:r>
      <w:r w:rsidRPr="007500E4">
        <w:t>or</w:t>
      </w:r>
      <w:r w:rsidRPr="00DD07E1">
        <w:t xml:space="preserve"> creating difficulty in negotiations </w:t>
      </w:r>
      <w:r w:rsidRPr="007500E4">
        <w:t>or</w:t>
      </w:r>
      <w:r w:rsidRPr="00DD07E1">
        <w:t xml:space="preserve"> discussions that are underway,</w:t>
      </w:r>
      <w:r w:rsidRPr="00DD07E1">
        <w:rPr>
          <w:w w:val="99"/>
        </w:rPr>
        <w:t xml:space="preserve"> </w:t>
      </w:r>
      <w:r w:rsidRPr="00DD07E1">
        <w:t xml:space="preserve">including in the development </w:t>
      </w:r>
      <w:r w:rsidRPr="007500E4">
        <w:t>of</w:t>
      </w:r>
      <w:r w:rsidRPr="00DD07E1">
        <w:t xml:space="preserve"> joint </w:t>
      </w:r>
      <w:r w:rsidRPr="007500E4">
        <w:t>or</w:t>
      </w:r>
      <w:r w:rsidRPr="00DD07E1">
        <w:t xml:space="preserve"> parallel policy</w:t>
      </w:r>
      <w:r w:rsidRPr="007500E4">
        <w:rPr>
          <w:rStyle w:val="FootnoteReference"/>
        </w:rPr>
        <w:footnoteReference w:id="24"/>
      </w:r>
    </w:p>
    <w:p w14:paraId="015A6E17" w14:textId="77777777" w:rsidR="00BB0A82" w:rsidRPr="007500E4" w:rsidRDefault="00BB0A82" w:rsidP="00901310">
      <w:pPr>
        <w:pStyle w:val="IndentBullet1"/>
        <w:ind w:left="851" w:hanging="284"/>
      </w:pPr>
      <w:r w:rsidRPr="007500E4">
        <w:t>adversely</w:t>
      </w:r>
      <w:r w:rsidRPr="00DD07E1">
        <w:t xml:space="preserve"> affecting the administration </w:t>
      </w:r>
      <w:r w:rsidRPr="007500E4">
        <w:t>of</w:t>
      </w:r>
      <w:r w:rsidRPr="00DD07E1">
        <w:t xml:space="preserve"> </w:t>
      </w:r>
      <w:r w:rsidRPr="007500E4">
        <w:t>a</w:t>
      </w:r>
      <w:r w:rsidRPr="00DD07E1">
        <w:t xml:space="preserve"> continuing Commonwealth-State project</w:t>
      </w:r>
    </w:p>
    <w:p w14:paraId="053E231A" w14:textId="54D98B99" w:rsidR="00BB0A82" w:rsidRPr="007500E4" w:rsidRDefault="00BB0A82" w:rsidP="00901310">
      <w:pPr>
        <w:pStyle w:val="IndentBullet1"/>
        <w:ind w:left="851" w:hanging="284"/>
        <w:rPr>
          <w:sz w:val="16"/>
          <w:szCs w:val="16"/>
        </w:rPr>
      </w:pPr>
      <w:r w:rsidRPr="00DD07E1">
        <w:t xml:space="preserve">substantially impairing (not </w:t>
      </w:r>
      <w:r w:rsidRPr="007500E4">
        <w:t>merely</w:t>
      </w:r>
      <w:r w:rsidRPr="00DD07E1">
        <w:t xml:space="preserve"> modifying) Commonwealth-State programs</w:t>
      </w:r>
      <w:r w:rsidRPr="00DD07E1">
        <w:rPr>
          <w:rStyle w:val="FootnoteReference"/>
        </w:rPr>
        <w:footnoteReference w:id="25"/>
      </w:r>
    </w:p>
    <w:p w14:paraId="3BD55F82" w14:textId="77777777" w:rsidR="00BB0A82" w:rsidRPr="007500E4" w:rsidRDefault="00BB0A82" w:rsidP="00901310">
      <w:pPr>
        <w:pStyle w:val="IndentBullet1"/>
        <w:ind w:left="851" w:hanging="284"/>
        <w:rPr>
          <w:sz w:val="16"/>
          <w:szCs w:val="16"/>
        </w:rPr>
      </w:pPr>
      <w:r w:rsidRPr="007500E4">
        <w:t>adversely</w:t>
      </w:r>
      <w:r w:rsidRPr="00DD07E1">
        <w:t xml:space="preserve"> affecting the continued level of trust </w:t>
      </w:r>
      <w:r w:rsidRPr="007500E4">
        <w:t>or</w:t>
      </w:r>
      <w:r w:rsidRPr="00DD07E1">
        <w:t xml:space="preserve"> </w:t>
      </w:r>
      <w:r w:rsidRPr="007500E4">
        <w:t>co-operation</w:t>
      </w:r>
      <w:r w:rsidRPr="00DD07E1">
        <w:t xml:space="preserve"> </w:t>
      </w:r>
      <w:r w:rsidRPr="007500E4">
        <w:t>in</w:t>
      </w:r>
      <w:r w:rsidRPr="00DD07E1">
        <w:t xml:space="preserve"> </w:t>
      </w:r>
      <w:r w:rsidRPr="007500E4">
        <w:t>existing</w:t>
      </w:r>
      <w:r w:rsidRPr="00DD07E1">
        <w:t xml:space="preserve"> inter-office</w:t>
      </w:r>
      <w:r w:rsidRPr="00DD07E1">
        <w:rPr>
          <w:w w:val="99"/>
        </w:rPr>
        <w:t xml:space="preserve"> </w:t>
      </w:r>
      <w:r w:rsidRPr="00DD07E1">
        <w:t>relationships</w:t>
      </w:r>
      <w:r w:rsidRPr="00DD07E1">
        <w:rPr>
          <w:rStyle w:val="FootnoteReference"/>
        </w:rPr>
        <w:footnoteReference w:id="26"/>
      </w:r>
    </w:p>
    <w:p w14:paraId="03BDD302" w14:textId="77777777" w:rsidR="00BB0A82" w:rsidRPr="007500E4" w:rsidRDefault="00BB0A82" w:rsidP="00901310">
      <w:pPr>
        <w:pStyle w:val="IndentBullet1"/>
        <w:ind w:left="851" w:hanging="284"/>
        <w:rPr>
          <w:sz w:val="16"/>
          <w:szCs w:val="16"/>
        </w:rPr>
      </w:pPr>
      <w:r w:rsidRPr="007500E4">
        <w:t>impairing</w:t>
      </w:r>
      <w:r w:rsidRPr="00DD07E1">
        <w:t xml:space="preserve"> </w:t>
      </w:r>
      <w:r w:rsidRPr="007500E4">
        <w:t>or</w:t>
      </w:r>
      <w:r w:rsidRPr="00DD07E1">
        <w:t xml:space="preserve"> prejudicing </w:t>
      </w:r>
      <w:r w:rsidRPr="007500E4">
        <w:t>the</w:t>
      </w:r>
      <w:r w:rsidRPr="00DD07E1">
        <w:t xml:space="preserve"> </w:t>
      </w:r>
      <w:r w:rsidRPr="007500E4">
        <w:t>flow</w:t>
      </w:r>
      <w:r w:rsidRPr="00DD07E1">
        <w:t xml:space="preserve"> </w:t>
      </w:r>
      <w:r w:rsidRPr="007500E4">
        <w:t>of</w:t>
      </w:r>
      <w:r w:rsidRPr="00DD07E1">
        <w:t xml:space="preserve"> information to and </w:t>
      </w:r>
      <w:r w:rsidRPr="007500E4">
        <w:t>from</w:t>
      </w:r>
      <w:r w:rsidRPr="00DD07E1">
        <w:t xml:space="preserve"> the Commonwealth.</w:t>
      </w:r>
      <w:r w:rsidRPr="00DD07E1">
        <w:rPr>
          <w:rStyle w:val="FootnoteReference"/>
        </w:rPr>
        <w:footnoteReference w:id="27"/>
      </w:r>
    </w:p>
    <w:p w14:paraId="2454A09C" w14:textId="77777777" w:rsidR="00BB0A82" w:rsidRPr="004827E2" w:rsidRDefault="00BB0A82" w:rsidP="00901310">
      <w:pPr>
        <w:pStyle w:val="NumberedParagraphs"/>
        <w:ind w:left="567"/>
      </w:pPr>
      <w:r w:rsidRPr="004827E2">
        <w:t>Decision makers may also need to consider future working relationships where disclosure may, for example:</w:t>
      </w:r>
    </w:p>
    <w:p w14:paraId="5DA252F1" w14:textId="77777777" w:rsidR="00BB0A82" w:rsidRPr="007500E4" w:rsidRDefault="00BB0A82" w:rsidP="00202DAE">
      <w:pPr>
        <w:pStyle w:val="IndentBullet1"/>
        <w:ind w:left="851" w:hanging="284"/>
      </w:pPr>
      <w:r w:rsidRPr="007500E4">
        <w:t>impair</w:t>
      </w:r>
      <w:r w:rsidRPr="00DD07E1">
        <w:t xml:space="preserve"> </w:t>
      </w:r>
      <w:r w:rsidRPr="007500E4">
        <w:t>or</w:t>
      </w:r>
      <w:r w:rsidRPr="00DD07E1">
        <w:t xml:space="preserve"> prejudice </w:t>
      </w:r>
      <w:r w:rsidRPr="007500E4">
        <w:t>the</w:t>
      </w:r>
      <w:r w:rsidRPr="00DD07E1">
        <w:t xml:space="preserve"> future </w:t>
      </w:r>
      <w:r w:rsidRPr="007500E4">
        <w:t>flow</w:t>
      </w:r>
      <w:r w:rsidRPr="00DD07E1">
        <w:t xml:space="preserve"> of information</w:t>
      </w:r>
    </w:p>
    <w:p w14:paraId="3754D253" w14:textId="77777777" w:rsidR="00BB0A82" w:rsidRPr="007500E4" w:rsidRDefault="00BB0A82" w:rsidP="00202DAE">
      <w:pPr>
        <w:pStyle w:val="IndentBullet1"/>
        <w:ind w:left="851" w:hanging="284"/>
      </w:pPr>
      <w:r w:rsidRPr="007500E4">
        <w:t>adversely</w:t>
      </w:r>
      <w:r w:rsidRPr="00DD07E1">
        <w:t xml:space="preserve"> affect Commonwealth-State police operations </w:t>
      </w:r>
      <w:r w:rsidRPr="007500E4">
        <w:t>or</w:t>
      </w:r>
      <w:r w:rsidRPr="00DD07E1">
        <w:t xml:space="preserve"> </w:t>
      </w:r>
      <w:r w:rsidRPr="007500E4">
        <w:t>investigations</w:t>
      </w:r>
    </w:p>
    <w:p w14:paraId="4C158DC6" w14:textId="77777777" w:rsidR="00BB0A82" w:rsidRPr="007500E4" w:rsidRDefault="00BB0A82" w:rsidP="00202DAE">
      <w:pPr>
        <w:pStyle w:val="IndentBullet1"/>
        <w:ind w:left="851" w:hanging="284"/>
      </w:pPr>
      <w:r w:rsidRPr="007500E4">
        <w:t>adversely</w:t>
      </w:r>
      <w:r w:rsidRPr="00DD07E1">
        <w:t xml:space="preserve"> affect the development </w:t>
      </w:r>
      <w:r w:rsidRPr="007500E4">
        <w:t>of</w:t>
      </w:r>
      <w:r w:rsidRPr="00DD07E1">
        <w:t xml:space="preserve"> future Commonwealth-State projects.</w:t>
      </w:r>
    </w:p>
    <w:p w14:paraId="71ECB3AD" w14:textId="77777777" w:rsidR="00BB0A82" w:rsidRPr="00DD07E1" w:rsidRDefault="00BB0A82" w:rsidP="00901310">
      <w:pPr>
        <w:pStyle w:val="NumberedParagraphs"/>
        <w:ind w:left="567"/>
      </w:pPr>
      <w:r w:rsidRPr="007500E4">
        <w:t>The</w:t>
      </w:r>
      <w:r w:rsidRPr="00DD07E1">
        <w:t xml:space="preserve"> potential </w:t>
      </w:r>
      <w:r w:rsidRPr="007500E4">
        <w:t>damage</w:t>
      </w:r>
      <w:r w:rsidRPr="00DD07E1">
        <w:t xml:space="preserve"> need </w:t>
      </w:r>
      <w:r w:rsidRPr="007500E4">
        <w:t>not</w:t>
      </w:r>
      <w:r w:rsidRPr="00DD07E1">
        <w:t xml:space="preserve"> </w:t>
      </w:r>
      <w:r w:rsidRPr="007500E4">
        <w:t>be</w:t>
      </w:r>
      <w:r w:rsidRPr="00DD07E1">
        <w:t xml:space="preserve"> quantified,</w:t>
      </w:r>
      <w:r w:rsidRPr="00DD07E1">
        <w:rPr>
          <w:rStyle w:val="FootnoteReference"/>
        </w:rPr>
        <w:footnoteReference w:id="28"/>
      </w:r>
      <w:r w:rsidRPr="00DD07E1">
        <w:rPr>
          <w:position w:val="11"/>
          <w:sz w:val="16"/>
        </w:rPr>
        <w:t xml:space="preserve"> </w:t>
      </w:r>
      <w:r w:rsidRPr="00DD07E1">
        <w:t>but the effect on relations arising</w:t>
      </w:r>
      <w:r w:rsidRPr="00DD07E1">
        <w:rPr>
          <w:w w:val="99"/>
        </w:rPr>
        <w:t xml:space="preserve"> </w:t>
      </w:r>
      <w:r w:rsidRPr="007500E4">
        <w:t>from</w:t>
      </w:r>
      <w:r w:rsidRPr="00DD07E1">
        <w:t xml:space="preserve"> the disclosure </w:t>
      </w:r>
      <w:r w:rsidRPr="007500E4">
        <w:t>must</w:t>
      </w:r>
      <w:r w:rsidRPr="00DD07E1">
        <w:t xml:space="preserve"> </w:t>
      </w:r>
      <w:r w:rsidRPr="007500E4">
        <w:t>be</w:t>
      </w:r>
      <w:r w:rsidRPr="00DD07E1">
        <w:t xml:space="preserve"> </w:t>
      </w:r>
      <w:r w:rsidRPr="007500E4">
        <w:t>adverse.</w:t>
      </w:r>
    </w:p>
    <w:p w14:paraId="20B5F061" w14:textId="541E1DEE" w:rsidR="00BB0A82" w:rsidRPr="00DD07E1" w:rsidRDefault="00BB0A82" w:rsidP="00901310">
      <w:pPr>
        <w:pStyle w:val="NumberedParagraphs"/>
        <w:ind w:left="567"/>
      </w:pPr>
      <w:r w:rsidRPr="00DD07E1">
        <w:t>The A</w:t>
      </w:r>
      <w:r w:rsidR="00857EDE">
        <w:t>dministrative Appeals Tribuna</w:t>
      </w:r>
      <w:r w:rsidR="001E3334">
        <w:t>l</w:t>
      </w:r>
      <w:r w:rsidR="00857EDE">
        <w:t xml:space="preserve"> (A</w:t>
      </w:r>
      <w:r w:rsidRPr="00DD07E1">
        <w:t>AT</w:t>
      </w:r>
      <w:r w:rsidR="00857EDE">
        <w:t>)</w:t>
      </w:r>
      <w:r w:rsidRPr="00DD07E1">
        <w:t xml:space="preserve"> warns against applying class claims to documents under s 47B(a), explaining that this, and other conditional exemptions, require a closer analysis of the nature of the information contained in each document to determine whether a particular document is conditionally exempt.</w:t>
      </w:r>
      <w:r w:rsidRPr="00DD07E1">
        <w:rPr>
          <w:rStyle w:val="FootnoteReference"/>
        </w:rPr>
        <w:footnoteReference w:id="29"/>
      </w:r>
    </w:p>
    <w:p w14:paraId="7ED38EE1" w14:textId="77777777" w:rsidR="00BB0A82" w:rsidRPr="00DD07E1" w:rsidRDefault="00BB0A82" w:rsidP="00901310">
      <w:pPr>
        <w:pStyle w:val="NumberedParagraphs"/>
        <w:ind w:left="567"/>
      </w:pPr>
      <w:r w:rsidRPr="00DD07E1">
        <w:t xml:space="preserve">Decision makers should also consider whether all or only some of the information in the requested documents would damage Commonwealth-State relations if disclosed. For example, in </w:t>
      </w:r>
      <w:r w:rsidRPr="00DD07E1">
        <w:rPr>
          <w:i/>
        </w:rPr>
        <w:t>Diamond and Australian Curriculum, Assessment and Reporting Authority</w:t>
      </w:r>
      <w:r w:rsidRPr="00DD07E1">
        <w:t>, the FOI Commissioner found that disclosing school data provided by State and Territory Governments to the Australian Curriculum, Assessment and Reporting Authority for publication on the ‘My School’ website would damage Commonwealth-State relations.</w:t>
      </w:r>
      <w:r w:rsidRPr="00DD07E1">
        <w:rPr>
          <w:rStyle w:val="FootnoteReference"/>
        </w:rPr>
        <w:footnoteReference w:id="30"/>
      </w:r>
      <w:r w:rsidRPr="00DD07E1">
        <w:t xml:space="preserve"> Releasing the data would have breached an agreement between the Commonwealth and State and Territory Governments to keep the data confidential, and might reasonably have caused State and Territory Governments to decline to provide further data for the website. However, the FOI Commissioner found that release of a list of schools featured on the website would not breach the confidentiality agreement as it would not disclose any State or Territory Government data.</w:t>
      </w:r>
    </w:p>
    <w:p w14:paraId="151D3F2F" w14:textId="77777777" w:rsidR="00BB0A82" w:rsidRPr="004827E2" w:rsidRDefault="00BB0A82" w:rsidP="00BB0A82">
      <w:pPr>
        <w:pStyle w:val="Heading3"/>
      </w:pPr>
      <w:bookmarkStart w:id="48" w:name="Damage_to_be_reasonably_expected"/>
      <w:bookmarkStart w:id="49" w:name="_bookmark18"/>
      <w:bookmarkStart w:id="50" w:name="_Toc11154472"/>
      <w:bookmarkStart w:id="51" w:name="_Toc141875203"/>
      <w:bookmarkEnd w:id="48"/>
      <w:bookmarkEnd w:id="49"/>
      <w:r w:rsidRPr="004827E2">
        <w:lastRenderedPageBreak/>
        <w:t>Damage to be reasonably expected</w:t>
      </w:r>
      <w:bookmarkEnd w:id="50"/>
      <w:bookmarkEnd w:id="51"/>
    </w:p>
    <w:p w14:paraId="044452CD" w14:textId="7C379A5F" w:rsidR="009F3476" w:rsidRDefault="00BB0A82" w:rsidP="009F3476">
      <w:pPr>
        <w:pStyle w:val="NumberedParagraphs"/>
        <w:ind w:left="567"/>
      </w:pPr>
      <w:r w:rsidRPr="007500E4">
        <w:rPr>
          <w:rFonts w:cs="Calibri"/>
        </w:rPr>
        <w:t>The</w:t>
      </w:r>
      <w:r w:rsidRPr="00DD07E1">
        <w:rPr>
          <w:rFonts w:cs="Calibri"/>
        </w:rPr>
        <w:t xml:space="preserve"> </w:t>
      </w:r>
      <w:r w:rsidRPr="007500E4">
        <w:rPr>
          <w:rFonts w:cs="Calibri"/>
        </w:rPr>
        <w:t>term</w:t>
      </w:r>
      <w:r w:rsidRPr="00DD07E1">
        <w:rPr>
          <w:rFonts w:cs="Calibri"/>
        </w:rPr>
        <w:t xml:space="preserve"> ‘</w:t>
      </w:r>
      <w:r w:rsidRPr="00DD07E1">
        <w:t xml:space="preserve">could reasonably </w:t>
      </w:r>
      <w:r w:rsidR="002A7B5A">
        <w:t xml:space="preserve">be </w:t>
      </w:r>
      <w:r w:rsidRPr="00DD07E1">
        <w:t>expected</w:t>
      </w:r>
      <w:r w:rsidR="004546C1">
        <w:t xml:space="preserve"> to</w:t>
      </w:r>
      <w:r w:rsidRPr="00DD07E1">
        <w:rPr>
          <w:rFonts w:cs="Calibri"/>
        </w:rPr>
        <w:t xml:space="preserve">’ </w:t>
      </w:r>
      <w:r w:rsidRPr="007500E4">
        <w:rPr>
          <w:rFonts w:cs="Calibri"/>
        </w:rPr>
        <w:t>is</w:t>
      </w:r>
      <w:r w:rsidRPr="00DD07E1">
        <w:rPr>
          <w:rFonts w:cs="Calibri"/>
        </w:rPr>
        <w:t xml:space="preserve"> explained </w:t>
      </w:r>
      <w:r w:rsidRPr="007500E4">
        <w:rPr>
          <w:rFonts w:cs="Calibri"/>
        </w:rPr>
        <w:t xml:space="preserve">in </w:t>
      </w:r>
      <w:r w:rsidRPr="00DD07E1">
        <w:rPr>
          <w:rFonts w:cs="Calibri"/>
        </w:rPr>
        <w:t xml:space="preserve">greater </w:t>
      </w:r>
      <w:r w:rsidRPr="007500E4">
        <w:rPr>
          <w:rFonts w:cs="Calibri"/>
        </w:rPr>
        <w:t>detail</w:t>
      </w:r>
      <w:r w:rsidRPr="00DD07E1">
        <w:rPr>
          <w:rFonts w:cs="Calibri"/>
        </w:rPr>
        <w:t xml:space="preserve"> </w:t>
      </w:r>
      <w:r w:rsidRPr="007500E4">
        <w:rPr>
          <w:rFonts w:cs="Calibri"/>
        </w:rPr>
        <w:t>in</w:t>
      </w:r>
      <w:r w:rsidRPr="00DD07E1">
        <w:rPr>
          <w:rFonts w:cs="Calibri"/>
        </w:rPr>
        <w:t xml:space="preserve"> </w:t>
      </w:r>
      <w:r w:rsidRPr="00DD07E1">
        <w:t xml:space="preserve">Part </w:t>
      </w:r>
      <w:r w:rsidRPr="007500E4">
        <w:t>5</w:t>
      </w:r>
      <w:r w:rsidR="00857EDE">
        <w:t xml:space="preserve"> of these Guidelines</w:t>
      </w:r>
      <w:r w:rsidRPr="00DD07E1">
        <w:t xml:space="preserve">. There </w:t>
      </w:r>
      <w:r w:rsidRPr="007500E4">
        <w:t>must</w:t>
      </w:r>
      <w:r w:rsidRPr="00DD07E1">
        <w:t xml:space="preserve"> </w:t>
      </w:r>
      <w:r w:rsidRPr="007500E4">
        <w:t>be</w:t>
      </w:r>
      <w:r w:rsidRPr="00DD07E1">
        <w:t xml:space="preserve"> </w:t>
      </w:r>
      <w:r w:rsidRPr="007500E4">
        <w:t>real</w:t>
      </w:r>
      <w:r w:rsidRPr="00DD07E1">
        <w:t xml:space="preserve"> and substantial grounds </w:t>
      </w:r>
      <w:r w:rsidRPr="007500E4">
        <w:t>for</w:t>
      </w:r>
      <w:r w:rsidRPr="00DD07E1">
        <w:t xml:space="preserve"> expecting the </w:t>
      </w:r>
      <w:r w:rsidRPr="007500E4">
        <w:t>damage</w:t>
      </w:r>
      <w:r w:rsidRPr="00DD07E1">
        <w:t xml:space="preserve"> </w:t>
      </w:r>
      <w:r w:rsidRPr="007500E4">
        <w:t>to</w:t>
      </w:r>
      <w:r w:rsidRPr="00DD07E1">
        <w:t xml:space="preserve"> occur which can be supported </w:t>
      </w:r>
      <w:r w:rsidRPr="007500E4">
        <w:t>by</w:t>
      </w:r>
      <w:r w:rsidRPr="00DD07E1">
        <w:t xml:space="preserve"> evidence or reasoning.</w:t>
      </w:r>
      <w:r w:rsidRPr="00DD07E1">
        <w:rPr>
          <w:rStyle w:val="FootnoteReference"/>
        </w:rPr>
        <w:footnoteReference w:id="31"/>
      </w:r>
      <w:r w:rsidRPr="00DC44B4">
        <w:rPr>
          <w:position w:val="11"/>
          <w:sz w:val="16"/>
          <w:szCs w:val="16"/>
          <w:vertAlign w:val="superscript"/>
        </w:rPr>
        <w:t xml:space="preserve"> </w:t>
      </w:r>
      <w:r w:rsidRPr="00DD07E1">
        <w:t xml:space="preserve"> </w:t>
      </w:r>
      <w:r w:rsidR="00E13EF1">
        <w:t xml:space="preserve">There </w:t>
      </w:r>
      <w:r w:rsidRPr="00DD07E1">
        <w:t xml:space="preserve">cannot </w:t>
      </w:r>
      <w:r w:rsidRPr="007500E4">
        <w:t>be</w:t>
      </w:r>
      <w:r w:rsidRPr="00DD07E1">
        <w:t xml:space="preserve"> </w:t>
      </w:r>
      <w:r w:rsidR="00D54BF1">
        <w:t xml:space="preserve">a </w:t>
      </w:r>
      <w:r w:rsidRPr="007500E4">
        <w:t>mere</w:t>
      </w:r>
      <w:r w:rsidRPr="00DD07E1">
        <w:t xml:space="preserve"> assumption </w:t>
      </w:r>
      <w:r w:rsidRPr="007500E4">
        <w:t>or</w:t>
      </w:r>
      <w:r w:rsidRPr="00DD07E1">
        <w:t xml:space="preserve"> allegation that </w:t>
      </w:r>
      <w:r w:rsidRPr="007500E4">
        <w:t>damage</w:t>
      </w:r>
      <w:r w:rsidRPr="00DD07E1">
        <w:t xml:space="preserve"> </w:t>
      </w:r>
      <w:r w:rsidRPr="007500E4">
        <w:t>may</w:t>
      </w:r>
      <w:r w:rsidRPr="00DD07E1">
        <w:t xml:space="preserve"> occur </w:t>
      </w:r>
      <w:r w:rsidRPr="007500E4">
        <w:t>if</w:t>
      </w:r>
      <w:r w:rsidRPr="00DD07E1">
        <w:t xml:space="preserve"> the document </w:t>
      </w:r>
      <w:r w:rsidR="003F6E5D">
        <w:t>i</w:t>
      </w:r>
      <w:r w:rsidR="00E13EF1">
        <w:t>s</w:t>
      </w:r>
      <w:r w:rsidRPr="00DD07E1">
        <w:t xml:space="preserve"> released. For</w:t>
      </w:r>
      <w:r w:rsidRPr="00DD07E1">
        <w:rPr>
          <w:w w:val="99"/>
        </w:rPr>
        <w:t xml:space="preserve"> </w:t>
      </w:r>
      <w:r w:rsidRPr="007500E4">
        <w:t>example,</w:t>
      </w:r>
      <w:r w:rsidRPr="00DD07E1">
        <w:t xml:space="preserve"> when consulting </w:t>
      </w:r>
      <w:r w:rsidRPr="007500E4">
        <w:t>a</w:t>
      </w:r>
      <w:r w:rsidRPr="00DD07E1">
        <w:t xml:space="preserve"> State </w:t>
      </w:r>
      <w:r w:rsidRPr="007500E4">
        <w:t>agency</w:t>
      </w:r>
      <w:r w:rsidRPr="00DD07E1">
        <w:t xml:space="preserve"> or authority </w:t>
      </w:r>
      <w:r w:rsidRPr="007500E4">
        <w:t>as</w:t>
      </w:r>
      <w:r w:rsidRPr="00DD07E1">
        <w:t xml:space="preserve"> required under </w:t>
      </w:r>
      <w:r w:rsidRPr="007500E4">
        <w:t>s</w:t>
      </w:r>
      <w:r w:rsidRPr="00DD07E1">
        <w:t xml:space="preserve"> </w:t>
      </w:r>
      <w:r w:rsidRPr="007500E4">
        <w:t>26A,</w:t>
      </w:r>
      <w:r w:rsidRPr="00DD07E1">
        <w:t xml:space="preserve"> </w:t>
      </w:r>
      <w:r w:rsidRPr="007500E4">
        <w:t>the</w:t>
      </w:r>
      <w:r w:rsidRPr="00DD07E1">
        <w:t xml:space="preserve"> agency</w:t>
      </w:r>
      <w:r w:rsidRPr="00DD07E1">
        <w:rPr>
          <w:w w:val="99"/>
        </w:rPr>
        <w:t xml:space="preserve"> </w:t>
      </w:r>
      <w:r w:rsidRPr="00DD07E1">
        <w:t xml:space="preserve">should </w:t>
      </w:r>
      <w:r w:rsidRPr="007500E4">
        <w:t>ask</w:t>
      </w:r>
      <w:r w:rsidRPr="00DD07E1">
        <w:t xml:space="preserve"> the </w:t>
      </w:r>
      <w:r w:rsidR="00782E88">
        <w:t xml:space="preserve">State </w:t>
      </w:r>
      <w:r w:rsidRPr="007500E4">
        <w:t>agency</w:t>
      </w:r>
      <w:r w:rsidRPr="00DD07E1">
        <w:t xml:space="preserve"> </w:t>
      </w:r>
      <w:r w:rsidRPr="007500E4">
        <w:t>or</w:t>
      </w:r>
      <w:r w:rsidRPr="00DD07E1">
        <w:t xml:space="preserve"> authority </w:t>
      </w:r>
      <w:r w:rsidRPr="007500E4">
        <w:t>for</w:t>
      </w:r>
      <w:r w:rsidRPr="00DD07E1">
        <w:t xml:space="preserve"> its reasons </w:t>
      </w:r>
      <w:r w:rsidRPr="007500E4">
        <w:t>for</w:t>
      </w:r>
      <w:r w:rsidRPr="00DD07E1">
        <w:t xml:space="preserve"> expecting damage, </w:t>
      </w:r>
      <w:r w:rsidRPr="007500E4">
        <w:t>as</w:t>
      </w:r>
      <w:r w:rsidRPr="00DD07E1">
        <w:t xml:space="preserve"> </w:t>
      </w:r>
      <w:r w:rsidRPr="007500E4">
        <w:t>an</w:t>
      </w:r>
      <w:r w:rsidRPr="00DD07E1">
        <w:t xml:space="preserve"> unsubstantiated concern w</w:t>
      </w:r>
      <w:r w:rsidR="00446DBB">
        <w:t>ill</w:t>
      </w:r>
      <w:r w:rsidRPr="00DD07E1">
        <w:t xml:space="preserve"> not satisfy </w:t>
      </w:r>
      <w:r w:rsidRPr="007500E4">
        <w:t>the</w:t>
      </w:r>
      <w:r w:rsidRPr="00DD07E1">
        <w:t xml:space="preserve"> </w:t>
      </w:r>
      <w:r w:rsidRPr="007500E4">
        <w:t>s</w:t>
      </w:r>
      <w:r w:rsidRPr="00DD07E1">
        <w:t xml:space="preserve"> 47B(a) </w:t>
      </w:r>
      <w:r w:rsidRPr="007500E4">
        <w:t>threshold.</w:t>
      </w:r>
    </w:p>
    <w:p w14:paraId="1BE948BC" w14:textId="3C7A4183" w:rsidR="009F3476" w:rsidRPr="0049745E" w:rsidRDefault="009F3476" w:rsidP="0049745E">
      <w:pPr>
        <w:pStyle w:val="NumberedParagraphs"/>
        <w:ind w:left="567"/>
      </w:pPr>
      <w:r w:rsidRPr="0049745E">
        <w:rPr>
          <w:rFonts w:ascii="Source Sans Pro" w:hAnsi="Source Sans Pro"/>
          <w:color w:val="333333"/>
        </w:rPr>
        <w:t xml:space="preserve">The word </w:t>
      </w:r>
      <w:r w:rsidR="00912E01">
        <w:rPr>
          <w:rFonts w:ascii="Source Sans Pro" w:hAnsi="Source Sans Pro"/>
          <w:color w:val="333333"/>
        </w:rPr>
        <w:t>‘</w:t>
      </w:r>
      <w:r w:rsidRPr="0049745E">
        <w:rPr>
          <w:rFonts w:ascii="Source Sans Pro" w:hAnsi="Source Sans Pro"/>
          <w:color w:val="333333"/>
        </w:rPr>
        <w:t>damage</w:t>
      </w:r>
      <w:r w:rsidR="00912E01">
        <w:rPr>
          <w:rFonts w:ascii="Source Sans Pro" w:hAnsi="Source Sans Pro"/>
          <w:color w:val="333333"/>
        </w:rPr>
        <w:t>’</w:t>
      </w:r>
      <w:r w:rsidRPr="0049745E">
        <w:rPr>
          <w:rFonts w:ascii="Source Sans Pro" w:hAnsi="Source Sans Pro"/>
          <w:color w:val="333333"/>
        </w:rPr>
        <w:t xml:space="preserve"> in s 47B is not qualified by any adjective as to extent or character</w:t>
      </w:r>
      <w:r w:rsidR="00410BD3">
        <w:rPr>
          <w:rFonts w:ascii="Source Sans Pro" w:hAnsi="Source Sans Pro"/>
          <w:color w:val="333333"/>
        </w:rPr>
        <w:t xml:space="preserve"> and it may refer to </w:t>
      </w:r>
      <w:r w:rsidRPr="0049745E">
        <w:rPr>
          <w:rFonts w:ascii="Source Sans Pro" w:hAnsi="Source Sans Pro"/>
          <w:color w:val="333333"/>
        </w:rPr>
        <w:t>forms of intangible damage</w:t>
      </w:r>
      <w:r w:rsidR="00B67701">
        <w:rPr>
          <w:rFonts w:ascii="Source Sans Pro" w:hAnsi="Source Sans Pro"/>
          <w:color w:val="333333"/>
        </w:rPr>
        <w:t>.</w:t>
      </w:r>
      <w:r w:rsidR="00B67701">
        <w:rPr>
          <w:rStyle w:val="FootnoteReference"/>
          <w:rFonts w:ascii="Source Sans Pro" w:hAnsi="Source Sans Pro"/>
          <w:color w:val="333333"/>
        </w:rPr>
        <w:footnoteReference w:id="32"/>
      </w:r>
      <w:r w:rsidRPr="0049745E">
        <w:rPr>
          <w:rFonts w:ascii="Source Sans Pro" w:hAnsi="Source Sans Pro"/>
          <w:color w:val="333333"/>
        </w:rPr>
        <w:t> </w:t>
      </w:r>
      <w:r w:rsidR="00B67701" w:rsidRPr="00B67701">
        <w:rPr>
          <w:rFonts w:ascii="Source Sans Pro" w:hAnsi="Source Sans Pro"/>
          <w:i/>
          <w:iCs/>
          <w:color w:val="333333"/>
        </w:rPr>
        <w:t xml:space="preserve"> </w:t>
      </w:r>
      <w:r w:rsidRPr="0049745E">
        <w:rPr>
          <w:rFonts w:ascii="Source Sans Pro" w:hAnsi="Source Sans Pro"/>
          <w:color w:val="333333"/>
        </w:rPr>
        <w:t xml:space="preserve">It can also be taken to connote a less severe effect than </w:t>
      </w:r>
      <w:r w:rsidR="001F2D0A">
        <w:rPr>
          <w:rFonts w:ascii="Source Sans Pro" w:hAnsi="Source Sans Pro"/>
          <w:color w:val="333333"/>
        </w:rPr>
        <w:t>‘</w:t>
      </w:r>
      <w:r w:rsidRPr="0049745E">
        <w:rPr>
          <w:rFonts w:ascii="Source Sans Pro" w:hAnsi="Source Sans Pro"/>
          <w:color w:val="333333"/>
        </w:rPr>
        <w:t>a substantial adverse effect</w:t>
      </w:r>
      <w:r w:rsidR="001F2D0A">
        <w:rPr>
          <w:rFonts w:ascii="Source Sans Pro" w:hAnsi="Source Sans Pro"/>
          <w:color w:val="333333"/>
        </w:rPr>
        <w:t>’</w:t>
      </w:r>
      <w:r w:rsidRPr="0049745E">
        <w:rPr>
          <w:rFonts w:ascii="Source Sans Pro" w:hAnsi="Source Sans Pro"/>
          <w:color w:val="333333"/>
        </w:rPr>
        <w:t>, which is the expression used in ss 47D, 47E and 47J of the FOI Act.</w:t>
      </w:r>
      <w:r w:rsidR="001F2D0A">
        <w:rPr>
          <w:rStyle w:val="FootnoteReference"/>
          <w:rFonts w:ascii="Source Sans Pro" w:hAnsi="Source Sans Pro"/>
          <w:color w:val="333333"/>
        </w:rPr>
        <w:footnoteReference w:id="33"/>
      </w:r>
    </w:p>
    <w:p w14:paraId="0C06EF61" w14:textId="77777777" w:rsidR="00BB0A82" w:rsidRPr="004827E2" w:rsidRDefault="00BB0A82" w:rsidP="00BB0A82">
      <w:pPr>
        <w:pStyle w:val="Heading3"/>
      </w:pPr>
      <w:bookmarkStart w:id="52" w:name="Information_communicated_in_confidence"/>
      <w:bookmarkStart w:id="53" w:name="_bookmark19"/>
      <w:bookmarkStart w:id="54" w:name="_Toc11154473"/>
      <w:bookmarkStart w:id="55" w:name="_Toc141875204"/>
      <w:bookmarkEnd w:id="52"/>
      <w:bookmarkEnd w:id="53"/>
      <w:r w:rsidRPr="004827E2">
        <w:t>Information communicated in confidence</w:t>
      </w:r>
      <w:bookmarkEnd w:id="54"/>
      <w:bookmarkEnd w:id="55"/>
    </w:p>
    <w:p w14:paraId="011A2526" w14:textId="77777777" w:rsidR="00BB0A82" w:rsidRPr="007500E4" w:rsidRDefault="00BB0A82" w:rsidP="00C162C6">
      <w:pPr>
        <w:pStyle w:val="NumberedParagraphs"/>
        <w:ind w:left="567"/>
        <w:rPr>
          <w:sz w:val="16"/>
          <w:szCs w:val="16"/>
        </w:rPr>
      </w:pPr>
      <w:r w:rsidRPr="00DD07E1">
        <w:rPr>
          <w:rFonts w:cs="Calibri"/>
        </w:rPr>
        <w:t xml:space="preserve">Section 47B(b) conditionally exempts </w:t>
      </w:r>
      <w:r w:rsidRPr="00DD07E1">
        <w:t>information communicated</w:t>
      </w:r>
      <w:r w:rsidRPr="007500E4">
        <w:t xml:space="preserve"> </w:t>
      </w:r>
      <w:r w:rsidRPr="00DD07E1">
        <w:t>in confidence</w:t>
      </w:r>
      <w:r w:rsidRPr="00DD07E1">
        <w:rPr>
          <w:rFonts w:cs="Calibri"/>
        </w:rPr>
        <w:t xml:space="preserve"> </w:t>
      </w:r>
      <w:r w:rsidRPr="007500E4">
        <w:rPr>
          <w:rFonts w:cs="Calibri"/>
        </w:rPr>
        <w:t>to</w:t>
      </w:r>
      <w:r w:rsidRPr="00DD07E1">
        <w:rPr>
          <w:rFonts w:cs="Calibri"/>
        </w:rPr>
        <w:t xml:space="preserve"> </w:t>
      </w:r>
      <w:r w:rsidRPr="007500E4">
        <w:t>the</w:t>
      </w:r>
      <w:r w:rsidRPr="00DD07E1">
        <w:t xml:space="preserve"> Commonwealth Government </w:t>
      </w:r>
      <w:r w:rsidRPr="007500E4">
        <w:t>or</w:t>
      </w:r>
      <w:r w:rsidRPr="00DD07E1">
        <w:t xml:space="preserve"> an agency </w:t>
      </w:r>
      <w:r w:rsidRPr="007500E4">
        <w:t>by</w:t>
      </w:r>
      <w:r w:rsidRPr="00DD07E1">
        <w:t xml:space="preserve"> </w:t>
      </w:r>
      <w:r w:rsidRPr="007500E4">
        <w:t>a</w:t>
      </w:r>
      <w:r w:rsidRPr="00DD07E1">
        <w:t xml:space="preserve"> State </w:t>
      </w:r>
      <w:r w:rsidRPr="007500E4">
        <w:t>or</w:t>
      </w:r>
      <w:r w:rsidRPr="00DD07E1">
        <w:t xml:space="preserve"> </w:t>
      </w:r>
      <w:r w:rsidRPr="007500E4">
        <w:t>an</w:t>
      </w:r>
      <w:r w:rsidRPr="00DD07E1">
        <w:t xml:space="preserve"> authority of </w:t>
      </w:r>
      <w:r w:rsidRPr="007500E4">
        <w:t>a</w:t>
      </w:r>
      <w:r w:rsidRPr="00DD07E1">
        <w:t xml:space="preserve"> State. </w:t>
      </w:r>
      <w:r w:rsidRPr="007500E4">
        <w:t>It</w:t>
      </w:r>
      <w:r w:rsidRPr="00DD07E1">
        <w:t xml:space="preserve"> </w:t>
      </w:r>
      <w:r w:rsidRPr="007500E4">
        <w:t>is</w:t>
      </w:r>
      <w:r w:rsidRPr="00DD07E1">
        <w:t xml:space="preserve"> not</w:t>
      </w:r>
      <w:r w:rsidRPr="00DD07E1">
        <w:rPr>
          <w:w w:val="99"/>
        </w:rPr>
        <w:t xml:space="preserve"> </w:t>
      </w:r>
      <w:r w:rsidRPr="007500E4">
        <w:t>necessary</w:t>
      </w:r>
      <w:r w:rsidRPr="00DD07E1">
        <w:t xml:space="preserve"> for </w:t>
      </w:r>
      <w:r w:rsidRPr="007500E4">
        <w:t>the</w:t>
      </w:r>
      <w:r w:rsidRPr="00DD07E1">
        <w:t xml:space="preserve"> decision maker </w:t>
      </w:r>
      <w:r w:rsidRPr="007500E4">
        <w:t>to</w:t>
      </w:r>
      <w:r w:rsidRPr="00DD07E1">
        <w:t xml:space="preserve"> find that </w:t>
      </w:r>
      <w:r w:rsidRPr="007500E4">
        <w:t>disclosure</w:t>
      </w:r>
      <w:r w:rsidRPr="00DD07E1">
        <w:t xml:space="preserve"> may found an action </w:t>
      </w:r>
      <w:r w:rsidRPr="007500E4">
        <w:t>for</w:t>
      </w:r>
      <w:r w:rsidRPr="00DD07E1">
        <w:t xml:space="preserve"> </w:t>
      </w:r>
      <w:r w:rsidRPr="007500E4">
        <w:t>breach</w:t>
      </w:r>
      <w:r w:rsidRPr="00DD07E1">
        <w:t xml:space="preserve"> of confidence </w:t>
      </w:r>
      <w:r w:rsidRPr="007500E4">
        <w:t>for</w:t>
      </w:r>
      <w:r w:rsidRPr="00DD07E1">
        <w:t xml:space="preserve"> this element </w:t>
      </w:r>
      <w:r w:rsidRPr="007500E4">
        <w:t>to</w:t>
      </w:r>
      <w:r w:rsidRPr="00DD07E1">
        <w:t xml:space="preserve"> apply.</w:t>
      </w:r>
      <w:r w:rsidRPr="007500E4">
        <w:rPr>
          <w:rStyle w:val="FootnoteReference"/>
        </w:rPr>
        <w:footnoteReference w:id="34"/>
      </w:r>
    </w:p>
    <w:p w14:paraId="630FCC2A" w14:textId="77777777" w:rsidR="00BB0A82" w:rsidRPr="007500E4" w:rsidRDefault="00BB0A82" w:rsidP="00C162C6">
      <w:pPr>
        <w:pStyle w:val="NumberedParagraphs"/>
        <w:ind w:left="567"/>
      </w:pPr>
      <w:r w:rsidRPr="007500E4">
        <w:t>This exemption only applies if disclosure would divulge information that is communicated in confidence by a State Government or authority to the Commonwealth Government or agency, and not the reverse.</w:t>
      </w:r>
      <w:r w:rsidRPr="007500E4">
        <w:rPr>
          <w:rStyle w:val="FootnoteReference"/>
        </w:rPr>
        <w:footnoteReference w:id="35"/>
      </w:r>
    </w:p>
    <w:p w14:paraId="70184B49" w14:textId="77777777" w:rsidR="00BB0A82" w:rsidRPr="007500E4" w:rsidRDefault="00BB0A82" w:rsidP="00901310">
      <w:pPr>
        <w:pStyle w:val="NumberedParagraphs"/>
        <w:ind w:left="567"/>
      </w:pPr>
      <w:r w:rsidRPr="007500E4">
        <w:t>When</w:t>
      </w:r>
      <w:r w:rsidRPr="00DD07E1">
        <w:t xml:space="preserve"> </w:t>
      </w:r>
      <w:r w:rsidRPr="007500E4">
        <w:t>assessing</w:t>
      </w:r>
      <w:r w:rsidRPr="00DD07E1">
        <w:t xml:space="preserve"> whether the information was communicated </w:t>
      </w:r>
      <w:r w:rsidRPr="007500E4">
        <w:t>in</w:t>
      </w:r>
      <w:r w:rsidRPr="00DD07E1">
        <w:t xml:space="preserve"> confidence, the test</w:t>
      </w:r>
      <w:r w:rsidRPr="00901310">
        <w:t xml:space="preserve"> </w:t>
      </w:r>
      <w:r w:rsidRPr="007500E4">
        <w:t>is</w:t>
      </w:r>
      <w:r w:rsidRPr="00DD07E1">
        <w:t xml:space="preserve"> whether </w:t>
      </w:r>
      <w:r w:rsidRPr="007500E4">
        <w:t>the</w:t>
      </w:r>
      <w:r w:rsidRPr="00DD07E1">
        <w:t xml:space="preserve"> communication was considered </w:t>
      </w:r>
      <w:r w:rsidRPr="007500E4">
        <w:t>to</w:t>
      </w:r>
      <w:r w:rsidRPr="00DD07E1">
        <w:t xml:space="preserve"> </w:t>
      </w:r>
      <w:r w:rsidRPr="007500E4">
        <w:t>be</w:t>
      </w:r>
      <w:r w:rsidRPr="00DD07E1">
        <w:t xml:space="preserve"> confidential </w:t>
      </w:r>
      <w:r w:rsidRPr="007500E4">
        <w:t>at</w:t>
      </w:r>
      <w:r w:rsidRPr="00DD07E1">
        <w:t xml:space="preserve"> the time </w:t>
      </w:r>
      <w:r w:rsidRPr="007500E4">
        <w:t>of</w:t>
      </w:r>
      <w:r w:rsidRPr="00DD07E1">
        <w:t xml:space="preserve"> the</w:t>
      </w:r>
      <w:r w:rsidRPr="00901310">
        <w:t xml:space="preserve"> </w:t>
      </w:r>
      <w:r w:rsidRPr="00DD07E1">
        <w:t xml:space="preserve">communication. </w:t>
      </w:r>
      <w:r w:rsidRPr="007500E4">
        <w:t>The</w:t>
      </w:r>
      <w:r w:rsidRPr="00DD07E1">
        <w:t xml:space="preserve"> circumstances </w:t>
      </w:r>
      <w:r w:rsidRPr="007500E4">
        <w:t>of</w:t>
      </w:r>
      <w:r w:rsidRPr="00DD07E1">
        <w:t xml:space="preserve"> the communication </w:t>
      </w:r>
      <w:r w:rsidRPr="007500E4">
        <w:t>may</w:t>
      </w:r>
      <w:r w:rsidRPr="00DD07E1">
        <w:t xml:space="preserve"> </w:t>
      </w:r>
      <w:r w:rsidRPr="007500E4">
        <w:t>also</w:t>
      </w:r>
      <w:r w:rsidRPr="00DD07E1">
        <w:t xml:space="preserve"> need </w:t>
      </w:r>
      <w:r w:rsidRPr="007500E4">
        <w:t>to</w:t>
      </w:r>
      <w:r w:rsidRPr="00DD07E1">
        <w:t xml:space="preserve"> </w:t>
      </w:r>
      <w:r w:rsidRPr="007500E4">
        <w:t>be</w:t>
      </w:r>
      <w:r w:rsidRPr="00DD07E1">
        <w:t xml:space="preserve"> considered,</w:t>
      </w:r>
      <w:r w:rsidRPr="00901310">
        <w:t xml:space="preserve"> </w:t>
      </w:r>
      <w:r w:rsidRPr="00DD07E1">
        <w:t xml:space="preserve">such </w:t>
      </w:r>
      <w:r w:rsidRPr="007500E4">
        <w:t>as:</w:t>
      </w:r>
    </w:p>
    <w:p w14:paraId="6F0D27A1" w14:textId="77777777" w:rsidR="00BB0A82" w:rsidRPr="007500E4" w:rsidRDefault="00BB0A82" w:rsidP="00202DAE">
      <w:pPr>
        <w:pStyle w:val="IndentBullet1"/>
        <w:ind w:left="851" w:hanging="284"/>
        <w:rPr>
          <w:sz w:val="16"/>
          <w:szCs w:val="16"/>
        </w:rPr>
      </w:pPr>
      <w:r w:rsidRPr="00DD07E1">
        <w:t xml:space="preserve">whether the communication was </w:t>
      </w:r>
      <w:r w:rsidRPr="007500E4">
        <w:t>ad</w:t>
      </w:r>
      <w:r w:rsidRPr="00DD07E1">
        <w:t xml:space="preserve"> hoc, routine </w:t>
      </w:r>
      <w:r w:rsidRPr="007500E4">
        <w:t>or</w:t>
      </w:r>
      <w:r w:rsidRPr="00DD07E1">
        <w:t xml:space="preserve"> required</w:t>
      </w:r>
      <w:r w:rsidRPr="007500E4">
        <w:rPr>
          <w:rStyle w:val="FootnoteReference"/>
        </w:rPr>
        <w:footnoteReference w:id="36"/>
      </w:r>
    </w:p>
    <w:p w14:paraId="75BFCDE1" w14:textId="77777777" w:rsidR="00BB0A82" w:rsidRPr="007500E4" w:rsidRDefault="00BB0A82" w:rsidP="00202DAE">
      <w:pPr>
        <w:pStyle w:val="IndentBullet1"/>
        <w:ind w:left="851" w:hanging="284"/>
        <w:rPr>
          <w:sz w:val="16"/>
          <w:szCs w:val="16"/>
        </w:rPr>
      </w:pPr>
      <w:r w:rsidRPr="00DD07E1">
        <w:t xml:space="preserve">whether there were </w:t>
      </w:r>
      <w:r w:rsidRPr="007500E4">
        <w:t>any</w:t>
      </w:r>
      <w:r w:rsidRPr="00DD07E1">
        <w:t xml:space="preserve"> </w:t>
      </w:r>
      <w:r w:rsidRPr="007500E4">
        <w:t>existing,</w:t>
      </w:r>
      <w:r w:rsidRPr="00DD07E1">
        <w:t xml:space="preserve"> implied </w:t>
      </w:r>
      <w:r w:rsidRPr="007500E4">
        <w:t>or</w:t>
      </w:r>
      <w:r w:rsidRPr="00DD07E1">
        <w:t xml:space="preserve"> assumed arrangements </w:t>
      </w:r>
      <w:r w:rsidRPr="007500E4">
        <w:t>or</w:t>
      </w:r>
      <w:r w:rsidRPr="00DD07E1">
        <w:rPr>
          <w:w w:val="99"/>
        </w:rPr>
        <w:t xml:space="preserve"> </w:t>
      </w:r>
      <w:r w:rsidRPr="00DD07E1">
        <w:t xml:space="preserve">understandings between the Commonwealth and State concerning the exchange </w:t>
      </w:r>
      <w:r w:rsidRPr="007500E4">
        <w:t>or</w:t>
      </w:r>
      <w:r w:rsidRPr="00DD07E1">
        <w:rPr>
          <w:w w:val="99"/>
        </w:rPr>
        <w:t xml:space="preserve"> </w:t>
      </w:r>
      <w:r w:rsidRPr="00DD07E1">
        <w:t xml:space="preserve">supply </w:t>
      </w:r>
      <w:r w:rsidRPr="007500E4">
        <w:t>of</w:t>
      </w:r>
      <w:r w:rsidRPr="00DD07E1">
        <w:t xml:space="preserve"> information</w:t>
      </w:r>
      <w:r w:rsidRPr="00DD07E1">
        <w:rPr>
          <w:rStyle w:val="FootnoteReference"/>
        </w:rPr>
        <w:footnoteReference w:id="37"/>
      </w:r>
    </w:p>
    <w:p w14:paraId="5A4A2613" w14:textId="77777777" w:rsidR="00BB0A82" w:rsidRPr="007500E4" w:rsidRDefault="00BB0A82" w:rsidP="00202DAE">
      <w:pPr>
        <w:pStyle w:val="IndentBullet1"/>
        <w:ind w:left="851" w:hanging="284"/>
        <w:rPr>
          <w:sz w:val="16"/>
          <w:szCs w:val="16"/>
        </w:rPr>
      </w:pPr>
      <w:r w:rsidRPr="007500E4">
        <w:lastRenderedPageBreak/>
        <w:t>how</w:t>
      </w:r>
      <w:r w:rsidRPr="00DD07E1">
        <w:t xml:space="preserve"> the information was subsequently handled, disclosed </w:t>
      </w:r>
      <w:r w:rsidRPr="007500E4">
        <w:t>or</w:t>
      </w:r>
      <w:r w:rsidRPr="00DD07E1">
        <w:t xml:space="preserve"> otherwise published.</w:t>
      </w:r>
      <w:r w:rsidRPr="007500E4">
        <w:rPr>
          <w:rStyle w:val="FootnoteReference"/>
        </w:rPr>
        <w:footnoteReference w:id="38"/>
      </w:r>
    </w:p>
    <w:p w14:paraId="69A3921F" w14:textId="3471FCA0" w:rsidR="00BB0A82" w:rsidRPr="004827E2" w:rsidRDefault="00BB0A82" w:rsidP="00901310">
      <w:pPr>
        <w:pStyle w:val="NumberedParagraphs"/>
        <w:ind w:left="567"/>
      </w:pPr>
      <w:r w:rsidRPr="004827E2">
        <w:t>See also the discussion on s 33(b) (international relations) in Part 5</w:t>
      </w:r>
      <w:r w:rsidR="007C4A07">
        <w:t xml:space="preserve"> of these Guidelines</w:t>
      </w:r>
      <w:r w:rsidRPr="004827E2">
        <w:t>. That provision is expressed in the same language but for the relevant entities which are to have communicated the information.</w:t>
      </w:r>
    </w:p>
    <w:p w14:paraId="4329ACB1" w14:textId="59E9EA50" w:rsidR="00BB0A82" w:rsidRPr="004827E2" w:rsidRDefault="00B7562F" w:rsidP="00901310">
      <w:pPr>
        <w:pStyle w:val="NumberedParagraphs"/>
        <w:ind w:left="567"/>
      </w:pPr>
      <w:r>
        <w:t>It may be diff</w:t>
      </w:r>
      <w:r w:rsidR="00E01389">
        <w:t>icult to establish that s</w:t>
      </w:r>
      <w:r w:rsidR="007C4A07">
        <w:t xml:space="preserve"> 47B</w:t>
      </w:r>
      <w:r w:rsidR="00BB0A82" w:rsidRPr="004827E2">
        <w:t xml:space="preserve"> </w:t>
      </w:r>
      <w:r w:rsidR="00E01389">
        <w:t xml:space="preserve">applies </w:t>
      </w:r>
      <w:r w:rsidR="00EF0CBF">
        <w:t>if</w:t>
      </w:r>
      <w:r w:rsidR="00BB0A82" w:rsidRPr="004827E2">
        <w:t xml:space="preserve"> the documents relate to routine or administrative matters or are already in the public domain.</w:t>
      </w:r>
      <w:r w:rsidR="00771398">
        <w:rPr>
          <w:rStyle w:val="FootnoteReference"/>
        </w:rPr>
        <w:footnoteReference w:id="39"/>
      </w:r>
      <w:r w:rsidR="005224FF">
        <w:t xml:space="preserve"> </w:t>
      </w:r>
      <w:r w:rsidR="00230400">
        <w:t xml:space="preserve">The relevant test is whether </w:t>
      </w:r>
      <w:r w:rsidR="00622741">
        <w:t xml:space="preserve">the relevant </w:t>
      </w:r>
      <w:r w:rsidR="001D6D32">
        <w:t xml:space="preserve">information was communicated in confidence by or on </w:t>
      </w:r>
      <w:r w:rsidR="007906FC">
        <w:t>be</w:t>
      </w:r>
      <w:r w:rsidR="001D6D32">
        <w:t>half of a State</w:t>
      </w:r>
      <w:r w:rsidR="000E0C6E">
        <w:t>. However this is not to say that the fact that the document has already been released or its contents are already know</w:t>
      </w:r>
      <w:r w:rsidR="007906FC">
        <w:t>n</w:t>
      </w:r>
      <w:r w:rsidR="000E0C6E">
        <w:t xml:space="preserve"> by members of the public is irrelevant </w:t>
      </w:r>
      <w:r w:rsidR="006204FE">
        <w:t>deciding whether s </w:t>
      </w:r>
      <w:r w:rsidR="00704CE8">
        <w:t>4</w:t>
      </w:r>
      <w:r w:rsidR="006204FE">
        <w:t>7B applies.</w:t>
      </w:r>
      <w:r w:rsidR="006204FE">
        <w:rPr>
          <w:rStyle w:val="FootnoteReference"/>
        </w:rPr>
        <w:footnoteReference w:id="40"/>
      </w:r>
    </w:p>
    <w:p w14:paraId="30D2DEB0" w14:textId="77777777" w:rsidR="00BB0A82" w:rsidRPr="004827E2" w:rsidRDefault="00BB0A82" w:rsidP="00BB0A82">
      <w:pPr>
        <w:pStyle w:val="Heading3"/>
      </w:pPr>
      <w:bookmarkStart w:id="56" w:name="A_State_and_an_authority_of_a_State"/>
      <w:bookmarkStart w:id="57" w:name="_bookmark20"/>
      <w:bookmarkStart w:id="58" w:name="_Toc11154474"/>
      <w:bookmarkStart w:id="59" w:name="_Toc141875205"/>
      <w:bookmarkEnd w:id="56"/>
      <w:bookmarkEnd w:id="57"/>
      <w:r w:rsidRPr="004827E2">
        <w:t>A State and an authority of a State</w:t>
      </w:r>
      <w:bookmarkEnd w:id="58"/>
      <w:bookmarkEnd w:id="59"/>
    </w:p>
    <w:p w14:paraId="24B5DE5B" w14:textId="7DCEE2CA" w:rsidR="00BB0A82" w:rsidRPr="007500E4" w:rsidRDefault="00BB0A82" w:rsidP="00901310">
      <w:pPr>
        <w:pStyle w:val="NumberedParagraphs"/>
        <w:ind w:left="567"/>
      </w:pPr>
      <w:r w:rsidRPr="00AB7DD9">
        <w:t xml:space="preserve">An ‘authority of a State’ is an entity that has been established by the State for a </w:t>
      </w:r>
      <w:r w:rsidRPr="007500E4">
        <w:t>public</w:t>
      </w:r>
      <w:r w:rsidR="00D80740">
        <w:t xml:space="preserve">[28] </w:t>
      </w:r>
      <w:r w:rsidRPr="00DD07E1">
        <w:t xml:space="preserve"> purpose, given the power </w:t>
      </w:r>
      <w:r w:rsidRPr="007500E4">
        <w:t>to</w:t>
      </w:r>
      <w:r w:rsidRPr="00DD07E1">
        <w:t xml:space="preserve"> direct </w:t>
      </w:r>
      <w:r w:rsidRPr="007500E4">
        <w:t>or</w:t>
      </w:r>
      <w:r w:rsidRPr="00DD07E1">
        <w:t xml:space="preserve"> control the affairs of others on </w:t>
      </w:r>
      <w:r w:rsidRPr="00AB7DD9">
        <w:t xml:space="preserve">the State’s </w:t>
      </w:r>
      <w:r w:rsidRPr="00DD07E1">
        <w:t xml:space="preserve">behalf, reports </w:t>
      </w:r>
      <w:r w:rsidRPr="007500E4">
        <w:t>to</w:t>
      </w:r>
      <w:r w:rsidRPr="00DD07E1">
        <w:t xml:space="preserve"> and </w:t>
      </w:r>
      <w:r w:rsidRPr="007500E4">
        <w:t>is</w:t>
      </w:r>
      <w:r w:rsidRPr="00DD07E1">
        <w:t xml:space="preserve"> under some control of the State.</w:t>
      </w:r>
      <w:r w:rsidRPr="00DD07E1">
        <w:rPr>
          <w:rStyle w:val="FootnoteReference"/>
        </w:rPr>
        <w:footnoteReference w:id="41"/>
      </w:r>
      <w:r w:rsidR="00EF0CBF">
        <w:t xml:space="preserve"> W</w:t>
      </w:r>
      <w:r w:rsidRPr="007500E4">
        <w:t>here</w:t>
      </w:r>
      <w:r w:rsidRPr="00DD07E1">
        <w:t xml:space="preserve"> there </w:t>
      </w:r>
      <w:r w:rsidRPr="007500E4">
        <w:t>is</w:t>
      </w:r>
      <w:r w:rsidRPr="00DD07E1">
        <w:t xml:space="preserve"> doubt </w:t>
      </w:r>
      <w:r w:rsidRPr="007500E4">
        <w:t>as</w:t>
      </w:r>
      <w:r w:rsidRPr="00DD07E1">
        <w:t xml:space="preserve"> </w:t>
      </w:r>
      <w:r w:rsidRPr="007500E4">
        <w:t>to</w:t>
      </w:r>
      <w:r w:rsidRPr="00DD07E1">
        <w:t xml:space="preserve"> </w:t>
      </w:r>
      <w:r w:rsidRPr="00DD07E1">
        <w:rPr>
          <w:rFonts w:cs="Calibri"/>
        </w:rPr>
        <w:t>whether</w:t>
      </w:r>
      <w:r w:rsidRPr="007500E4">
        <w:rPr>
          <w:rFonts w:cs="Calibri"/>
        </w:rPr>
        <w:t xml:space="preserve"> an</w:t>
      </w:r>
      <w:r w:rsidRPr="00DD07E1">
        <w:rPr>
          <w:rFonts w:cs="Calibri"/>
        </w:rPr>
        <w:t xml:space="preserve"> entity</w:t>
      </w:r>
      <w:r w:rsidRPr="007500E4">
        <w:rPr>
          <w:rFonts w:cs="Calibri"/>
        </w:rPr>
        <w:t xml:space="preserve"> is </w:t>
      </w:r>
      <w:r w:rsidRPr="00DD07E1">
        <w:rPr>
          <w:rFonts w:cs="Calibri"/>
        </w:rPr>
        <w:t xml:space="preserve">an ‘authority </w:t>
      </w:r>
      <w:r w:rsidRPr="007500E4">
        <w:rPr>
          <w:rFonts w:cs="Calibri"/>
        </w:rPr>
        <w:t>of</w:t>
      </w:r>
      <w:r w:rsidRPr="00DD07E1">
        <w:rPr>
          <w:rFonts w:cs="Calibri"/>
        </w:rPr>
        <w:t xml:space="preserve"> </w:t>
      </w:r>
      <w:r w:rsidRPr="007500E4">
        <w:rPr>
          <w:rFonts w:cs="Calibri"/>
        </w:rPr>
        <w:t xml:space="preserve">a </w:t>
      </w:r>
      <w:r w:rsidRPr="00DD07E1">
        <w:rPr>
          <w:rFonts w:cs="Calibri"/>
        </w:rPr>
        <w:t xml:space="preserve">State’, </w:t>
      </w:r>
      <w:r w:rsidRPr="007500E4">
        <w:rPr>
          <w:rFonts w:cs="Calibri"/>
        </w:rPr>
        <w:t>the</w:t>
      </w:r>
      <w:r w:rsidRPr="00DD07E1">
        <w:rPr>
          <w:rFonts w:cs="Calibri"/>
        </w:rPr>
        <w:t xml:space="preserve"> </w:t>
      </w:r>
      <w:r w:rsidRPr="007500E4">
        <w:rPr>
          <w:rFonts w:cs="Calibri"/>
        </w:rPr>
        <w:t xml:space="preserve">agency </w:t>
      </w:r>
      <w:r w:rsidRPr="00DD07E1">
        <w:rPr>
          <w:rFonts w:cs="Calibri"/>
        </w:rPr>
        <w:t xml:space="preserve">should consult the entity. </w:t>
      </w:r>
      <w:r w:rsidRPr="00DD07E1">
        <w:t xml:space="preserve">The </w:t>
      </w:r>
      <w:r w:rsidRPr="007500E4">
        <w:t>view</w:t>
      </w:r>
      <w:r w:rsidRPr="00DD07E1">
        <w:t xml:space="preserve"> </w:t>
      </w:r>
      <w:r w:rsidRPr="007500E4">
        <w:t>of</w:t>
      </w:r>
      <w:r w:rsidRPr="00DD07E1">
        <w:t xml:space="preserve"> the State Government </w:t>
      </w:r>
      <w:r w:rsidRPr="007500E4">
        <w:t>or</w:t>
      </w:r>
      <w:r w:rsidRPr="00DD07E1">
        <w:t xml:space="preserve"> </w:t>
      </w:r>
      <w:r w:rsidRPr="007500E4">
        <w:t>the</w:t>
      </w:r>
      <w:r w:rsidRPr="00DD07E1">
        <w:t xml:space="preserve"> entity </w:t>
      </w:r>
      <w:r w:rsidRPr="007500E4">
        <w:t>as</w:t>
      </w:r>
      <w:r w:rsidRPr="00DD07E1">
        <w:t xml:space="preserve"> </w:t>
      </w:r>
      <w:r w:rsidRPr="007500E4">
        <w:t>to</w:t>
      </w:r>
      <w:r w:rsidRPr="00DD07E1">
        <w:t xml:space="preserve"> its </w:t>
      </w:r>
      <w:r w:rsidRPr="007500E4">
        <w:t>status</w:t>
      </w:r>
      <w:r w:rsidRPr="00DD07E1">
        <w:t xml:space="preserve"> w</w:t>
      </w:r>
      <w:r w:rsidR="007B4628">
        <w:t>ill</w:t>
      </w:r>
      <w:r w:rsidRPr="00DD07E1">
        <w:t xml:space="preserve"> be</w:t>
      </w:r>
      <w:r w:rsidRPr="007500E4">
        <w:t xml:space="preserve"> an</w:t>
      </w:r>
      <w:r w:rsidRPr="00DD07E1">
        <w:t xml:space="preserve"> influential</w:t>
      </w:r>
      <w:r w:rsidR="007B4628">
        <w:t>,</w:t>
      </w:r>
      <w:r w:rsidRPr="00DD07E1">
        <w:t xml:space="preserve"> but not</w:t>
      </w:r>
      <w:r w:rsidRPr="007500E4">
        <w:t xml:space="preserve"> decisive</w:t>
      </w:r>
      <w:r w:rsidR="007B4628">
        <w:t>,</w:t>
      </w:r>
      <w:r w:rsidRPr="007500E4">
        <w:t xml:space="preserve"> factor.</w:t>
      </w:r>
    </w:p>
    <w:p w14:paraId="7020096B" w14:textId="1C998CA2" w:rsidR="00BB0A82" w:rsidRPr="004827E2" w:rsidRDefault="00BB0A82" w:rsidP="00BB0A82">
      <w:pPr>
        <w:pStyle w:val="Heading3"/>
      </w:pPr>
      <w:bookmarkStart w:id="60" w:name="Consultation_with_a_State_or_State_autho"/>
      <w:bookmarkStart w:id="61" w:name="_bookmark21"/>
      <w:bookmarkStart w:id="62" w:name="_Toc11154475"/>
      <w:bookmarkStart w:id="63" w:name="_Toc141875206"/>
      <w:bookmarkEnd w:id="60"/>
      <w:bookmarkEnd w:id="61"/>
      <w:r w:rsidRPr="004827E2">
        <w:t>Consultation with a State</w:t>
      </w:r>
      <w:bookmarkEnd w:id="62"/>
      <w:r w:rsidR="002E2883">
        <w:t xml:space="preserve"> (s 26A)</w:t>
      </w:r>
      <w:bookmarkEnd w:id="63"/>
    </w:p>
    <w:p w14:paraId="2BAA338F" w14:textId="77777777" w:rsidR="005839A0" w:rsidRPr="00336831" w:rsidRDefault="002E2883" w:rsidP="00901310">
      <w:pPr>
        <w:pStyle w:val="NumberedParagraphs"/>
        <w:ind w:left="567"/>
      </w:pPr>
      <w:r>
        <w:t>Whe</w:t>
      </w:r>
      <w:r w:rsidR="00EF0CBF">
        <w:t>n</w:t>
      </w:r>
      <w:r>
        <w:t xml:space="preserve"> an FOI request is made to an agency or minister for access to a document that originated with, or was received from, the State or an authority of the State, or the document contains information that originated with, or was received from, the State or an authority of the State, a</w:t>
      </w:r>
      <w:r w:rsidRPr="007500E4">
        <w:t>gencies</w:t>
      </w:r>
      <w:r w:rsidRPr="00DD07E1">
        <w:t xml:space="preserve"> </w:t>
      </w:r>
      <w:r w:rsidRPr="00336831">
        <w:t>and ministers are required to consult the State</w:t>
      </w:r>
      <w:r w:rsidR="00EF0CBF" w:rsidRPr="00336831">
        <w:t xml:space="preserve"> or authority of the State</w:t>
      </w:r>
      <w:r w:rsidRPr="00336831">
        <w:t xml:space="preserve"> before deciding to release </w:t>
      </w:r>
      <w:r w:rsidR="00EF0CBF" w:rsidRPr="00336831">
        <w:t>the</w:t>
      </w:r>
      <w:r w:rsidRPr="00336831">
        <w:t xml:space="preserve"> document</w:t>
      </w:r>
      <w:r w:rsidRPr="00336831">
        <w:rPr>
          <w:w w:val="99"/>
        </w:rPr>
        <w:t xml:space="preserve"> </w:t>
      </w:r>
      <w:r w:rsidR="00EF0CBF" w:rsidRPr="00336831">
        <w:rPr>
          <w:w w:val="99"/>
        </w:rPr>
        <w:t xml:space="preserve">if it appears to the agency or minister that the </w:t>
      </w:r>
      <w:r w:rsidRPr="00336831">
        <w:t xml:space="preserve">State may reasonably </w:t>
      </w:r>
      <w:r w:rsidR="00EF0CBF" w:rsidRPr="00336831">
        <w:t xml:space="preserve">wish to </w:t>
      </w:r>
      <w:r w:rsidRPr="00336831">
        <w:t xml:space="preserve">contend that the document is conditionally exempt </w:t>
      </w:r>
      <w:r w:rsidR="00EF0CBF" w:rsidRPr="00336831">
        <w:t xml:space="preserve">under s 47B </w:t>
      </w:r>
      <w:r w:rsidRPr="00336831">
        <w:t xml:space="preserve">and that </w:t>
      </w:r>
      <w:r w:rsidR="00EF0CBF" w:rsidRPr="00336831">
        <w:t xml:space="preserve">giving access to </w:t>
      </w:r>
      <w:r w:rsidRPr="00336831">
        <w:t xml:space="preserve">the document would be contrary to the public interest. </w:t>
      </w:r>
    </w:p>
    <w:p w14:paraId="18164F33" w14:textId="1819CE14" w:rsidR="00BB0A82" w:rsidRDefault="00EF0CBF" w:rsidP="00901310">
      <w:pPr>
        <w:pStyle w:val="NumberedParagraphs"/>
        <w:ind w:left="567"/>
      </w:pPr>
      <w:r>
        <w:t xml:space="preserve">Consultation is to be undertaken </w:t>
      </w:r>
      <w:r w:rsidR="002E2883">
        <w:t>in accordance with arrangements made between the Commonwealth and the States</w:t>
      </w:r>
      <w:r>
        <w:t xml:space="preserve"> (s 26A(2)). </w:t>
      </w:r>
      <w:r w:rsidR="005839A0">
        <w:t>Such a</w:t>
      </w:r>
      <w:r w:rsidR="00BB0A82">
        <w:t xml:space="preserve">rrangements have been </w:t>
      </w:r>
      <w:r w:rsidR="005839A0">
        <w:t xml:space="preserve">made </w:t>
      </w:r>
      <w:r w:rsidR="002E2883">
        <w:t xml:space="preserve">to facilitate consultation </w:t>
      </w:r>
      <w:r w:rsidR="002E2883" w:rsidRPr="00C23A30">
        <w:t>where this is required</w:t>
      </w:r>
      <w:r w:rsidR="005839A0">
        <w:t xml:space="preserve"> </w:t>
      </w:r>
      <w:r w:rsidR="00BB0A82">
        <w:t>under s</w:t>
      </w:r>
      <w:r w:rsidR="007C4A07">
        <w:t> </w:t>
      </w:r>
      <w:r w:rsidR="00BB0A82">
        <w:t>26A</w:t>
      </w:r>
      <w:r w:rsidR="002E2883">
        <w:t xml:space="preserve">. </w:t>
      </w:r>
      <w:r w:rsidR="005839A0" w:rsidRPr="00C23A30">
        <w:t>Agreement has been obtained from the States that all correspondence and</w:t>
      </w:r>
      <w:r w:rsidR="005839A0">
        <w:t xml:space="preserve"> </w:t>
      </w:r>
      <w:r w:rsidR="005839A0" w:rsidRPr="00C23A30">
        <w:t xml:space="preserve">communication should, at first instance, </w:t>
      </w:r>
      <w:r w:rsidR="004740E5">
        <w:t>be with</w:t>
      </w:r>
      <w:r w:rsidR="005839A0" w:rsidRPr="00C23A30">
        <w:t xml:space="preserve"> the delegated FOI contact officer</w:t>
      </w:r>
      <w:r w:rsidR="005839A0">
        <w:t xml:space="preserve"> </w:t>
      </w:r>
      <w:r w:rsidR="005839A0" w:rsidRPr="00C23A30">
        <w:t>of the particular agency and not directly to the author or action officer whose name</w:t>
      </w:r>
      <w:r w:rsidR="005839A0">
        <w:t xml:space="preserve"> </w:t>
      </w:r>
      <w:r w:rsidR="005839A0" w:rsidRPr="00C23A30">
        <w:t xml:space="preserve">may appear </w:t>
      </w:r>
      <w:r w:rsidR="004740E5">
        <w:t>i</w:t>
      </w:r>
      <w:r w:rsidR="005839A0" w:rsidRPr="00C23A30">
        <w:t>n the document. This proce</w:t>
      </w:r>
      <w:r w:rsidR="004740E5">
        <w:t>ss</w:t>
      </w:r>
      <w:r w:rsidR="005839A0" w:rsidRPr="00C23A30">
        <w:t xml:space="preserve"> has been put in place to ensure FOI</w:t>
      </w:r>
      <w:r w:rsidR="005839A0">
        <w:t xml:space="preserve"> </w:t>
      </w:r>
      <w:r w:rsidR="005839A0" w:rsidRPr="00C23A30">
        <w:t>requests are appropriately received and monitored, and to minimise inconsistency</w:t>
      </w:r>
      <w:r w:rsidR="005839A0">
        <w:t xml:space="preserve"> </w:t>
      </w:r>
      <w:r w:rsidR="005839A0" w:rsidRPr="00C23A30">
        <w:t xml:space="preserve">across jurisdictions </w:t>
      </w:r>
      <w:r w:rsidR="004740E5">
        <w:t>if</w:t>
      </w:r>
      <w:r w:rsidR="005839A0" w:rsidRPr="00C23A30">
        <w:t xml:space="preserve"> a</w:t>
      </w:r>
      <w:r w:rsidR="003A3F31">
        <w:t xml:space="preserve"> person</w:t>
      </w:r>
      <w:r w:rsidR="005839A0" w:rsidRPr="00C23A30">
        <w:t xml:space="preserve"> makes FOI requests across several</w:t>
      </w:r>
      <w:r w:rsidR="005839A0">
        <w:t xml:space="preserve"> </w:t>
      </w:r>
      <w:r w:rsidR="004740E5">
        <w:t xml:space="preserve">Australian Government </w:t>
      </w:r>
      <w:r w:rsidR="005839A0" w:rsidRPr="00C23A30">
        <w:t>and State agencies.</w:t>
      </w:r>
    </w:p>
    <w:p w14:paraId="2AE91EC9" w14:textId="75D3F67D" w:rsidR="00BB0A82" w:rsidRPr="007500E4" w:rsidRDefault="00BB0A82" w:rsidP="00901310">
      <w:pPr>
        <w:pStyle w:val="NumberedParagraphs"/>
        <w:ind w:left="567"/>
      </w:pPr>
      <w:r w:rsidRPr="007500E4">
        <w:t>Part</w:t>
      </w:r>
      <w:r w:rsidRPr="00DD07E1">
        <w:t xml:space="preserve"> </w:t>
      </w:r>
      <w:r w:rsidRPr="007500E4">
        <w:t>3</w:t>
      </w:r>
      <w:r w:rsidRPr="00DD07E1">
        <w:t xml:space="preserve"> provides </w:t>
      </w:r>
      <w:r w:rsidR="005839A0">
        <w:t xml:space="preserve">information about </w:t>
      </w:r>
      <w:r w:rsidRPr="00DD07E1">
        <w:t>consultation</w:t>
      </w:r>
      <w:r w:rsidR="005839A0">
        <w:t>, including consultation</w:t>
      </w:r>
      <w:r w:rsidRPr="00DD07E1">
        <w:t xml:space="preserve"> with </w:t>
      </w:r>
      <w:r w:rsidRPr="007500E4">
        <w:t>a</w:t>
      </w:r>
      <w:r w:rsidRPr="00DD07E1">
        <w:t xml:space="preserve"> State</w:t>
      </w:r>
      <w:r>
        <w:t xml:space="preserve"> </w:t>
      </w:r>
      <w:r w:rsidRPr="007500E4">
        <w:t>or</w:t>
      </w:r>
      <w:r w:rsidRPr="00DD07E1">
        <w:t xml:space="preserve"> </w:t>
      </w:r>
      <w:r w:rsidRPr="007500E4">
        <w:t>an</w:t>
      </w:r>
      <w:r w:rsidRPr="00DD07E1">
        <w:t xml:space="preserve"> </w:t>
      </w:r>
      <w:r w:rsidRPr="007500E4">
        <w:t>authority</w:t>
      </w:r>
      <w:r w:rsidRPr="00DD07E1">
        <w:t xml:space="preserve"> </w:t>
      </w:r>
      <w:r w:rsidRPr="007500E4">
        <w:t>of</w:t>
      </w:r>
      <w:r w:rsidRPr="00DD07E1">
        <w:t xml:space="preserve"> </w:t>
      </w:r>
      <w:r w:rsidRPr="007500E4">
        <w:t>a</w:t>
      </w:r>
      <w:r w:rsidRPr="00DD07E1">
        <w:t xml:space="preserve"> State</w:t>
      </w:r>
      <w:r w:rsidR="00024681">
        <w:t xml:space="preserve">. Part 3 also provides further information in relation to </w:t>
      </w:r>
      <w:r w:rsidRPr="007500E4">
        <w:t>advising</w:t>
      </w:r>
      <w:r w:rsidRPr="00DD07E1">
        <w:t xml:space="preserve"> </w:t>
      </w:r>
      <w:r w:rsidRPr="007500E4">
        <w:t>the</w:t>
      </w:r>
      <w:r w:rsidRPr="00DD07E1">
        <w:t xml:space="preserve"> State</w:t>
      </w:r>
      <w:r w:rsidR="00024681">
        <w:t xml:space="preserve"> or </w:t>
      </w:r>
      <w:r w:rsidRPr="00DD07E1">
        <w:t>State authority</w:t>
      </w:r>
      <w:r w:rsidRPr="007500E4">
        <w:t xml:space="preserve"> </w:t>
      </w:r>
      <w:r w:rsidRPr="00DD07E1">
        <w:t xml:space="preserve">of </w:t>
      </w:r>
      <w:r w:rsidRPr="007500E4">
        <w:t>the</w:t>
      </w:r>
      <w:r w:rsidRPr="00DD07E1">
        <w:t xml:space="preserve"> </w:t>
      </w:r>
      <w:r w:rsidR="00024681">
        <w:t xml:space="preserve">FOI </w:t>
      </w:r>
      <w:r w:rsidRPr="00DD07E1">
        <w:t>decision</w:t>
      </w:r>
      <w:r w:rsidR="00024681">
        <w:t>,</w:t>
      </w:r>
      <w:r w:rsidRPr="00DD07E1">
        <w:t xml:space="preserve"> review rights and applicable timeframes. </w:t>
      </w:r>
      <w:r w:rsidRPr="007500E4">
        <w:t>The</w:t>
      </w:r>
      <w:r w:rsidRPr="00DD07E1">
        <w:t xml:space="preserve"> State, </w:t>
      </w:r>
      <w:r w:rsidRPr="007500E4">
        <w:t>or</w:t>
      </w:r>
      <w:r w:rsidRPr="00DD07E1">
        <w:t xml:space="preserve"> </w:t>
      </w:r>
      <w:r w:rsidR="00024681">
        <w:lastRenderedPageBreak/>
        <w:t xml:space="preserve">authority of the State </w:t>
      </w:r>
      <w:r w:rsidRPr="007500E4">
        <w:t>may</w:t>
      </w:r>
      <w:r w:rsidRPr="00DD07E1">
        <w:t xml:space="preserve"> apply </w:t>
      </w:r>
      <w:r w:rsidRPr="007500E4">
        <w:t>for</w:t>
      </w:r>
      <w:r w:rsidRPr="00DD07E1">
        <w:t xml:space="preserve"> internal </w:t>
      </w:r>
      <w:r w:rsidRPr="007500E4">
        <w:t>review</w:t>
      </w:r>
      <w:r w:rsidRPr="00DD07E1">
        <w:t xml:space="preserve"> or </w:t>
      </w:r>
      <w:r w:rsidRPr="007500E4">
        <w:t>IC</w:t>
      </w:r>
      <w:r w:rsidRPr="00DD07E1">
        <w:t xml:space="preserve"> review </w:t>
      </w:r>
      <w:r w:rsidR="00024681">
        <w:t>if</w:t>
      </w:r>
      <w:r w:rsidRPr="00DD07E1">
        <w:t xml:space="preserve"> it</w:t>
      </w:r>
      <w:r w:rsidRPr="00DD07E1">
        <w:rPr>
          <w:w w:val="99"/>
        </w:rPr>
        <w:t xml:space="preserve"> </w:t>
      </w:r>
      <w:r w:rsidRPr="007500E4">
        <w:rPr>
          <w:rFonts w:cs="Calibri"/>
        </w:rPr>
        <w:t>disagrees</w:t>
      </w:r>
      <w:r w:rsidRPr="00DD07E1">
        <w:rPr>
          <w:rFonts w:cs="Calibri"/>
        </w:rPr>
        <w:t xml:space="preserve"> with </w:t>
      </w:r>
      <w:r w:rsidRPr="007500E4">
        <w:rPr>
          <w:rFonts w:cs="Calibri"/>
        </w:rPr>
        <w:t>the</w:t>
      </w:r>
      <w:r w:rsidRPr="00DD07E1">
        <w:rPr>
          <w:rFonts w:cs="Calibri"/>
        </w:rPr>
        <w:t xml:space="preserve"> </w:t>
      </w:r>
      <w:proofErr w:type="gramStart"/>
      <w:r w:rsidRPr="00DD07E1">
        <w:rPr>
          <w:rFonts w:cs="Calibri"/>
        </w:rPr>
        <w:t>agency</w:t>
      </w:r>
      <w:r w:rsidR="00024681">
        <w:rPr>
          <w:rFonts w:cs="Calibri"/>
        </w:rPr>
        <w:t>’s</w:t>
      </w:r>
      <w:proofErr w:type="gramEnd"/>
      <w:r w:rsidR="00024681">
        <w:rPr>
          <w:rFonts w:cs="Calibri"/>
        </w:rPr>
        <w:t xml:space="preserve"> or minister’s </w:t>
      </w:r>
      <w:r w:rsidRPr="00DD07E1">
        <w:rPr>
          <w:rFonts w:cs="Calibri"/>
        </w:rPr>
        <w:t xml:space="preserve">access </w:t>
      </w:r>
      <w:r w:rsidRPr="007500E4">
        <w:rPr>
          <w:rFonts w:cs="Calibri"/>
        </w:rPr>
        <w:t>grant</w:t>
      </w:r>
      <w:r w:rsidRPr="00DD07E1">
        <w:rPr>
          <w:rFonts w:cs="Calibri"/>
        </w:rPr>
        <w:t xml:space="preserve"> decision (s</w:t>
      </w:r>
      <w:r w:rsidRPr="00DD07E1">
        <w:t xml:space="preserve">s </w:t>
      </w:r>
      <w:r w:rsidRPr="007500E4">
        <w:t>54</w:t>
      </w:r>
      <w:r w:rsidR="00024681">
        <w:t>B and</w:t>
      </w:r>
      <w:r w:rsidRPr="007500E4">
        <w:t xml:space="preserve"> </w:t>
      </w:r>
      <w:r w:rsidRPr="00DD07E1">
        <w:t>54M).</w:t>
      </w:r>
    </w:p>
    <w:p w14:paraId="4C4ED4E5" w14:textId="5679C7FD" w:rsidR="00BB0A82" w:rsidRPr="007500E4" w:rsidRDefault="00BB0A82" w:rsidP="00901310">
      <w:pPr>
        <w:pStyle w:val="NumberedParagraphs"/>
        <w:ind w:left="567"/>
      </w:pPr>
      <w:r w:rsidRPr="00DD07E1">
        <w:t xml:space="preserve">Formal consultation under s 26A </w:t>
      </w:r>
      <w:r w:rsidR="00024681">
        <w:t xml:space="preserve">extends the timeframe for </w:t>
      </w:r>
      <w:r w:rsidR="001618F1">
        <w:t xml:space="preserve">deciding </w:t>
      </w:r>
      <w:r w:rsidR="00024681">
        <w:t xml:space="preserve">an FOI request by </w:t>
      </w:r>
      <w:r w:rsidRPr="007500E4">
        <w:t>30</w:t>
      </w:r>
      <w:r w:rsidRPr="00DD07E1">
        <w:t xml:space="preserve"> days (s 15(6)). The Information Commissioner recommends that consultation be undertaken </w:t>
      </w:r>
      <w:r w:rsidRPr="007500E4">
        <w:t>at</w:t>
      </w:r>
      <w:r w:rsidRPr="00DD07E1">
        <w:t xml:space="preserve"> </w:t>
      </w:r>
      <w:r w:rsidRPr="007500E4">
        <w:t>an</w:t>
      </w:r>
      <w:r w:rsidRPr="00DD07E1">
        <w:t xml:space="preserve"> </w:t>
      </w:r>
      <w:r w:rsidRPr="007500E4">
        <w:t>early</w:t>
      </w:r>
      <w:r w:rsidRPr="00DD07E1">
        <w:t xml:space="preserve"> stage </w:t>
      </w:r>
      <w:r w:rsidRPr="007500E4">
        <w:t>in</w:t>
      </w:r>
      <w:r w:rsidRPr="00DD07E1">
        <w:t xml:space="preserve"> processing </w:t>
      </w:r>
      <w:r w:rsidRPr="007500E4">
        <w:t>a</w:t>
      </w:r>
      <w:r w:rsidRPr="00DD07E1">
        <w:t xml:space="preserve"> request, that </w:t>
      </w:r>
      <w:r w:rsidRPr="007500E4">
        <w:t>is,</w:t>
      </w:r>
      <w:r w:rsidRPr="00DD07E1">
        <w:t xml:space="preserve"> when the</w:t>
      </w:r>
      <w:r w:rsidRPr="007500E4">
        <w:t xml:space="preserve"> agency</w:t>
      </w:r>
      <w:r w:rsidRPr="00DD07E1">
        <w:t xml:space="preserve"> </w:t>
      </w:r>
      <w:r w:rsidRPr="007500E4">
        <w:t>is</w:t>
      </w:r>
      <w:r w:rsidRPr="00DD07E1">
        <w:t xml:space="preserve"> gathering information that would show whether the documents </w:t>
      </w:r>
      <w:r w:rsidR="00024681">
        <w:t>a</w:t>
      </w:r>
      <w:r w:rsidRPr="00DD07E1">
        <w:t>re</w:t>
      </w:r>
      <w:r w:rsidRPr="00DD07E1">
        <w:rPr>
          <w:w w:val="99"/>
        </w:rPr>
        <w:t xml:space="preserve"> </w:t>
      </w:r>
      <w:r w:rsidRPr="00DD07E1">
        <w:t xml:space="preserve">conditionally exempt under </w:t>
      </w:r>
      <w:r w:rsidRPr="007500E4">
        <w:t>s</w:t>
      </w:r>
      <w:r w:rsidR="00024681">
        <w:t> </w:t>
      </w:r>
      <w:r w:rsidRPr="00DD07E1">
        <w:t>47B.</w:t>
      </w:r>
    </w:p>
    <w:p w14:paraId="074A20CC" w14:textId="77777777" w:rsidR="00BB0A82" w:rsidRPr="004827E2" w:rsidRDefault="00BB0A82" w:rsidP="00BB0A82">
      <w:pPr>
        <w:pStyle w:val="Heading3"/>
      </w:pPr>
      <w:bookmarkStart w:id="64" w:name="_bookmark22"/>
      <w:bookmarkStart w:id="65" w:name="_Toc11154476"/>
      <w:bookmarkStart w:id="66" w:name="_Toc141875207"/>
      <w:bookmarkEnd w:id="64"/>
      <w:r w:rsidRPr="004827E2">
        <w:t>Consultation comments to be considered when assessing conditional exemption</w:t>
      </w:r>
      <w:bookmarkEnd w:id="65"/>
      <w:bookmarkEnd w:id="66"/>
    </w:p>
    <w:p w14:paraId="41D8F026" w14:textId="3EB3689F" w:rsidR="00BB0A82" w:rsidRPr="007500E4" w:rsidRDefault="00BB0A82" w:rsidP="00901310">
      <w:pPr>
        <w:pStyle w:val="NumberedParagraphs"/>
        <w:ind w:left="567"/>
      </w:pPr>
      <w:r w:rsidRPr="007500E4">
        <w:t>The</w:t>
      </w:r>
      <w:r w:rsidRPr="00DD07E1">
        <w:t xml:space="preserve"> </w:t>
      </w:r>
      <w:r w:rsidRPr="007500E4">
        <w:t>decision</w:t>
      </w:r>
      <w:r w:rsidRPr="00DD07E1">
        <w:t xml:space="preserve"> maker must </w:t>
      </w:r>
      <w:proofErr w:type="gramStart"/>
      <w:r w:rsidRPr="00DD07E1">
        <w:t>take into account</w:t>
      </w:r>
      <w:proofErr w:type="gramEnd"/>
      <w:r w:rsidRPr="00DD07E1">
        <w:t xml:space="preserve"> any </w:t>
      </w:r>
      <w:r w:rsidRPr="007500E4">
        <w:t>concerns</w:t>
      </w:r>
      <w:r w:rsidRPr="00DD07E1">
        <w:t xml:space="preserve"> raised </w:t>
      </w:r>
      <w:r w:rsidRPr="007500E4">
        <w:t>by</w:t>
      </w:r>
      <w:r w:rsidRPr="00DD07E1">
        <w:t xml:space="preserve"> </w:t>
      </w:r>
      <w:r w:rsidRPr="007500E4">
        <w:t>the</w:t>
      </w:r>
      <w:r w:rsidRPr="00DD07E1">
        <w:t xml:space="preserve"> consulted </w:t>
      </w:r>
      <w:r w:rsidRPr="007500E4">
        <w:t>State</w:t>
      </w:r>
      <w:r w:rsidR="005327C2">
        <w:t>,</w:t>
      </w:r>
      <w:r w:rsidRPr="00DD07E1">
        <w:t xml:space="preserve"> </w:t>
      </w:r>
      <w:r w:rsidRPr="007500E4">
        <w:t>or</w:t>
      </w:r>
      <w:r w:rsidRPr="00DD07E1">
        <w:t xml:space="preserve"> State</w:t>
      </w:r>
      <w:r w:rsidR="007948CB">
        <w:t xml:space="preserve"> or Norfolk Island</w:t>
      </w:r>
      <w:r w:rsidRPr="00DD07E1">
        <w:t xml:space="preserve"> authority. </w:t>
      </w:r>
      <w:r w:rsidRPr="007500E4">
        <w:t>The</w:t>
      </w:r>
      <w:r w:rsidRPr="00DD07E1">
        <w:t xml:space="preserve"> consulted authority </w:t>
      </w:r>
      <w:r w:rsidRPr="007500E4">
        <w:t>does</w:t>
      </w:r>
      <w:r w:rsidRPr="00DD07E1">
        <w:t xml:space="preserve"> not have the right </w:t>
      </w:r>
      <w:r w:rsidRPr="007500E4">
        <w:t>to</w:t>
      </w:r>
      <w:r w:rsidRPr="00DD07E1">
        <w:t xml:space="preserve"> </w:t>
      </w:r>
      <w:r w:rsidRPr="007500E4">
        <w:t>veto</w:t>
      </w:r>
      <w:r w:rsidRPr="00DD07E1">
        <w:t xml:space="preserve"> access </w:t>
      </w:r>
      <w:r w:rsidRPr="007500E4">
        <w:t>and</w:t>
      </w:r>
      <w:r w:rsidRPr="00DD07E1">
        <w:t xml:space="preserve"> agencies </w:t>
      </w:r>
      <w:r w:rsidR="005327C2">
        <w:t xml:space="preserve">and ministers </w:t>
      </w:r>
      <w:r w:rsidRPr="00DD07E1">
        <w:t>should take care that the</w:t>
      </w:r>
      <w:r w:rsidR="009E11C4">
        <w:t xml:space="preserve"> State or </w:t>
      </w:r>
      <w:r w:rsidRPr="00DD07E1">
        <w:t xml:space="preserve">authority </w:t>
      </w:r>
      <w:r w:rsidRPr="007500E4">
        <w:t>is</w:t>
      </w:r>
      <w:r w:rsidRPr="00DD07E1">
        <w:t xml:space="preserve"> not under such </w:t>
      </w:r>
      <w:r w:rsidRPr="007500E4">
        <w:t>a</w:t>
      </w:r>
      <w:r w:rsidRPr="00DD07E1">
        <w:t xml:space="preserve"> misapprehension. </w:t>
      </w:r>
      <w:r w:rsidRPr="007500E4">
        <w:t>All</w:t>
      </w:r>
      <w:r w:rsidRPr="00DD07E1">
        <w:t xml:space="preserve"> other relevant considerations should </w:t>
      </w:r>
      <w:r w:rsidRPr="007500E4">
        <w:t>be</w:t>
      </w:r>
      <w:r w:rsidRPr="00DD07E1">
        <w:t xml:space="preserve"> </w:t>
      </w:r>
      <w:proofErr w:type="gramStart"/>
      <w:r w:rsidRPr="00DD07E1">
        <w:t>taken into account</w:t>
      </w:r>
      <w:proofErr w:type="gramEnd"/>
      <w:r w:rsidRPr="00DD07E1">
        <w:t xml:space="preserve"> to </w:t>
      </w:r>
      <w:r w:rsidRPr="007500E4">
        <w:t>ensure</w:t>
      </w:r>
      <w:r w:rsidRPr="00DD07E1">
        <w:t xml:space="preserve"> </w:t>
      </w:r>
      <w:r w:rsidRPr="007500E4">
        <w:t xml:space="preserve">a </w:t>
      </w:r>
      <w:r w:rsidRPr="00DD07E1">
        <w:t xml:space="preserve">sound decision </w:t>
      </w:r>
      <w:r w:rsidRPr="007500E4">
        <w:t>is</w:t>
      </w:r>
      <w:r w:rsidRPr="00DD07E1">
        <w:t xml:space="preserve"> made.</w:t>
      </w:r>
    </w:p>
    <w:p w14:paraId="3A81CAEE" w14:textId="2CCA6F1D" w:rsidR="00BB0A82" w:rsidRPr="007500E4" w:rsidRDefault="00BB0A82" w:rsidP="00901310">
      <w:pPr>
        <w:pStyle w:val="NumberedParagraphs"/>
        <w:ind w:left="567"/>
      </w:pPr>
      <w:r w:rsidRPr="007500E4">
        <w:t>The</w:t>
      </w:r>
      <w:r w:rsidRPr="00DD07E1">
        <w:t xml:space="preserve"> information provided during the consultation can </w:t>
      </w:r>
      <w:r w:rsidRPr="007500E4">
        <w:t>assist</w:t>
      </w:r>
      <w:r w:rsidRPr="00DD07E1">
        <w:t xml:space="preserve"> </w:t>
      </w:r>
      <w:r w:rsidRPr="007500E4">
        <w:t>the</w:t>
      </w:r>
      <w:r w:rsidRPr="00DD07E1">
        <w:t xml:space="preserve"> </w:t>
      </w:r>
      <w:r w:rsidRPr="007500E4">
        <w:t>decision</w:t>
      </w:r>
      <w:r w:rsidRPr="00DD07E1">
        <w:t xml:space="preserve"> maker </w:t>
      </w:r>
      <w:r w:rsidRPr="007500E4">
        <w:t>in</w:t>
      </w:r>
      <w:r w:rsidRPr="00DD07E1">
        <w:t xml:space="preserve"> </w:t>
      </w:r>
      <w:r w:rsidRPr="007500E4">
        <w:t>assessing</w:t>
      </w:r>
      <w:r w:rsidRPr="00DD07E1">
        <w:t xml:space="preserve"> whether the document contain</w:t>
      </w:r>
      <w:r w:rsidR="009E11C4">
        <w:t>s</w:t>
      </w:r>
      <w:r w:rsidRPr="00DD07E1">
        <w:t xml:space="preserve"> material that concerns Commonwealth-State relations, and </w:t>
      </w:r>
      <w:r w:rsidRPr="007500E4">
        <w:t>to</w:t>
      </w:r>
      <w:r w:rsidRPr="00DD07E1">
        <w:t xml:space="preserve"> </w:t>
      </w:r>
      <w:r w:rsidRPr="007500E4">
        <w:t>assess</w:t>
      </w:r>
      <w:r w:rsidRPr="00DD07E1">
        <w:t xml:space="preserve"> what damage, if any, could occur from</w:t>
      </w:r>
      <w:r w:rsidRPr="00DD07E1">
        <w:rPr>
          <w:w w:val="99"/>
        </w:rPr>
        <w:t xml:space="preserve"> </w:t>
      </w:r>
      <w:r w:rsidRPr="00DD07E1">
        <w:t>disclosure.</w:t>
      </w:r>
    </w:p>
    <w:p w14:paraId="1E0982AF" w14:textId="5BA5190D" w:rsidR="00BB0A82" w:rsidRPr="004827E2" w:rsidRDefault="00BB0A82" w:rsidP="00C162C6">
      <w:pPr>
        <w:pStyle w:val="Heading2"/>
        <w:spacing w:before="240"/>
      </w:pPr>
      <w:bookmarkStart w:id="67" w:name="Consultation_comments_to_be_considered_w"/>
      <w:bookmarkStart w:id="68" w:name="_bookmark23"/>
      <w:bookmarkStart w:id="69" w:name="_bookmark24"/>
      <w:bookmarkStart w:id="70" w:name="Deliberative_processes"/>
      <w:bookmarkStart w:id="71" w:name="_bookmark25"/>
      <w:bookmarkStart w:id="72" w:name="_Toc11154478"/>
      <w:bookmarkStart w:id="73" w:name="_Toc141875208"/>
      <w:bookmarkEnd w:id="67"/>
      <w:bookmarkEnd w:id="68"/>
      <w:bookmarkEnd w:id="69"/>
      <w:bookmarkEnd w:id="70"/>
      <w:bookmarkEnd w:id="71"/>
      <w:r w:rsidRPr="004827E2">
        <w:t>Documents subject to deliberative processes (s</w:t>
      </w:r>
      <w:r w:rsidR="004827E2">
        <w:t> </w:t>
      </w:r>
      <w:r w:rsidRPr="004827E2">
        <w:t>47C)</w:t>
      </w:r>
      <w:bookmarkEnd w:id="72"/>
      <w:bookmarkEnd w:id="73"/>
    </w:p>
    <w:p w14:paraId="6DE729AC" w14:textId="77777777" w:rsidR="00BB0A82" w:rsidRPr="007500E4" w:rsidRDefault="00BB0A82" w:rsidP="00901310">
      <w:pPr>
        <w:pStyle w:val="NumberedParagraphs"/>
        <w:ind w:left="567"/>
      </w:pPr>
      <w:bookmarkStart w:id="74" w:name="_bookmark26"/>
      <w:bookmarkStart w:id="75" w:name="_Ref457390820"/>
      <w:bookmarkStart w:id="76" w:name="_Ref459110891"/>
      <w:bookmarkEnd w:id="74"/>
      <w:r w:rsidRPr="007500E4">
        <w:t>Section 47C conditionally exempts document</w:t>
      </w:r>
      <w:r w:rsidRPr="00DD07E1">
        <w:t xml:space="preserve">s containing deliberative matter. Deliberative matter </w:t>
      </w:r>
      <w:r w:rsidRPr="007500E4">
        <w:t>is</w:t>
      </w:r>
      <w:r w:rsidRPr="00DD07E1">
        <w:t xml:space="preserve"> content that </w:t>
      </w:r>
      <w:r w:rsidRPr="007500E4">
        <w:t>is</w:t>
      </w:r>
      <w:r w:rsidRPr="00DD07E1">
        <w:t xml:space="preserve"> </w:t>
      </w:r>
      <w:r w:rsidRPr="007500E4">
        <w:t>in</w:t>
      </w:r>
      <w:r w:rsidRPr="00DD07E1">
        <w:t xml:space="preserve"> the nature </w:t>
      </w:r>
      <w:r w:rsidRPr="007500E4">
        <w:t>of,</w:t>
      </w:r>
      <w:r w:rsidRPr="00DD07E1">
        <w:t xml:space="preserve"> </w:t>
      </w:r>
      <w:r w:rsidRPr="007500E4">
        <w:t>or</w:t>
      </w:r>
      <w:r w:rsidRPr="00DD07E1">
        <w:t xml:space="preserve"> relating </w:t>
      </w:r>
      <w:r w:rsidRPr="007500E4">
        <w:t>to</w:t>
      </w:r>
      <w:r w:rsidRPr="00DD07E1">
        <w:t xml:space="preserve"> either:</w:t>
      </w:r>
      <w:bookmarkEnd w:id="75"/>
      <w:bookmarkEnd w:id="76"/>
    </w:p>
    <w:p w14:paraId="58368ADE" w14:textId="4D349B5C" w:rsidR="00BB0A82" w:rsidRPr="007500E4" w:rsidRDefault="00BB0A82" w:rsidP="00202DAE">
      <w:pPr>
        <w:pStyle w:val="IndentBullet1"/>
        <w:ind w:left="851" w:hanging="284"/>
      </w:pPr>
      <w:r w:rsidRPr="007500E4">
        <w:t>an</w:t>
      </w:r>
      <w:r w:rsidRPr="00DD07E1">
        <w:t xml:space="preserve"> opinion, advice or recommendation</w:t>
      </w:r>
      <w:r w:rsidRPr="007500E4">
        <w:t xml:space="preserve"> </w:t>
      </w:r>
      <w:r w:rsidRPr="00DD07E1">
        <w:t xml:space="preserve">that </w:t>
      </w:r>
      <w:r w:rsidRPr="007500E4">
        <w:t>has</w:t>
      </w:r>
      <w:r w:rsidRPr="00DD07E1">
        <w:t xml:space="preserve"> been obtained, prepared </w:t>
      </w:r>
      <w:r w:rsidRPr="007500E4">
        <w:t>or</w:t>
      </w:r>
      <w:r w:rsidRPr="00DD07E1">
        <w:rPr>
          <w:w w:val="99"/>
        </w:rPr>
        <w:t xml:space="preserve"> </w:t>
      </w:r>
      <w:r w:rsidRPr="00DD07E1">
        <w:t>recorded or</w:t>
      </w:r>
    </w:p>
    <w:p w14:paraId="3F7A4954" w14:textId="77777777" w:rsidR="00BB0A82" w:rsidRPr="007500E4" w:rsidRDefault="00BB0A82" w:rsidP="00202DAE">
      <w:pPr>
        <w:pStyle w:val="IndentBullet1"/>
        <w:ind w:left="851" w:hanging="284"/>
      </w:pPr>
      <w:r w:rsidRPr="007500E4">
        <w:t>a</w:t>
      </w:r>
      <w:r w:rsidRPr="00DD07E1">
        <w:t xml:space="preserve"> consultation </w:t>
      </w:r>
      <w:r w:rsidRPr="007500E4">
        <w:t>or</w:t>
      </w:r>
      <w:r w:rsidRPr="00DD07E1">
        <w:t xml:space="preserve"> deliberation</w:t>
      </w:r>
      <w:r w:rsidRPr="007500E4">
        <w:t xml:space="preserve"> </w:t>
      </w:r>
      <w:r w:rsidRPr="00DD07E1">
        <w:t xml:space="preserve">that </w:t>
      </w:r>
      <w:r w:rsidRPr="007500E4">
        <w:t>has</w:t>
      </w:r>
      <w:r w:rsidRPr="00DD07E1">
        <w:t xml:space="preserve"> taken place,</w:t>
      </w:r>
      <w:r w:rsidRPr="007500E4">
        <w:t xml:space="preserve"> in</w:t>
      </w:r>
      <w:r w:rsidRPr="00DD07E1">
        <w:t xml:space="preserve"> the course </w:t>
      </w:r>
      <w:r w:rsidRPr="007500E4">
        <w:t>of,</w:t>
      </w:r>
      <w:r w:rsidRPr="00DD07E1">
        <w:t xml:space="preserve"> </w:t>
      </w:r>
      <w:r w:rsidRPr="007500E4">
        <w:t>or</w:t>
      </w:r>
      <w:r w:rsidRPr="00DD07E1">
        <w:t xml:space="preserve"> </w:t>
      </w:r>
      <w:r w:rsidRPr="007500E4">
        <w:t>for</w:t>
      </w:r>
      <w:r w:rsidRPr="00DD07E1">
        <w:t xml:space="preserve"> the purposes of, </w:t>
      </w:r>
      <w:r w:rsidRPr="007500E4">
        <w:t>a</w:t>
      </w:r>
      <w:r w:rsidRPr="00DD07E1">
        <w:t xml:space="preserve"> </w:t>
      </w:r>
      <w:r w:rsidRPr="007500E4">
        <w:t>deliberative</w:t>
      </w:r>
      <w:r w:rsidRPr="00DD07E1">
        <w:t xml:space="preserve"> process of </w:t>
      </w:r>
      <w:r w:rsidRPr="007500E4">
        <w:t>the</w:t>
      </w:r>
      <w:r w:rsidRPr="00DD07E1">
        <w:t xml:space="preserve"> government, an agency </w:t>
      </w:r>
      <w:r w:rsidRPr="007500E4">
        <w:t>or</w:t>
      </w:r>
      <w:r w:rsidRPr="00DD07E1">
        <w:rPr>
          <w:w w:val="99"/>
        </w:rPr>
        <w:t xml:space="preserve"> </w:t>
      </w:r>
      <w:r w:rsidRPr="007500E4">
        <w:t>minister</w:t>
      </w:r>
      <w:r w:rsidRPr="00DD07E1">
        <w:t xml:space="preserve"> (s</w:t>
      </w:r>
      <w:r>
        <w:t> </w:t>
      </w:r>
      <w:r w:rsidRPr="00DD07E1">
        <w:t>47</w:t>
      </w:r>
      <w:proofErr w:type="gramStart"/>
      <w:r w:rsidRPr="00DD07E1">
        <w:t>C(</w:t>
      </w:r>
      <w:proofErr w:type="gramEnd"/>
      <w:r w:rsidRPr="00DD07E1">
        <w:t>1)).</w:t>
      </w:r>
    </w:p>
    <w:p w14:paraId="515BFDD2" w14:textId="128E37C3" w:rsidR="00BB0A82" w:rsidRPr="007500E4" w:rsidRDefault="00BB0A82" w:rsidP="00901310">
      <w:pPr>
        <w:pStyle w:val="NumberedParagraphs"/>
        <w:ind w:left="567"/>
        <w:rPr>
          <w:sz w:val="16"/>
          <w:szCs w:val="16"/>
        </w:rPr>
      </w:pPr>
      <w:r w:rsidRPr="00DD07E1">
        <w:t xml:space="preserve">Deliberative matter does not include operational </w:t>
      </w:r>
      <w:r w:rsidRPr="007500E4">
        <w:t>information</w:t>
      </w:r>
      <w:r w:rsidRPr="00DD07E1">
        <w:t xml:space="preserve"> or purely factual </w:t>
      </w:r>
      <w:r w:rsidRPr="007500E4">
        <w:t>material</w:t>
      </w:r>
      <w:r w:rsidRPr="00DD07E1">
        <w:t xml:space="preserve"> (s</w:t>
      </w:r>
      <w:r w:rsidR="00207699">
        <w:t> </w:t>
      </w:r>
      <w:r w:rsidRPr="00DD07E1">
        <w:rPr>
          <w:rFonts w:cs="Calibri"/>
        </w:rPr>
        <w:t>47C(2)).‘</w:t>
      </w:r>
      <w:r w:rsidRPr="00DD07E1">
        <w:t>Operational information</w:t>
      </w:r>
      <w:r w:rsidRPr="00DD07E1">
        <w:rPr>
          <w:rFonts w:cs="Calibri"/>
        </w:rPr>
        <w:t xml:space="preserve">’ </w:t>
      </w:r>
      <w:r w:rsidRPr="007500E4">
        <w:rPr>
          <w:rFonts w:cs="Calibri"/>
        </w:rPr>
        <w:t>is</w:t>
      </w:r>
      <w:r w:rsidRPr="00DD07E1">
        <w:rPr>
          <w:rFonts w:cs="Calibri"/>
        </w:rPr>
        <w:t xml:space="preserve"> defined</w:t>
      </w:r>
      <w:r w:rsidRPr="007500E4">
        <w:rPr>
          <w:rFonts w:cs="Calibri"/>
        </w:rPr>
        <w:t xml:space="preserve"> </w:t>
      </w:r>
      <w:r w:rsidRPr="00DD07E1">
        <w:rPr>
          <w:rFonts w:cs="Calibri"/>
        </w:rPr>
        <w:t>in</w:t>
      </w:r>
      <w:r w:rsidRPr="007500E4">
        <w:rPr>
          <w:rFonts w:cs="Calibri"/>
        </w:rPr>
        <w:t xml:space="preserve"> s</w:t>
      </w:r>
      <w:r w:rsidRPr="00DD07E1">
        <w:rPr>
          <w:rFonts w:cs="Calibri"/>
        </w:rPr>
        <w:t xml:space="preserve"> </w:t>
      </w:r>
      <w:r w:rsidRPr="007500E4">
        <w:rPr>
          <w:rFonts w:cs="Calibri"/>
        </w:rPr>
        <w:t>8A</w:t>
      </w:r>
      <w:r w:rsidRPr="00DD07E1">
        <w:rPr>
          <w:rFonts w:cs="Calibri"/>
        </w:rPr>
        <w:t xml:space="preserve"> and </w:t>
      </w:r>
      <w:r w:rsidRPr="007500E4">
        <w:rPr>
          <w:rFonts w:cs="Calibri"/>
        </w:rPr>
        <w:t>is</w:t>
      </w:r>
      <w:r w:rsidRPr="00DD07E1">
        <w:rPr>
          <w:rFonts w:cs="Calibri"/>
        </w:rPr>
        <w:t xml:space="preserve"> information that </w:t>
      </w:r>
      <w:r w:rsidRPr="007500E4">
        <w:rPr>
          <w:rFonts w:cs="Calibri"/>
        </w:rPr>
        <w:t>an</w:t>
      </w:r>
      <w:r w:rsidRPr="00DD07E1">
        <w:rPr>
          <w:rFonts w:cs="Calibri"/>
        </w:rPr>
        <w:t xml:space="preserve"> </w:t>
      </w:r>
      <w:r w:rsidRPr="007500E4">
        <w:t>agency</w:t>
      </w:r>
      <w:r w:rsidRPr="00DD07E1">
        <w:t xml:space="preserve"> must publish under the</w:t>
      </w:r>
      <w:r w:rsidRPr="007500E4">
        <w:t xml:space="preserve"> </w:t>
      </w:r>
      <w:r w:rsidRPr="00DD07E1">
        <w:t xml:space="preserve">Information </w:t>
      </w:r>
      <w:r w:rsidRPr="007500E4">
        <w:t>Publication</w:t>
      </w:r>
      <w:r w:rsidRPr="00DD07E1">
        <w:t xml:space="preserve"> Scheme (see Part 13 of these Guidelines).</w:t>
      </w:r>
    </w:p>
    <w:p w14:paraId="5125471E" w14:textId="77777777" w:rsidR="00BB0A82" w:rsidRPr="007500E4" w:rsidRDefault="00BB0A82" w:rsidP="00901310">
      <w:pPr>
        <w:pStyle w:val="NumberedParagraphs"/>
        <w:ind w:left="567"/>
      </w:pPr>
      <w:bookmarkStart w:id="77" w:name="_bookmark27"/>
      <w:bookmarkStart w:id="78" w:name="_Ref458496990"/>
      <w:bookmarkEnd w:id="77"/>
      <w:r w:rsidRPr="007500E4">
        <w:t>The</w:t>
      </w:r>
      <w:r w:rsidRPr="00DD07E1">
        <w:t xml:space="preserve"> conditional exemption </w:t>
      </w:r>
      <w:r w:rsidRPr="007500E4">
        <w:t>does</w:t>
      </w:r>
      <w:r w:rsidRPr="00DD07E1">
        <w:t xml:space="preserve"> not apply to:</w:t>
      </w:r>
      <w:bookmarkEnd w:id="78"/>
    </w:p>
    <w:p w14:paraId="0808857A" w14:textId="0931D42F" w:rsidR="00300B5A" w:rsidRPr="004827E2" w:rsidRDefault="00BB0A82" w:rsidP="00C162C6">
      <w:pPr>
        <w:pStyle w:val="List"/>
        <w:numPr>
          <w:ilvl w:val="0"/>
          <w:numId w:val="41"/>
        </w:numPr>
        <w:ind w:left="993" w:hanging="426"/>
      </w:pPr>
      <w:r w:rsidRPr="004827E2">
        <w:t>reports (including reports concerning the results of studies, surveys or tests) of scientific or technical experts, whether employed within an agency or not, including reports expressing the opinions of such experts on scientific or technical matters (</w:t>
      </w:r>
      <w:r w:rsidRPr="006014ED">
        <w:t>see [</w:t>
      </w:r>
      <w:r w:rsidRPr="006014ED">
        <w:fldChar w:fldCharType="begin"/>
      </w:r>
      <w:r w:rsidRPr="006014ED">
        <w:instrText xml:space="preserve"> REF _Ref458496965 \r \h  \* MERGEFORMAT </w:instrText>
      </w:r>
      <w:r w:rsidRPr="006014ED">
        <w:fldChar w:fldCharType="separate"/>
      </w:r>
      <w:r w:rsidR="00A721BB">
        <w:t>6.68</w:t>
      </w:r>
      <w:r w:rsidRPr="006014ED">
        <w:fldChar w:fldCharType="end"/>
      </w:r>
      <w:r w:rsidRPr="006014ED">
        <w:t>]</w:t>
      </w:r>
      <w:proofErr w:type="gramStart"/>
      <w:r w:rsidR="006014ED" w:rsidRPr="006014ED">
        <w:t>–</w:t>
      </w:r>
      <w:r w:rsidR="006014ED">
        <w:t>[</w:t>
      </w:r>
      <w:proofErr w:type="gramEnd"/>
      <w:r w:rsidR="006014ED">
        <w:t>6.70]</w:t>
      </w:r>
      <w:r w:rsidRPr="004827E2">
        <w:t xml:space="preserve"> below)</w:t>
      </w:r>
    </w:p>
    <w:p w14:paraId="0D4A1853" w14:textId="4475D9D7" w:rsidR="00300B5A" w:rsidRPr="004827E2" w:rsidRDefault="00BB0A82" w:rsidP="00C162C6">
      <w:pPr>
        <w:pStyle w:val="List"/>
        <w:numPr>
          <w:ilvl w:val="0"/>
          <w:numId w:val="41"/>
        </w:numPr>
        <w:ind w:left="993" w:hanging="426"/>
      </w:pPr>
      <w:r w:rsidRPr="004827E2">
        <w:t>reports of a body or organisation, prescribed by the regulations, that is established within an agency (currently none are prescribed)</w:t>
      </w:r>
    </w:p>
    <w:p w14:paraId="59FE4BB0" w14:textId="77777777" w:rsidR="00BB0A82" w:rsidRPr="004827E2" w:rsidRDefault="00BB0A82" w:rsidP="00C162C6">
      <w:pPr>
        <w:pStyle w:val="List"/>
        <w:numPr>
          <w:ilvl w:val="0"/>
          <w:numId w:val="41"/>
        </w:numPr>
        <w:ind w:left="993" w:hanging="426"/>
      </w:pPr>
      <w:r w:rsidRPr="004827E2">
        <w:t>the record of, or a formal statement of the reasons for, a final decision given in the exercise of a power or of an adjudicative function (s 47C(3)).</w:t>
      </w:r>
    </w:p>
    <w:p w14:paraId="0BAA76AF" w14:textId="77777777" w:rsidR="00BB0A82" w:rsidRPr="007500E4" w:rsidRDefault="00BB0A82" w:rsidP="00901310">
      <w:pPr>
        <w:pStyle w:val="NumberedParagraphs"/>
        <w:ind w:left="567"/>
      </w:pPr>
      <w:r w:rsidRPr="007500E4">
        <w:t>The</w:t>
      </w:r>
      <w:r w:rsidRPr="00DD07E1">
        <w:t xml:space="preserve"> deliberative processes exemption differs from other conditional exemptions in that no </w:t>
      </w:r>
      <w:r w:rsidRPr="007500E4">
        <w:t>type</w:t>
      </w:r>
      <w:r w:rsidRPr="00DD07E1">
        <w:t xml:space="preserve"> </w:t>
      </w:r>
      <w:r w:rsidRPr="007500E4">
        <w:t>of</w:t>
      </w:r>
      <w:r w:rsidRPr="00DD07E1">
        <w:t xml:space="preserve"> </w:t>
      </w:r>
      <w:r w:rsidRPr="007500E4">
        <w:t>harm</w:t>
      </w:r>
      <w:r w:rsidRPr="00DD07E1">
        <w:t xml:space="preserve"> </w:t>
      </w:r>
      <w:r w:rsidRPr="007500E4">
        <w:t>is</w:t>
      </w:r>
      <w:r w:rsidRPr="00DD07E1">
        <w:t xml:space="preserve"> required </w:t>
      </w:r>
      <w:r w:rsidRPr="007500E4">
        <w:t>to</w:t>
      </w:r>
      <w:r w:rsidRPr="00DD07E1">
        <w:t xml:space="preserve"> result </w:t>
      </w:r>
      <w:r w:rsidRPr="007500E4">
        <w:t>from</w:t>
      </w:r>
      <w:r w:rsidRPr="00DD07E1">
        <w:t xml:space="preserve"> disclosure. The only consideration </w:t>
      </w:r>
      <w:r w:rsidRPr="007500E4">
        <w:t>is</w:t>
      </w:r>
      <w:r w:rsidRPr="00DD07E1">
        <w:t xml:space="preserve"> whether</w:t>
      </w:r>
      <w:r w:rsidRPr="00DD07E1">
        <w:rPr>
          <w:w w:val="99"/>
        </w:rPr>
        <w:t xml:space="preserve"> </w:t>
      </w:r>
      <w:r w:rsidRPr="007500E4">
        <w:t>the</w:t>
      </w:r>
      <w:r w:rsidRPr="00DD07E1">
        <w:t xml:space="preserve"> document includes content of </w:t>
      </w:r>
      <w:r w:rsidRPr="007500E4">
        <w:t>a</w:t>
      </w:r>
      <w:r w:rsidRPr="00DD07E1">
        <w:t xml:space="preserve"> specific </w:t>
      </w:r>
      <w:r w:rsidRPr="007500E4">
        <w:t>type,</w:t>
      </w:r>
      <w:r w:rsidRPr="00DD07E1">
        <w:t xml:space="preserve"> </w:t>
      </w:r>
      <w:r w:rsidRPr="007500E4">
        <w:t>namely</w:t>
      </w:r>
      <w:r w:rsidRPr="00DD07E1">
        <w:t xml:space="preserve"> deliberative matter. </w:t>
      </w:r>
      <w:r w:rsidRPr="007500E4">
        <w:t>If</w:t>
      </w:r>
      <w:r w:rsidRPr="00DD07E1">
        <w:t xml:space="preserve"> </w:t>
      </w:r>
      <w:r w:rsidRPr="007500E4">
        <w:t>a</w:t>
      </w:r>
      <w:r w:rsidRPr="00DD07E1">
        <w:t xml:space="preserve"> document</w:t>
      </w:r>
      <w:r w:rsidRPr="00DD07E1">
        <w:rPr>
          <w:w w:val="99"/>
        </w:rPr>
        <w:t xml:space="preserve"> </w:t>
      </w:r>
      <w:r w:rsidRPr="007500E4">
        <w:t>does</w:t>
      </w:r>
      <w:r w:rsidRPr="00DD07E1">
        <w:t xml:space="preserve"> </w:t>
      </w:r>
      <w:r w:rsidRPr="007500E4">
        <w:t>not</w:t>
      </w:r>
      <w:r w:rsidRPr="00DD07E1">
        <w:t xml:space="preserve"> contain deliberative matter, it cannot be conditionally exempt under this </w:t>
      </w:r>
      <w:r w:rsidRPr="007500E4">
        <w:t>provision,</w:t>
      </w:r>
      <w:r w:rsidRPr="00DD07E1">
        <w:t xml:space="preserve"> regardless </w:t>
      </w:r>
      <w:r w:rsidRPr="007500E4">
        <w:t>of</w:t>
      </w:r>
      <w:r w:rsidRPr="00DD07E1">
        <w:t xml:space="preserve"> any </w:t>
      </w:r>
      <w:r w:rsidRPr="007500E4">
        <w:t>harm</w:t>
      </w:r>
      <w:r w:rsidRPr="00DD07E1">
        <w:t xml:space="preserve"> that </w:t>
      </w:r>
      <w:r w:rsidRPr="007500E4">
        <w:t>may</w:t>
      </w:r>
      <w:r w:rsidRPr="00DD07E1">
        <w:t xml:space="preserve"> result </w:t>
      </w:r>
      <w:r w:rsidRPr="007500E4">
        <w:t>from</w:t>
      </w:r>
      <w:r w:rsidRPr="00DD07E1">
        <w:t xml:space="preserve"> disclosure.</w:t>
      </w:r>
    </w:p>
    <w:p w14:paraId="2597BF96" w14:textId="312F25B2" w:rsidR="00BB0A82" w:rsidRPr="007500E4" w:rsidRDefault="00BB0A82" w:rsidP="00901310">
      <w:pPr>
        <w:pStyle w:val="NumberedParagraphs"/>
        <w:ind w:left="567"/>
      </w:pPr>
      <w:r w:rsidRPr="007500E4">
        <w:lastRenderedPageBreak/>
        <w:t>While</w:t>
      </w:r>
      <w:r w:rsidRPr="00DD07E1">
        <w:t xml:space="preserve"> identifiable harm resulting from disclosure is </w:t>
      </w:r>
      <w:r w:rsidRPr="007500E4">
        <w:t>not</w:t>
      </w:r>
      <w:r w:rsidRPr="00DD07E1">
        <w:t xml:space="preserve"> </w:t>
      </w:r>
      <w:r w:rsidRPr="007500E4">
        <w:t>a</w:t>
      </w:r>
      <w:r w:rsidRPr="00DD07E1">
        <w:t xml:space="preserve"> specific factor </w:t>
      </w:r>
      <w:r w:rsidRPr="007500E4">
        <w:t>in</w:t>
      </w:r>
      <w:r w:rsidRPr="00DD07E1">
        <w:t xml:space="preserve"> determining whether </w:t>
      </w:r>
      <w:r w:rsidRPr="007500E4">
        <w:t>a</w:t>
      </w:r>
      <w:r w:rsidRPr="00DD07E1">
        <w:t xml:space="preserve"> document ma</w:t>
      </w:r>
      <w:r w:rsidRPr="00DD07E1">
        <w:rPr>
          <w:rFonts w:cs="Calibri"/>
        </w:rPr>
        <w:t xml:space="preserve">y </w:t>
      </w:r>
      <w:r w:rsidRPr="007500E4">
        <w:rPr>
          <w:rFonts w:cs="Calibri"/>
        </w:rPr>
        <w:t>be</w:t>
      </w:r>
      <w:r w:rsidRPr="00DD07E1">
        <w:rPr>
          <w:rFonts w:cs="Calibri"/>
        </w:rPr>
        <w:t xml:space="preserve"> categorised </w:t>
      </w:r>
      <w:r w:rsidRPr="007500E4">
        <w:rPr>
          <w:rFonts w:cs="Calibri"/>
        </w:rPr>
        <w:t>as</w:t>
      </w:r>
      <w:r w:rsidRPr="00DD07E1">
        <w:rPr>
          <w:rFonts w:cs="Calibri"/>
        </w:rPr>
        <w:t xml:space="preserve"> ‘deliberative’, it </w:t>
      </w:r>
      <w:r w:rsidRPr="007500E4">
        <w:rPr>
          <w:rFonts w:cs="Calibri"/>
        </w:rPr>
        <w:t>may</w:t>
      </w:r>
      <w:r w:rsidRPr="00DD07E1">
        <w:rPr>
          <w:rFonts w:cs="Calibri"/>
        </w:rPr>
        <w:t xml:space="preserve"> </w:t>
      </w:r>
      <w:r w:rsidRPr="007500E4">
        <w:rPr>
          <w:rFonts w:cs="Calibri"/>
        </w:rPr>
        <w:t>be</w:t>
      </w:r>
      <w:r w:rsidRPr="00DD07E1">
        <w:rPr>
          <w:rFonts w:cs="Calibri"/>
        </w:rPr>
        <w:t xml:space="preserve"> relevant </w:t>
      </w:r>
      <w:r w:rsidRPr="00DD07E1">
        <w:t xml:space="preserve">subsequently when deciding where </w:t>
      </w:r>
      <w:r w:rsidRPr="007500E4">
        <w:t>the</w:t>
      </w:r>
      <w:r w:rsidRPr="00DD07E1">
        <w:t xml:space="preserve"> balance </w:t>
      </w:r>
      <w:r w:rsidRPr="007500E4">
        <w:t>of</w:t>
      </w:r>
      <w:r w:rsidRPr="00DD07E1">
        <w:t xml:space="preserve"> </w:t>
      </w:r>
      <w:r w:rsidRPr="007500E4">
        <w:t>the</w:t>
      </w:r>
      <w:r w:rsidRPr="00DD07E1">
        <w:t xml:space="preserve"> public interest lies. </w:t>
      </w:r>
      <w:r w:rsidRPr="007500E4">
        <w:t>If,</w:t>
      </w:r>
      <w:r w:rsidRPr="00DD07E1">
        <w:t xml:space="preserve"> </w:t>
      </w:r>
      <w:r w:rsidRPr="007500E4">
        <w:t>in</w:t>
      </w:r>
      <w:r w:rsidRPr="00DD07E1">
        <w:t xml:space="preserve"> </w:t>
      </w:r>
      <w:r w:rsidRPr="007500E4">
        <w:t>a</w:t>
      </w:r>
      <w:r w:rsidRPr="00DD07E1">
        <w:t xml:space="preserve"> particular case, </w:t>
      </w:r>
      <w:r w:rsidRPr="007500E4">
        <w:t>a</w:t>
      </w:r>
      <w:r w:rsidRPr="00DD07E1">
        <w:t xml:space="preserve"> document </w:t>
      </w:r>
      <w:r w:rsidR="00C378B4">
        <w:t xml:space="preserve">containing deliberative matter </w:t>
      </w:r>
      <w:r w:rsidRPr="007500E4">
        <w:t>may</w:t>
      </w:r>
      <w:r w:rsidRPr="00DD07E1">
        <w:t xml:space="preserve"> be released without appreciable harm resulting, </w:t>
      </w:r>
      <w:r w:rsidRPr="007500E4">
        <w:t>this</w:t>
      </w:r>
      <w:r w:rsidRPr="00DD07E1">
        <w:t xml:space="preserve"> w</w:t>
      </w:r>
      <w:r w:rsidR="00C378B4">
        <w:t>ill</w:t>
      </w:r>
      <w:r w:rsidRPr="00DD07E1">
        <w:t xml:space="preserve"> tend </w:t>
      </w:r>
      <w:r w:rsidRPr="007500E4">
        <w:t>to</w:t>
      </w:r>
      <w:r w:rsidRPr="00DD07E1">
        <w:t xml:space="preserve"> indicate that it would not </w:t>
      </w:r>
      <w:r w:rsidRPr="007500E4">
        <w:t>be</w:t>
      </w:r>
      <w:r w:rsidRPr="00DD07E1">
        <w:t xml:space="preserve"> contrary </w:t>
      </w:r>
      <w:r w:rsidRPr="007500E4">
        <w:t>to</w:t>
      </w:r>
      <w:r w:rsidRPr="00DD07E1">
        <w:t xml:space="preserve"> the public interest </w:t>
      </w:r>
      <w:r w:rsidRPr="007500E4">
        <w:t>to</w:t>
      </w:r>
      <w:r w:rsidRPr="00DD07E1">
        <w:t xml:space="preserve"> disclose the</w:t>
      </w:r>
      <w:r w:rsidRPr="00DD07E1">
        <w:rPr>
          <w:w w:val="99"/>
        </w:rPr>
        <w:t xml:space="preserve"> </w:t>
      </w:r>
      <w:r w:rsidRPr="00DD07E1">
        <w:t xml:space="preserve">document and therefore </w:t>
      </w:r>
      <w:r w:rsidRPr="007500E4">
        <w:t>it</w:t>
      </w:r>
      <w:r w:rsidRPr="00DD07E1">
        <w:t xml:space="preserve"> must </w:t>
      </w:r>
      <w:r w:rsidRPr="007500E4">
        <w:t>be</w:t>
      </w:r>
      <w:r w:rsidRPr="00DD07E1">
        <w:t xml:space="preserve"> released </w:t>
      </w:r>
      <w:r w:rsidRPr="007500E4">
        <w:t>to</w:t>
      </w:r>
      <w:r w:rsidRPr="00DD07E1">
        <w:t xml:space="preserve"> the </w:t>
      </w:r>
      <w:r w:rsidRPr="007500E4">
        <w:t>applicant.</w:t>
      </w:r>
    </w:p>
    <w:p w14:paraId="499DB72E" w14:textId="6424EDF5" w:rsidR="00BB0A82" w:rsidRPr="007500E4" w:rsidRDefault="00D80740" w:rsidP="00901310">
      <w:pPr>
        <w:pStyle w:val="NumberedParagraphs"/>
        <w:ind w:left="567"/>
      </w:pPr>
      <w:r>
        <w:t>Agencies and ministers should only claim t</w:t>
      </w:r>
      <w:r w:rsidR="00BB0A82" w:rsidRPr="00DD07E1">
        <w:t>his conditional exemption in clearly applicable circumstances</w:t>
      </w:r>
      <w:r>
        <w:t>, noting that s 47C is subject to an overriding public interest test that is weighted toward disclosure</w:t>
      </w:r>
      <w:r w:rsidR="00BB0A82" w:rsidRPr="00DD07E1">
        <w:t xml:space="preserve">. Not </w:t>
      </w:r>
      <w:r w:rsidR="00BB0A82" w:rsidRPr="007500E4">
        <w:t>every</w:t>
      </w:r>
      <w:r w:rsidR="00BB0A82" w:rsidRPr="00DD07E1">
        <w:t xml:space="preserve"> document generated </w:t>
      </w:r>
      <w:r w:rsidR="00BB0A82" w:rsidRPr="007500E4">
        <w:t>or</w:t>
      </w:r>
      <w:r w:rsidR="00BB0A82" w:rsidRPr="00DD07E1">
        <w:t xml:space="preserve"> </w:t>
      </w:r>
      <w:r w:rsidR="00BB0A82" w:rsidRPr="007500E4">
        <w:t>held</w:t>
      </w:r>
      <w:r w:rsidR="00BB0A82" w:rsidRPr="00DD07E1">
        <w:t xml:space="preserve"> </w:t>
      </w:r>
      <w:r w:rsidR="00BB0A82" w:rsidRPr="007500E4">
        <w:t>by</w:t>
      </w:r>
      <w:r w:rsidR="00BB0A82" w:rsidRPr="00DD07E1">
        <w:t xml:space="preserve"> </w:t>
      </w:r>
      <w:r w:rsidR="00BB0A82" w:rsidRPr="007500E4">
        <w:t>a</w:t>
      </w:r>
      <w:r w:rsidR="00BB0A82" w:rsidRPr="00DD07E1">
        <w:t xml:space="preserve"> policy </w:t>
      </w:r>
      <w:r w:rsidR="00BB0A82" w:rsidRPr="007500E4">
        <w:t>area</w:t>
      </w:r>
      <w:r w:rsidR="00BB0A82" w:rsidRPr="00DD07E1">
        <w:t xml:space="preserve"> </w:t>
      </w:r>
      <w:r w:rsidR="00BB0A82" w:rsidRPr="007500E4">
        <w:t>of</w:t>
      </w:r>
      <w:r w:rsidR="00BB0A82" w:rsidRPr="00DD07E1">
        <w:t xml:space="preserve"> </w:t>
      </w:r>
      <w:r w:rsidR="00BB0A82" w:rsidRPr="007500E4">
        <w:rPr>
          <w:rFonts w:cs="Calibri"/>
        </w:rPr>
        <w:t>an</w:t>
      </w:r>
      <w:r w:rsidR="00BB0A82" w:rsidRPr="00DD07E1">
        <w:rPr>
          <w:rFonts w:cs="Calibri"/>
        </w:rPr>
        <w:t xml:space="preserve"> agency</w:t>
      </w:r>
      <w:r w:rsidR="00BB0A82" w:rsidRPr="007500E4">
        <w:rPr>
          <w:rFonts w:cs="Calibri"/>
        </w:rPr>
        <w:t xml:space="preserve"> is </w:t>
      </w:r>
      <w:r w:rsidR="00BB0A82" w:rsidRPr="00DD07E1">
        <w:rPr>
          <w:rFonts w:cs="Calibri"/>
        </w:rPr>
        <w:t xml:space="preserve">‘deliberative’ </w:t>
      </w:r>
      <w:r w:rsidR="00BB0A82" w:rsidRPr="007500E4">
        <w:rPr>
          <w:rFonts w:cs="Calibri"/>
        </w:rPr>
        <w:t>in</w:t>
      </w:r>
      <w:r w:rsidR="00BB0A82" w:rsidRPr="00DD07E1">
        <w:rPr>
          <w:rFonts w:cs="Calibri"/>
        </w:rPr>
        <w:t xml:space="preserve"> the sense </w:t>
      </w:r>
      <w:r w:rsidR="00BB0A82" w:rsidRPr="007500E4">
        <w:rPr>
          <w:rFonts w:cs="Calibri"/>
        </w:rPr>
        <w:t>used</w:t>
      </w:r>
      <w:r w:rsidR="00BB0A82" w:rsidRPr="00DD07E1">
        <w:rPr>
          <w:rFonts w:cs="Calibri"/>
        </w:rPr>
        <w:t xml:space="preserve"> </w:t>
      </w:r>
      <w:r w:rsidR="00BB0A82" w:rsidRPr="007500E4">
        <w:rPr>
          <w:rFonts w:cs="Calibri"/>
        </w:rPr>
        <w:t>in</w:t>
      </w:r>
      <w:r w:rsidR="00BB0A82" w:rsidRPr="00DD07E1">
        <w:rPr>
          <w:rFonts w:cs="Calibri"/>
        </w:rPr>
        <w:t xml:space="preserve"> this</w:t>
      </w:r>
      <w:r w:rsidR="00BB0A82" w:rsidRPr="007500E4">
        <w:rPr>
          <w:rFonts w:cs="Calibri"/>
        </w:rPr>
        <w:t xml:space="preserve"> </w:t>
      </w:r>
      <w:r w:rsidR="00BB0A82" w:rsidRPr="00DD07E1">
        <w:rPr>
          <w:rFonts w:cs="Calibri"/>
        </w:rPr>
        <w:t>provision,</w:t>
      </w:r>
      <w:r w:rsidR="00BB0A82" w:rsidRPr="007500E4">
        <w:rPr>
          <w:rFonts w:cs="Calibri"/>
        </w:rPr>
        <w:t xml:space="preserve"> </w:t>
      </w:r>
      <w:r w:rsidR="00BB0A82" w:rsidRPr="00DD07E1">
        <w:rPr>
          <w:rFonts w:cs="Calibri"/>
        </w:rPr>
        <w:t xml:space="preserve">even if it appears </w:t>
      </w:r>
      <w:r w:rsidR="00BB0A82" w:rsidRPr="007500E4">
        <w:rPr>
          <w:rFonts w:cs="Calibri"/>
        </w:rPr>
        <w:t>to</w:t>
      </w:r>
      <w:r w:rsidR="00BB0A82" w:rsidRPr="00DD07E1">
        <w:rPr>
          <w:rFonts w:cs="Calibri"/>
        </w:rPr>
        <w:t xml:space="preserve"> </w:t>
      </w:r>
      <w:r w:rsidR="00BB0A82" w:rsidRPr="007500E4">
        <w:rPr>
          <w:rFonts w:cs="Calibri"/>
        </w:rPr>
        <w:t>deal</w:t>
      </w:r>
      <w:r w:rsidR="00BB0A82" w:rsidRPr="00DD07E1">
        <w:rPr>
          <w:rFonts w:cs="Calibri"/>
        </w:rPr>
        <w:t xml:space="preserve"> with </w:t>
      </w:r>
      <w:r w:rsidR="00BB0A82" w:rsidRPr="007500E4">
        <w:t>the</w:t>
      </w:r>
      <w:r w:rsidR="00BB0A82" w:rsidRPr="00DD07E1">
        <w:t xml:space="preserve"> development </w:t>
      </w:r>
      <w:r w:rsidR="00BB0A82" w:rsidRPr="007500E4">
        <w:t>or</w:t>
      </w:r>
      <w:r w:rsidR="00BB0A82" w:rsidRPr="00DD07E1">
        <w:t xml:space="preserve"> implementation </w:t>
      </w:r>
      <w:r w:rsidR="00BB0A82" w:rsidRPr="007500E4">
        <w:t>of</w:t>
      </w:r>
      <w:r w:rsidR="00BB0A82" w:rsidRPr="00DD07E1">
        <w:t xml:space="preserve"> </w:t>
      </w:r>
      <w:r w:rsidR="00BB0A82" w:rsidRPr="007500E4">
        <w:t>a</w:t>
      </w:r>
      <w:r w:rsidR="00BB0A82" w:rsidRPr="00DD07E1">
        <w:t xml:space="preserve"> policy. </w:t>
      </w:r>
      <w:r w:rsidR="00BB0A82" w:rsidRPr="007500E4">
        <w:t>A</w:t>
      </w:r>
      <w:r w:rsidR="00BB0A82" w:rsidRPr="00DD07E1">
        <w:t xml:space="preserve"> decision maker should ensure that the</w:t>
      </w:r>
      <w:r w:rsidR="00BB0A82" w:rsidRPr="00DD07E1">
        <w:rPr>
          <w:w w:val="99"/>
        </w:rPr>
        <w:t xml:space="preserve"> </w:t>
      </w:r>
      <w:r w:rsidR="00BB0A82" w:rsidRPr="00DD07E1">
        <w:rPr>
          <w:rFonts w:cs="Calibri"/>
        </w:rPr>
        <w:t xml:space="preserve">content </w:t>
      </w:r>
      <w:r w:rsidR="00BB0A82" w:rsidRPr="007500E4">
        <w:rPr>
          <w:rFonts w:cs="Calibri"/>
        </w:rPr>
        <w:t>of</w:t>
      </w:r>
      <w:r w:rsidR="00BB0A82" w:rsidRPr="00DD07E1">
        <w:rPr>
          <w:rFonts w:cs="Calibri"/>
        </w:rPr>
        <w:t xml:space="preserve"> </w:t>
      </w:r>
      <w:r w:rsidR="00BB0A82" w:rsidRPr="007500E4">
        <w:rPr>
          <w:rFonts w:cs="Calibri"/>
        </w:rPr>
        <w:t>a</w:t>
      </w:r>
      <w:r w:rsidR="00BB0A82" w:rsidRPr="00DD07E1">
        <w:rPr>
          <w:rFonts w:cs="Calibri"/>
        </w:rPr>
        <w:t xml:space="preserve"> document strictly</w:t>
      </w:r>
      <w:r w:rsidR="00BB0A82" w:rsidRPr="007500E4">
        <w:rPr>
          <w:rFonts w:cs="Calibri"/>
        </w:rPr>
        <w:t xml:space="preserve"> </w:t>
      </w:r>
      <w:r w:rsidR="00BB0A82" w:rsidRPr="00DD07E1">
        <w:rPr>
          <w:rFonts w:cs="Calibri"/>
        </w:rPr>
        <w:t xml:space="preserve">conforms with the </w:t>
      </w:r>
      <w:r w:rsidR="00BB0A82" w:rsidRPr="007500E4">
        <w:rPr>
          <w:rFonts w:cs="Calibri"/>
        </w:rPr>
        <w:t>criteria</w:t>
      </w:r>
      <w:r w:rsidR="00BB0A82" w:rsidRPr="00DD07E1">
        <w:rPr>
          <w:rFonts w:cs="Calibri"/>
        </w:rPr>
        <w:t xml:space="preserve"> for</w:t>
      </w:r>
      <w:r w:rsidR="00BB0A82" w:rsidRPr="007500E4">
        <w:rPr>
          <w:rFonts w:cs="Calibri"/>
        </w:rPr>
        <w:t xml:space="preserve"> </w:t>
      </w:r>
      <w:r w:rsidR="00BB0A82" w:rsidRPr="00DD07E1">
        <w:rPr>
          <w:rFonts w:cs="Calibri"/>
        </w:rPr>
        <w:t>identifying ‘deliberative matter’ prepared or recorded for the purposes of a ‘deliberative process’ before claiming this</w:t>
      </w:r>
      <w:r w:rsidR="00BB0A82" w:rsidRPr="007500E4">
        <w:rPr>
          <w:rFonts w:cs="Calibri"/>
        </w:rPr>
        <w:t xml:space="preserve"> </w:t>
      </w:r>
      <w:r w:rsidR="00BB0A82" w:rsidRPr="00DD07E1">
        <w:rPr>
          <w:rFonts w:cs="Calibri"/>
        </w:rPr>
        <w:t>conditional exemption</w:t>
      </w:r>
      <w:r w:rsidR="00BB0A82" w:rsidRPr="007500E4">
        <w:rPr>
          <w:rFonts w:cs="Calibri"/>
        </w:rPr>
        <w:t xml:space="preserve"> </w:t>
      </w:r>
      <w:r w:rsidR="00BB0A82" w:rsidRPr="00DD07E1">
        <w:rPr>
          <w:rFonts w:cs="Calibri"/>
        </w:rPr>
        <w:t>(</w:t>
      </w:r>
      <w:r w:rsidR="00BB0A82" w:rsidRPr="009E574E">
        <w:rPr>
          <w:rFonts w:cs="Calibri"/>
        </w:rPr>
        <w:t>see [</w:t>
      </w:r>
      <w:hyperlink w:anchor="_bookmark26" w:history="1">
        <w:r w:rsidR="00BB0A82" w:rsidRPr="009E574E">
          <w:fldChar w:fldCharType="begin"/>
        </w:r>
        <w:r w:rsidR="00BB0A82" w:rsidRPr="009E574E">
          <w:instrText xml:space="preserve"> REF _Ref457390820 \r \h  \* MERGEFORMAT </w:instrText>
        </w:r>
        <w:r w:rsidR="00BB0A82" w:rsidRPr="009E574E">
          <w:fldChar w:fldCharType="separate"/>
        </w:r>
        <w:r w:rsidR="00A721BB">
          <w:t>6.45</w:t>
        </w:r>
        <w:r w:rsidR="00BB0A82" w:rsidRPr="009E574E">
          <w:fldChar w:fldCharType="end"/>
        </w:r>
      </w:hyperlink>
      <w:r w:rsidR="009E574E" w:rsidRPr="009E574E">
        <w:t>5</w:t>
      </w:r>
      <w:r w:rsidR="00BB0A82" w:rsidRPr="009E574E">
        <w:t>]</w:t>
      </w:r>
      <w:r w:rsidR="00BB0A82" w:rsidRPr="00DD07E1">
        <w:t xml:space="preserve"> above</w:t>
      </w:r>
      <w:r w:rsidR="00BB0A82" w:rsidRPr="007500E4">
        <w:t xml:space="preserve"> </w:t>
      </w:r>
      <w:r w:rsidR="00BB0A82" w:rsidRPr="00222202">
        <w:t>and [</w:t>
      </w:r>
      <w:hyperlink w:anchor="_bookmark30" w:history="1">
        <w:r w:rsidR="00BB0A82" w:rsidRPr="00222202">
          <w:fldChar w:fldCharType="begin"/>
        </w:r>
        <w:r w:rsidR="00BB0A82" w:rsidRPr="00222202">
          <w:instrText xml:space="preserve"> REF _Ref457390894 \r \h  \* MERGEFORMAT </w:instrText>
        </w:r>
        <w:r w:rsidR="00BB0A82" w:rsidRPr="00222202">
          <w:fldChar w:fldCharType="separate"/>
        </w:r>
        <w:r w:rsidR="00A721BB">
          <w:t>6.56</w:t>
        </w:r>
        <w:r w:rsidR="00BB0A82" w:rsidRPr="00222202">
          <w:fldChar w:fldCharType="end"/>
        </w:r>
      </w:hyperlink>
      <w:r w:rsidR="00BB0A82" w:rsidRPr="00222202">
        <w:t>]</w:t>
      </w:r>
      <w:r w:rsidR="00222202" w:rsidRPr="00222202">
        <w:t>–</w:t>
      </w:r>
      <w:r w:rsidR="00BB0A82" w:rsidRPr="00222202">
        <w:rPr>
          <w:rFonts w:cs="Calibri"/>
        </w:rPr>
        <w:t>[</w:t>
      </w:r>
      <w:r w:rsidR="00207699" w:rsidRPr="00222202">
        <w:t>6</w:t>
      </w:r>
      <w:r w:rsidR="00222202" w:rsidRPr="00222202">
        <w:t>.6</w:t>
      </w:r>
      <w:r w:rsidR="00222202">
        <w:t>0</w:t>
      </w:r>
      <w:r w:rsidR="00BB0A82">
        <w:t>]</w:t>
      </w:r>
      <w:r w:rsidR="00BB0A82" w:rsidRPr="00DD07E1">
        <w:t xml:space="preserve"> below).</w:t>
      </w:r>
    </w:p>
    <w:p w14:paraId="428949CF" w14:textId="77777777" w:rsidR="00BB0A82" w:rsidRPr="004827E2" w:rsidRDefault="00BB0A82" w:rsidP="001A7047">
      <w:pPr>
        <w:pStyle w:val="Heading3"/>
      </w:pPr>
      <w:bookmarkStart w:id="79" w:name="Deliberative_process"/>
      <w:bookmarkStart w:id="80" w:name="_bookmark28"/>
      <w:bookmarkStart w:id="81" w:name="_Toc11154479"/>
      <w:bookmarkStart w:id="82" w:name="_Toc141875209"/>
      <w:bookmarkEnd w:id="79"/>
      <w:bookmarkEnd w:id="80"/>
      <w:r w:rsidRPr="004827E2">
        <w:t>Deliberative process</w:t>
      </w:r>
      <w:bookmarkEnd w:id="81"/>
      <w:bookmarkEnd w:id="82"/>
    </w:p>
    <w:p w14:paraId="27E16BD5" w14:textId="77777777" w:rsidR="00BB0A82" w:rsidRPr="007500E4" w:rsidRDefault="00BB0A82" w:rsidP="00901310">
      <w:pPr>
        <w:pStyle w:val="NumberedParagraphs"/>
        <w:ind w:left="567"/>
      </w:pPr>
      <w:r w:rsidRPr="007500E4">
        <w:t>A</w:t>
      </w:r>
      <w:r w:rsidRPr="00DD07E1">
        <w:t xml:space="preserve"> deliberative process involves the </w:t>
      </w:r>
      <w:r w:rsidRPr="007500E4">
        <w:t>exercise</w:t>
      </w:r>
      <w:r w:rsidRPr="00DD07E1">
        <w:t xml:space="preserve"> </w:t>
      </w:r>
      <w:r w:rsidRPr="007500E4">
        <w:t>of</w:t>
      </w:r>
      <w:r w:rsidRPr="00DD07E1">
        <w:t xml:space="preserve"> judgement in developing and </w:t>
      </w:r>
      <w:proofErr w:type="gramStart"/>
      <w:r w:rsidRPr="00DD07E1">
        <w:t>making</w:t>
      </w:r>
      <w:r w:rsidRPr="00DD07E1">
        <w:rPr>
          <w:w w:val="99"/>
        </w:rPr>
        <w:t xml:space="preserve"> </w:t>
      </w:r>
      <w:r w:rsidRPr="007500E4">
        <w:t>a</w:t>
      </w:r>
      <w:r w:rsidRPr="00DD07E1">
        <w:t xml:space="preserve"> selection</w:t>
      </w:r>
      <w:proofErr w:type="gramEnd"/>
      <w:r w:rsidRPr="00DD07E1">
        <w:t xml:space="preserve"> </w:t>
      </w:r>
      <w:r w:rsidRPr="007500E4">
        <w:t>from</w:t>
      </w:r>
      <w:r w:rsidRPr="00DD07E1">
        <w:t xml:space="preserve"> different options:</w:t>
      </w:r>
    </w:p>
    <w:p w14:paraId="0DF297DC" w14:textId="77777777" w:rsidR="00BB0A82" w:rsidRPr="007500E4" w:rsidRDefault="00BB0A82" w:rsidP="00C162C6">
      <w:pPr>
        <w:pStyle w:val="BlockText"/>
        <w:ind w:left="851"/>
        <w:rPr>
          <w:sz w:val="16"/>
          <w:szCs w:val="16"/>
        </w:rPr>
      </w:pPr>
      <w:r w:rsidRPr="007500E4">
        <w:t>The</w:t>
      </w:r>
      <w:r w:rsidRPr="00DD07E1">
        <w:t xml:space="preserve"> action of deliberating, </w:t>
      </w:r>
      <w:r w:rsidRPr="007500E4">
        <w:t>in</w:t>
      </w:r>
      <w:r w:rsidRPr="00DD07E1">
        <w:t xml:space="preserve"> common understanding, involves the weighing up </w:t>
      </w:r>
      <w:r w:rsidRPr="007500E4">
        <w:t>or</w:t>
      </w:r>
      <w:r w:rsidRPr="00DD07E1">
        <w:rPr>
          <w:w w:val="99"/>
        </w:rPr>
        <w:t xml:space="preserve"> </w:t>
      </w:r>
      <w:r w:rsidRPr="00DD07E1">
        <w:t xml:space="preserve">evaluation </w:t>
      </w:r>
      <w:r w:rsidRPr="007500E4">
        <w:t>of</w:t>
      </w:r>
      <w:r w:rsidRPr="00DD07E1">
        <w:t xml:space="preserve"> the competing arguments </w:t>
      </w:r>
      <w:r w:rsidRPr="007500E4">
        <w:t>or</w:t>
      </w:r>
      <w:r w:rsidRPr="00DD07E1">
        <w:t xml:space="preserve"> considerations that </w:t>
      </w:r>
      <w:r w:rsidRPr="007500E4">
        <w:t>may</w:t>
      </w:r>
      <w:r w:rsidRPr="00DD07E1">
        <w:t xml:space="preserve"> </w:t>
      </w:r>
      <w:r w:rsidRPr="007500E4">
        <w:t>have</w:t>
      </w:r>
      <w:r w:rsidRPr="00DD07E1">
        <w:t xml:space="preserve"> </w:t>
      </w:r>
      <w:r w:rsidRPr="007500E4">
        <w:t>a</w:t>
      </w:r>
      <w:r w:rsidRPr="00DD07E1">
        <w:t xml:space="preserve"> bearing</w:t>
      </w:r>
      <w:r w:rsidRPr="00DD07E1">
        <w:rPr>
          <w:w w:val="99"/>
        </w:rPr>
        <w:t xml:space="preserve"> </w:t>
      </w:r>
      <w:r w:rsidRPr="00DD07E1">
        <w:t xml:space="preserve">upon one's course </w:t>
      </w:r>
      <w:r w:rsidRPr="007500E4">
        <w:t>of</w:t>
      </w:r>
      <w:r w:rsidRPr="00DD07E1">
        <w:t xml:space="preserve"> action. </w:t>
      </w:r>
      <w:r w:rsidRPr="007500E4">
        <w:t>In</w:t>
      </w:r>
      <w:r w:rsidRPr="00DD07E1">
        <w:t xml:space="preserve"> short, </w:t>
      </w:r>
      <w:r w:rsidRPr="007500E4">
        <w:t>the</w:t>
      </w:r>
      <w:r w:rsidRPr="00DD07E1">
        <w:t xml:space="preserve"> deliberative processes involved in the</w:t>
      </w:r>
      <w:r w:rsidRPr="00DD07E1">
        <w:rPr>
          <w:w w:val="99"/>
        </w:rPr>
        <w:t xml:space="preserve"> </w:t>
      </w:r>
      <w:r w:rsidRPr="00DD07E1">
        <w:t xml:space="preserve">functions </w:t>
      </w:r>
      <w:r w:rsidRPr="007500E4">
        <w:t>of</w:t>
      </w:r>
      <w:r w:rsidRPr="00DD07E1">
        <w:t xml:space="preserve"> </w:t>
      </w:r>
      <w:r w:rsidRPr="007500E4">
        <w:t>an</w:t>
      </w:r>
      <w:r w:rsidRPr="00DD07E1">
        <w:t xml:space="preserve"> </w:t>
      </w:r>
      <w:r w:rsidRPr="007500E4">
        <w:t>agency</w:t>
      </w:r>
      <w:r w:rsidRPr="00DD07E1">
        <w:t xml:space="preserve"> are </w:t>
      </w:r>
      <w:r w:rsidRPr="007500E4">
        <w:t>its</w:t>
      </w:r>
      <w:r w:rsidRPr="00DD07E1">
        <w:t xml:space="preserve"> thinking processes</w:t>
      </w:r>
      <w:r w:rsidRPr="007500E4">
        <w:t xml:space="preserve"> </w:t>
      </w:r>
      <w:r w:rsidRPr="007500E4">
        <w:rPr>
          <w:rFonts w:cs="Calibri"/>
        </w:rPr>
        <w:t>–</w:t>
      </w:r>
      <w:r w:rsidRPr="00DD07E1">
        <w:rPr>
          <w:rFonts w:cs="Calibri"/>
        </w:rPr>
        <w:t xml:space="preserve"> </w:t>
      </w:r>
      <w:r w:rsidRPr="00DD07E1">
        <w:t xml:space="preserve">the processes of reflection, </w:t>
      </w:r>
      <w:r w:rsidRPr="007500E4">
        <w:t>for</w:t>
      </w:r>
      <w:r w:rsidRPr="00DD07E1">
        <w:rPr>
          <w:w w:val="99"/>
        </w:rPr>
        <w:t xml:space="preserve"> </w:t>
      </w:r>
      <w:r w:rsidRPr="007500E4">
        <w:t>example,</w:t>
      </w:r>
      <w:r w:rsidRPr="00DD07E1">
        <w:t xml:space="preserve"> upon the wisdom and expediency of </w:t>
      </w:r>
      <w:r w:rsidRPr="007500E4">
        <w:t>a</w:t>
      </w:r>
      <w:r w:rsidRPr="00DD07E1">
        <w:t xml:space="preserve"> proposal, </w:t>
      </w:r>
      <w:r w:rsidRPr="007500E4">
        <w:t>a</w:t>
      </w:r>
      <w:r w:rsidRPr="00DD07E1">
        <w:t xml:space="preserve"> particular decision </w:t>
      </w:r>
      <w:r w:rsidRPr="007500E4">
        <w:t>or</w:t>
      </w:r>
      <w:r w:rsidRPr="00DD07E1">
        <w:t xml:space="preserve"> </w:t>
      </w:r>
      <w:r w:rsidRPr="007500E4">
        <w:t>a</w:t>
      </w:r>
      <w:r w:rsidRPr="00DD07E1">
        <w:t xml:space="preserve"> course of action.</w:t>
      </w:r>
      <w:r w:rsidRPr="00DD07E1">
        <w:rPr>
          <w:rStyle w:val="FootnoteReference"/>
        </w:rPr>
        <w:footnoteReference w:id="42"/>
      </w:r>
    </w:p>
    <w:p w14:paraId="790E8B92" w14:textId="77777777" w:rsidR="006C05FD" w:rsidRPr="00327C39" w:rsidRDefault="006C05FD" w:rsidP="00901310">
      <w:pPr>
        <w:pStyle w:val="NumberedParagraphs"/>
        <w:ind w:left="567"/>
        <w:rPr>
          <w:sz w:val="16"/>
          <w:szCs w:val="16"/>
        </w:rPr>
      </w:pPr>
      <w:r>
        <w:rPr>
          <w:rFonts w:ascii="Source Sans Pro" w:hAnsi="Source Sans Pro"/>
          <w:color w:val="333333"/>
          <w:shd w:val="clear" w:color="auto" w:fill="FFFFFF"/>
        </w:rPr>
        <w:t>It is n</w:t>
      </w:r>
      <w:r w:rsidRPr="00901310">
        <w:t>ot enough for</w:t>
      </w:r>
      <w:r>
        <w:rPr>
          <w:rFonts w:ascii="Source Sans Pro" w:hAnsi="Source Sans Pro"/>
          <w:color w:val="333333"/>
          <w:shd w:val="clear" w:color="auto" w:fill="FFFFFF"/>
        </w:rPr>
        <w:t xml:space="preserve"> the purposes of s 47</w:t>
      </w:r>
      <w:proofErr w:type="gramStart"/>
      <w:r>
        <w:rPr>
          <w:rFonts w:ascii="Source Sans Pro" w:hAnsi="Source Sans Pro"/>
          <w:color w:val="333333"/>
          <w:shd w:val="clear" w:color="auto" w:fill="FFFFFF"/>
        </w:rPr>
        <w:t>C(</w:t>
      </w:r>
      <w:proofErr w:type="gramEnd"/>
      <w:r>
        <w:rPr>
          <w:rFonts w:ascii="Source Sans Pro" w:hAnsi="Source Sans Pro"/>
          <w:color w:val="333333"/>
          <w:shd w:val="clear" w:color="auto" w:fill="FFFFFF"/>
        </w:rPr>
        <w:t xml:space="preserve">1) that an opinion, advice or recommendation is merely obtained, prepared or recorded; it must be obtained, prepared or recorded </w:t>
      </w:r>
      <w:r w:rsidRPr="0049745E">
        <w:rPr>
          <w:rFonts w:ascii="Source Sans Pro" w:hAnsi="Source Sans Pro"/>
          <w:i/>
          <w:iCs/>
          <w:color w:val="333333"/>
          <w:shd w:val="clear" w:color="auto" w:fill="FFFFFF"/>
        </w:rPr>
        <w:t>in the course of, or for the purposes of</w:t>
      </w:r>
      <w:r>
        <w:rPr>
          <w:rFonts w:ascii="Source Sans Pro" w:hAnsi="Source Sans Pro"/>
          <w:color w:val="333333"/>
          <w:shd w:val="clear" w:color="auto" w:fill="FFFFFF"/>
        </w:rPr>
        <w:t>, the deliberative processes involved in the functions of the agency, minister or government.</w:t>
      </w:r>
      <w:r>
        <w:rPr>
          <w:rStyle w:val="FootnoteReference"/>
          <w:rFonts w:ascii="Source Sans Pro" w:hAnsi="Source Sans Pro"/>
          <w:color w:val="333333"/>
          <w:shd w:val="clear" w:color="auto" w:fill="FFFFFF"/>
        </w:rPr>
        <w:footnoteReference w:id="43"/>
      </w:r>
    </w:p>
    <w:p w14:paraId="76FA94E1" w14:textId="4840A885" w:rsidR="00BB0A82" w:rsidRPr="007500E4" w:rsidRDefault="00BB0A82" w:rsidP="00901310">
      <w:pPr>
        <w:pStyle w:val="NumberedParagraphs"/>
        <w:ind w:left="567"/>
      </w:pPr>
      <w:r w:rsidRPr="00DD07E1">
        <w:t xml:space="preserve">The functions </w:t>
      </w:r>
      <w:r w:rsidRPr="007500E4">
        <w:t>of</w:t>
      </w:r>
      <w:r w:rsidRPr="00DD07E1">
        <w:t xml:space="preserve"> </w:t>
      </w:r>
      <w:r w:rsidRPr="007500E4">
        <w:t>an</w:t>
      </w:r>
      <w:r w:rsidRPr="00DD07E1">
        <w:t xml:space="preserve"> agency </w:t>
      </w:r>
      <w:r w:rsidRPr="007500E4">
        <w:t>are</w:t>
      </w:r>
      <w:r w:rsidRPr="00DD07E1">
        <w:t xml:space="preserve"> usually found </w:t>
      </w:r>
      <w:r w:rsidRPr="007500E4">
        <w:t>in</w:t>
      </w:r>
      <w:r w:rsidRPr="00DD07E1">
        <w:t xml:space="preserve"> the </w:t>
      </w:r>
      <w:r w:rsidRPr="007500E4">
        <w:t>Administrative</w:t>
      </w:r>
      <w:r w:rsidRPr="00DD07E1">
        <w:t xml:space="preserve"> Arrangements Orders </w:t>
      </w:r>
      <w:r w:rsidRPr="007500E4">
        <w:t>or</w:t>
      </w:r>
      <w:r w:rsidRPr="00DD07E1">
        <w:t xml:space="preserve"> </w:t>
      </w:r>
      <w:r w:rsidRPr="007500E4">
        <w:t>the</w:t>
      </w:r>
      <w:r w:rsidRPr="00DD07E1">
        <w:t xml:space="preserve"> instrument </w:t>
      </w:r>
      <w:r w:rsidRPr="007500E4">
        <w:t>or</w:t>
      </w:r>
      <w:r w:rsidRPr="00DD07E1">
        <w:t xml:space="preserve"> </w:t>
      </w:r>
      <w:r w:rsidRPr="007500E4">
        <w:t>Act</w:t>
      </w:r>
      <w:r w:rsidRPr="00DD07E1">
        <w:t xml:space="preserve"> that established the agency. For the purposes </w:t>
      </w:r>
      <w:r w:rsidRPr="007500E4">
        <w:t>of</w:t>
      </w:r>
      <w:r w:rsidRPr="00DD07E1">
        <w:t xml:space="preserve"> the FOI </w:t>
      </w:r>
      <w:r w:rsidRPr="007500E4">
        <w:t>Act,</w:t>
      </w:r>
      <w:r w:rsidRPr="00DD07E1">
        <w:t xml:space="preserve"> the functions include both policy making and the processes undertaken </w:t>
      </w:r>
      <w:r w:rsidRPr="007500E4">
        <w:t>in</w:t>
      </w:r>
      <w:r w:rsidRPr="00DD07E1">
        <w:t xml:space="preserve"> administering</w:t>
      </w:r>
      <w:r w:rsidRPr="007500E4">
        <w:t xml:space="preserve"> or</w:t>
      </w:r>
      <w:r w:rsidRPr="00DD07E1">
        <w:t xml:space="preserve"> implementing </w:t>
      </w:r>
      <w:r w:rsidRPr="007500E4">
        <w:t>a</w:t>
      </w:r>
      <w:r w:rsidRPr="00DD07E1">
        <w:t xml:space="preserve"> policy. </w:t>
      </w:r>
      <w:r w:rsidRPr="007500E4">
        <w:t>The</w:t>
      </w:r>
      <w:r w:rsidRPr="00DD07E1">
        <w:t xml:space="preserve"> functions </w:t>
      </w:r>
      <w:r w:rsidRPr="007500E4">
        <w:t>also</w:t>
      </w:r>
      <w:r w:rsidRPr="00DD07E1">
        <w:t xml:space="preserve"> extend to </w:t>
      </w:r>
      <w:r w:rsidRPr="007500E4">
        <w:t>the</w:t>
      </w:r>
      <w:r w:rsidRPr="00DD07E1">
        <w:t xml:space="preserve"> development of policies in respect </w:t>
      </w:r>
      <w:r w:rsidRPr="007500E4">
        <w:t>of</w:t>
      </w:r>
      <w:r w:rsidRPr="00DD07E1">
        <w:t xml:space="preserve"> matters that </w:t>
      </w:r>
      <w:r w:rsidRPr="007500E4">
        <w:t>arise</w:t>
      </w:r>
      <w:r w:rsidRPr="00DD07E1">
        <w:t xml:space="preserve"> in </w:t>
      </w:r>
      <w:r w:rsidRPr="007500E4">
        <w:t>the</w:t>
      </w:r>
      <w:r w:rsidRPr="00DD07E1">
        <w:t xml:space="preserve"> course </w:t>
      </w:r>
      <w:r w:rsidRPr="007500E4">
        <w:t>of</w:t>
      </w:r>
      <w:r w:rsidRPr="00DD07E1">
        <w:t xml:space="preserve"> administering </w:t>
      </w:r>
      <w:r w:rsidRPr="007500E4">
        <w:t>a</w:t>
      </w:r>
      <w:r w:rsidRPr="00DD07E1">
        <w:t xml:space="preserve"> </w:t>
      </w:r>
      <w:r w:rsidRPr="007500E4">
        <w:t>program.</w:t>
      </w:r>
      <w:r w:rsidRPr="00DD07E1">
        <w:t xml:space="preserve"> </w:t>
      </w:r>
      <w:r w:rsidRPr="007500E4">
        <w:t>The</w:t>
      </w:r>
      <w:r w:rsidRPr="00DD07E1">
        <w:t xml:space="preserve"> non-policy </w:t>
      </w:r>
      <w:r w:rsidRPr="007500E4">
        <w:t>decision</w:t>
      </w:r>
      <w:r w:rsidRPr="00DD07E1">
        <w:t xml:space="preserve"> </w:t>
      </w:r>
      <w:r w:rsidRPr="00DD07E1">
        <w:lastRenderedPageBreak/>
        <w:t>making processes required when carrying out agency,</w:t>
      </w:r>
      <w:r w:rsidRPr="007500E4">
        <w:t xml:space="preserve"> ministerial or governmental functions, such as code of conduct investigations, may also be deliberative processes.</w:t>
      </w:r>
      <w:r w:rsidRPr="00DD07E1">
        <w:rPr>
          <w:vertAlign w:val="superscript"/>
        </w:rPr>
        <w:footnoteReference w:id="44"/>
      </w:r>
    </w:p>
    <w:p w14:paraId="062E7F3E" w14:textId="400814B7" w:rsidR="00BB0A82" w:rsidRPr="007500E4" w:rsidRDefault="00BB0A82" w:rsidP="00901310">
      <w:pPr>
        <w:pStyle w:val="NumberedParagraphs"/>
        <w:ind w:left="567"/>
      </w:pPr>
      <w:r w:rsidRPr="007500E4">
        <w:t>A</w:t>
      </w:r>
      <w:r w:rsidRPr="00DD07E1">
        <w:t xml:space="preserve"> deliberative process may include </w:t>
      </w:r>
      <w:r w:rsidRPr="007500E4">
        <w:t>the</w:t>
      </w:r>
      <w:r w:rsidRPr="00DD07E1">
        <w:t xml:space="preserve"> recording </w:t>
      </w:r>
      <w:r w:rsidRPr="007500E4">
        <w:t>or</w:t>
      </w:r>
      <w:r w:rsidRPr="00DD07E1">
        <w:t xml:space="preserve"> exchange of:</w:t>
      </w:r>
    </w:p>
    <w:p w14:paraId="40D4189C" w14:textId="77777777" w:rsidR="00BB0A82" w:rsidRPr="001A7047" w:rsidRDefault="00BB0A82" w:rsidP="00202DAE">
      <w:pPr>
        <w:pStyle w:val="IndentBullet1"/>
        <w:ind w:left="851" w:hanging="284"/>
      </w:pPr>
      <w:r w:rsidRPr="001A7047">
        <w:t>opinions</w:t>
      </w:r>
    </w:p>
    <w:p w14:paraId="23C0DD29" w14:textId="77777777" w:rsidR="00BB0A82" w:rsidRPr="001A7047" w:rsidRDefault="00BB0A82" w:rsidP="00202DAE">
      <w:pPr>
        <w:pStyle w:val="IndentBullet1"/>
        <w:ind w:left="851" w:hanging="284"/>
      </w:pPr>
      <w:r w:rsidRPr="001A7047">
        <w:t>advice</w:t>
      </w:r>
    </w:p>
    <w:p w14:paraId="38F1221F" w14:textId="77777777" w:rsidR="00BB0A82" w:rsidRPr="001A7047" w:rsidRDefault="00BB0A82" w:rsidP="00202DAE">
      <w:pPr>
        <w:pStyle w:val="IndentBullet1"/>
        <w:ind w:left="851" w:hanging="284"/>
      </w:pPr>
      <w:r w:rsidRPr="001A7047">
        <w:t>recommendations</w:t>
      </w:r>
    </w:p>
    <w:p w14:paraId="15B6C9E5" w14:textId="77777777" w:rsidR="00BB0A82" w:rsidRPr="007500E4" w:rsidRDefault="00BB0A82" w:rsidP="00202DAE">
      <w:pPr>
        <w:pStyle w:val="IndentBullet1"/>
        <w:ind w:left="851" w:hanging="284"/>
        <w:rPr>
          <w:sz w:val="16"/>
          <w:szCs w:val="16"/>
        </w:rPr>
      </w:pPr>
      <w:r w:rsidRPr="001A7047">
        <w:t>a collection of facts or opinions, including the pattern of facts or opinions considered</w:t>
      </w:r>
      <w:r w:rsidRPr="00DD07E1">
        <w:rPr>
          <w:rStyle w:val="FootnoteReference"/>
        </w:rPr>
        <w:footnoteReference w:id="45"/>
      </w:r>
    </w:p>
    <w:p w14:paraId="206C065F" w14:textId="77777777" w:rsidR="00BB0A82" w:rsidRPr="001A7047" w:rsidRDefault="00BB0A82" w:rsidP="00202DAE">
      <w:pPr>
        <w:pStyle w:val="IndentBullet1"/>
        <w:ind w:left="851" w:hanging="284"/>
      </w:pPr>
      <w:r w:rsidRPr="001A7047">
        <w:t>interim decisions or deliberations.</w:t>
      </w:r>
    </w:p>
    <w:p w14:paraId="6B3D3C7B" w14:textId="77777777" w:rsidR="00BB0A82" w:rsidRPr="007500E4" w:rsidRDefault="00BB0A82" w:rsidP="00901310">
      <w:pPr>
        <w:pStyle w:val="NumberedParagraphs"/>
        <w:ind w:left="567"/>
      </w:pPr>
      <w:r w:rsidRPr="007500E4">
        <w:t>An</w:t>
      </w:r>
      <w:r w:rsidRPr="00DD07E1">
        <w:t xml:space="preserve"> opinion </w:t>
      </w:r>
      <w:r w:rsidRPr="007500E4">
        <w:t>or</w:t>
      </w:r>
      <w:r w:rsidRPr="00DD07E1">
        <w:t xml:space="preserve"> recommendation </w:t>
      </w:r>
      <w:r w:rsidRPr="007500E4">
        <w:t>does</w:t>
      </w:r>
      <w:r w:rsidRPr="00DD07E1">
        <w:t xml:space="preserve"> not </w:t>
      </w:r>
      <w:r w:rsidRPr="007500E4">
        <w:t>need</w:t>
      </w:r>
      <w:r w:rsidRPr="00DD07E1">
        <w:t xml:space="preserve"> to </w:t>
      </w:r>
      <w:r w:rsidRPr="007500E4">
        <w:t>be</w:t>
      </w:r>
      <w:r w:rsidRPr="00DD07E1">
        <w:t xml:space="preserve"> prepared for the sole purpose </w:t>
      </w:r>
      <w:r w:rsidRPr="007500E4">
        <w:t>of</w:t>
      </w:r>
      <w:r w:rsidRPr="00DD07E1">
        <w:t xml:space="preserve"> </w:t>
      </w:r>
      <w:r w:rsidRPr="007500E4">
        <w:t>a</w:t>
      </w:r>
      <w:r w:rsidRPr="00DD07E1">
        <w:t xml:space="preserve"> deliberative process.</w:t>
      </w:r>
      <w:r>
        <w:t xml:space="preserve"> However, it is not sufficient that an agency merely has a document in its possession that contains information referring to matters for which the agency has responsibility.</w:t>
      </w:r>
      <w:r>
        <w:rPr>
          <w:rStyle w:val="FootnoteReference"/>
        </w:rPr>
        <w:footnoteReference w:id="46"/>
      </w:r>
    </w:p>
    <w:p w14:paraId="27462FF3" w14:textId="77777777" w:rsidR="00BB0A82" w:rsidRPr="001A7047" w:rsidRDefault="00BB0A82" w:rsidP="001A7047">
      <w:pPr>
        <w:pStyle w:val="Heading3"/>
      </w:pPr>
      <w:bookmarkStart w:id="83" w:name="Assessing_deliberative_matter"/>
      <w:bookmarkStart w:id="84" w:name="_bookmark29"/>
      <w:bookmarkStart w:id="85" w:name="_Toc11154480"/>
      <w:bookmarkStart w:id="86" w:name="_Toc141875210"/>
      <w:bookmarkEnd w:id="83"/>
      <w:bookmarkEnd w:id="84"/>
      <w:r w:rsidRPr="001A7047">
        <w:t>Assessing deliberative matter</w:t>
      </w:r>
      <w:bookmarkEnd w:id="85"/>
      <w:bookmarkEnd w:id="86"/>
    </w:p>
    <w:p w14:paraId="4AAA3B18" w14:textId="77777777" w:rsidR="00BB0A82" w:rsidRPr="007500E4" w:rsidRDefault="00BB0A82" w:rsidP="00901310">
      <w:pPr>
        <w:pStyle w:val="NumberedParagraphs"/>
        <w:ind w:left="567"/>
      </w:pPr>
      <w:bookmarkStart w:id="87" w:name="_bookmark30"/>
      <w:bookmarkStart w:id="88" w:name="_Ref457390894"/>
      <w:bookmarkEnd w:id="87"/>
      <w:r w:rsidRPr="007500E4">
        <w:t>‘Deliberative matter’ is a shorthand term for ‘opinion, advice and recommendation’ and ‘consultation and deliberation’ that is recorded or reflected in a document.</w:t>
      </w:r>
      <w:r w:rsidRPr="007500E4">
        <w:rPr>
          <w:vertAlign w:val="superscript"/>
        </w:rPr>
        <w:footnoteReference w:id="47"/>
      </w:r>
      <w:r w:rsidRPr="007500E4">
        <w:t xml:space="preserve"> There is no reason generally to limit the ordinary meanings given to the words ‘opinion, advice or recommendation, consultation or deliberation’.</w:t>
      </w:r>
      <w:r w:rsidRPr="007500E4">
        <w:rPr>
          <w:vertAlign w:val="superscript"/>
        </w:rPr>
        <w:footnoteReference w:id="48"/>
      </w:r>
      <w:bookmarkEnd w:id="88"/>
    </w:p>
    <w:p w14:paraId="7FA9DBEF" w14:textId="77777777" w:rsidR="00BB0A82" w:rsidRPr="007500E4" w:rsidRDefault="00BB0A82" w:rsidP="00901310">
      <w:pPr>
        <w:pStyle w:val="NumberedParagraphs"/>
        <w:ind w:left="567"/>
      </w:pPr>
      <w:r w:rsidRPr="007500E4">
        <w:t>The</w:t>
      </w:r>
      <w:r w:rsidRPr="00DD07E1">
        <w:t xml:space="preserve"> agency must </w:t>
      </w:r>
      <w:r w:rsidRPr="007500E4">
        <w:t>assess</w:t>
      </w:r>
      <w:r w:rsidRPr="00DD07E1">
        <w:t xml:space="preserve"> </w:t>
      </w:r>
      <w:r w:rsidRPr="007500E4">
        <w:t>all</w:t>
      </w:r>
      <w:r w:rsidRPr="00DD07E1">
        <w:t xml:space="preserve"> the material to decide </w:t>
      </w:r>
      <w:r w:rsidRPr="007500E4">
        <w:t>if</w:t>
      </w:r>
      <w:r w:rsidRPr="00DD07E1">
        <w:t xml:space="preserve"> it </w:t>
      </w:r>
      <w:r w:rsidRPr="007500E4">
        <w:t>is</w:t>
      </w:r>
      <w:r w:rsidRPr="00DD07E1">
        <w:t xml:space="preserve"> deliberative matter</w:t>
      </w:r>
      <w:r w:rsidRPr="007500E4">
        <w:t xml:space="preserve"> </w:t>
      </w:r>
      <w:r w:rsidRPr="00DD07E1">
        <w:t xml:space="preserve">that </w:t>
      </w:r>
      <w:r w:rsidRPr="007500E4">
        <w:t>relates</w:t>
      </w:r>
      <w:r w:rsidRPr="00DD07E1">
        <w:t xml:space="preserve"> </w:t>
      </w:r>
      <w:r w:rsidRPr="007500E4">
        <w:t>to,</w:t>
      </w:r>
      <w:r w:rsidRPr="00DD07E1">
        <w:t xml:space="preserve"> </w:t>
      </w:r>
      <w:r w:rsidRPr="007500E4">
        <w:t>or</w:t>
      </w:r>
      <w:r w:rsidRPr="00DD07E1">
        <w:t xml:space="preserve"> </w:t>
      </w:r>
      <w:r w:rsidRPr="007500E4">
        <w:t>is</w:t>
      </w:r>
      <w:r w:rsidRPr="00DD07E1">
        <w:t xml:space="preserve"> </w:t>
      </w:r>
      <w:r w:rsidRPr="007500E4">
        <w:t>in</w:t>
      </w:r>
      <w:r w:rsidRPr="00DD07E1">
        <w:t xml:space="preserve"> the nature of, the deliberative processes </w:t>
      </w:r>
      <w:r w:rsidRPr="007500E4">
        <w:t>of</w:t>
      </w:r>
      <w:r w:rsidRPr="00DD07E1">
        <w:t xml:space="preserve"> the agency or </w:t>
      </w:r>
      <w:r w:rsidRPr="007500E4">
        <w:t>minister.</w:t>
      </w:r>
      <w:r w:rsidRPr="007500E4">
        <w:rPr>
          <w:rStyle w:val="FootnoteReference"/>
        </w:rPr>
        <w:footnoteReference w:id="49"/>
      </w:r>
      <w:r w:rsidRPr="007500E4" w:rsidDel="000C27FC">
        <w:rPr>
          <w:vertAlign w:val="superscript"/>
        </w:rPr>
        <w:t xml:space="preserve"> </w:t>
      </w:r>
    </w:p>
    <w:p w14:paraId="32676652" w14:textId="77777777" w:rsidR="00BB0A82" w:rsidRPr="007500E4" w:rsidRDefault="00BB0A82" w:rsidP="00901310">
      <w:pPr>
        <w:pStyle w:val="NumberedParagraphs"/>
        <w:ind w:left="567"/>
      </w:pPr>
      <w:r w:rsidRPr="007500E4">
        <w:t>The</w:t>
      </w:r>
      <w:r w:rsidRPr="00DD07E1">
        <w:t xml:space="preserve"> presence or absence </w:t>
      </w:r>
      <w:r w:rsidRPr="007500E4">
        <w:t>of</w:t>
      </w:r>
      <w:r w:rsidRPr="00DD07E1">
        <w:t xml:space="preserve"> particular words or phrases </w:t>
      </w:r>
      <w:r w:rsidRPr="007500E4">
        <w:t>is</w:t>
      </w:r>
      <w:r w:rsidRPr="00DD07E1">
        <w:t xml:space="preserve"> not </w:t>
      </w:r>
      <w:r w:rsidRPr="007500E4">
        <w:t>a</w:t>
      </w:r>
      <w:r w:rsidRPr="00DD07E1">
        <w:t xml:space="preserve"> reliable indication of whether </w:t>
      </w:r>
      <w:r w:rsidRPr="007500E4">
        <w:t xml:space="preserve">a document includes deliberative matter. The agency should assess the substance and content of the document before concluding it includes deliberative matter. Similarly, the format or class of the document, such as a ministerial brief or submission, </w:t>
      </w:r>
      <w:r>
        <w:t xml:space="preserve">or the document being a draft version of a later document </w:t>
      </w:r>
      <w:r w:rsidRPr="007500E4">
        <w:t>does not automatically designate the content as deliberative matter.</w:t>
      </w:r>
    </w:p>
    <w:p w14:paraId="43CD336D" w14:textId="77777777" w:rsidR="00BB0A82" w:rsidRPr="007500E4" w:rsidRDefault="00BB0A82" w:rsidP="00901310">
      <w:pPr>
        <w:pStyle w:val="NumberedParagraphs"/>
        <w:ind w:left="567"/>
      </w:pPr>
      <w:r w:rsidRPr="00DD07E1">
        <w:t xml:space="preserve">Material that </w:t>
      </w:r>
      <w:r w:rsidRPr="007500E4">
        <w:t>is</w:t>
      </w:r>
      <w:r w:rsidRPr="00DD07E1">
        <w:t xml:space="preserve"> not deliberative matter, where not already excluded </w:t>
      </w:r>
      <w:r w:rsidRPr="007500E4">
        <w:t>as</w:t>
      </w:r>
      <w:r w:rsidRPr="00DD07E1">
        <w:t xml:space="preserve"> operational information, purely factual material or </w:t>
      </w:r>
      <w:r w:rsidRPr="007500E4">
        <w:t>a</w:t>
      </w:r>
      <w:r w:rsidRPr="00DD07E1">
        <w:t xml:space="preserve"> scientific report, would include:</w:t>
      </w:r>
      <w:r w:rsidRPr="007500E4">
        <w:t xml:space="preserve"> </w:t>
      </w:r>
    </w:p>
    <w:p w14:paraId="323ABC0F" w14:textId="77777777" w:rsidR="00BB0A82" w:rsidRPr="007500E4" w:rsidRDefault="00BB0A82" w:rsidP="00202DAE">
      <w:pPr>
        <w:pStyle w:val="IndentBullet1"/>
        <w:ind w:left="851" w:hanging="284"/>
      </w:pPr>
      <w:r w:rsidRPr="00DD07E1">
        <w:t xml:space="preserve">content that </w:t>
      </w:r>
      <w:r w:rsidRPr="007500E4">
        <w:t>is</w:t>
      </w:r>
      <w:r w:rsidRPr="00DD07E1">
        <w:t xml:space="preserve"> merely descriptive</w:t>
      </w:r>
    </w:p>
    <w:p w14:paraId="124D4EAA" w14:textId="77777777" w:rsidR="00BB0A82" w:rsidRPr="007500E4" w:rsidRDefault="00BB0A82" w:rsidP="00202DAE">
      <w:pPr>
        <w:pStyle w:val="IndentBullet1"/>
        <w:ind w:left="851" w:hanging="284"/>
        <w:rPr>
          <w:sz w:val="16"/>
          <w:szCs w:val="16"/>
        </w:rPr>
      </w:pPr>
      <w:r w:rsidRPr="00DD07E1">
        <w:t>incidental administrative content</w:t>
      </w:r>
      <w:r w:rsidRPr="00DD07E1">
        <w:rPr>
          <w:rStyle w:val="FootnoteReference"/>
        </w:rPr>
        <w:footnoteReference w:id="50"/>
      </w:r>
    </w:p>
    <w:p w14:paraId="3ACF809D" w14:textId="77777777" w:rsidR="00BB0A82" w:rsidRPr="00DD07E1" w:rsidRDefault="00BB0A82" w:rsidP="00202DAE">
      <w:pPr>
        <w:pStyle w:val="IndentBullet1"/>
        <w:ind w:left="851" w:hanging="284"/>
        <w:rPr>
          <w:sz w:val="16"/>
          <w:szCs w:val="16"/>
        </w:rPr>
      </w:pPr>
      <w:r w:rsidRPr="00DD07E1">
        <w:lastRenderedPageBreak/>
        <w:t xml:space="preserve">procedural </w:t>
      </w:r>
      <w:r w:rsidRPr="007500E4">
        <w:t>or</w:t>
      </w:r>
      <w:r w:rsidRPr="00DD07E1">
        <w:t xml:space="preserve"> </w:t>
      </w:r>
      <w:r w:rsidRPr="007500E4">
        <w:t>day</w:t>
      </w:r>
      <w:r w:rsidRPr="00DD07E1">
        <w:t xml:space="preserve"> to day content</w:t>
      </w:r>
      <w:r w:rsidRPr="00DD07E1">
        <w:rPr>
          <w:rStyle w:val="FootnoteReference"/>
        </w:rPr>
        <w:footnoteReference w:id="51"/>
      </w:r>
    </w:p>
    <w:p w14:paraId="4585CAFF" w14:textId="2CE968DB" w:rsidR="00BB0A82" w:rsidRPr="007500E4" w:rsidRDefault="00BB0A82" w:rsidP="00202DAE">
      <w:pPr>
        <w:pStyle w:val="IndentBullet1"/>
        <w:ind w:left="851" w:hanging="284"/>
        <w:rPr>
          <w:sz w:val="16"/>
          <w:szCs w:val="16"/>
        </w:rPr>
      </w:pPr>
      <w:r w:rsidRPr="007500E4">
        <w:t>the</w:t>
      </w:r>
      <w:r w:rsidRPr="00DD07E1">
        <w:t xml:space="preserve"> decision </w:t>
      </w:r>
      <w:r w:rsidRPr="007500E4">
        <w:t>or</w:t>
      </w:r>
      <w:r w:rsidRPr="00DD07E1">
        <w:t xml:space="preserve"> conclusion reached </w:t>
      </w:r>
      <w:r w:rsidRPr="007500E4">
        <w:t>at</w:t>
      </w:r>
      <w:r w:rsidRPr="00DD07E1">
        <w:t xml:space="preserve"> the end </w:t>
      </w:r>
      <w:r w:rsidRPr="007500E4">
        <w:t>of</w:t>
      </w:r>
      <w:r w:rsidRPr="00DD07E1">
        <w:t xml:space="preserve"> the deliberative process</w:t>
      </w:r>
      <w:r w:rsidR="00A0316F">
        <w:rPr>
          <w:rStyle w:val="FootnoteReference"/>
        </w:rPr>
        <w:footnoteReference w:id="52"/>
      </w:r>
    </w:p>
    <w:p w14:paraId="38C968D0" w14:textId="77777777" w:rsidR="00BB0A82" w:rsidRPr="007500E4" w:rsidRDefault="00BB0A82" w:rsidP="00202DAE">
      <w:pPr>
        <w:pStyle w:val="IndentBullet1"/>
        <w:ind w:left="851" w:hanging="284"/>
      </w:pPr>
      <w:r w:rsidRPr="00DD07E1">
        <w:t xml:space="preserve">matter that was not obtained, prepared </w:t>
      </w:r>
      <w:r w:rsidRPr="007500E4">
        <w:t>or</w:t>
      </w:r>
      <w:r w:rsidRPr="00DD07E1">
        <w:t xml:space="preserve"> recorded in the course </w:t>
      </w:r>
      <w:r w:rsidRPr="007500E4">
        <w:t>of,</w:t>
      </w:r>
      <w:r w:rsidRPr="00DD07E1">
        <w:t xml:space="preserve"> </w:t>
      </w:r>
      <w:r w:rsidRPr="007500E4">
        <w:t>or</w:t>
      </w:r>
      <w:r w:rsidRPr="00DD07E1">
        <w:t xml:space="preserve"> for the</w:t>
      </w:r>
      <w:r w:rsidRPr="00DD07E1">
        <w:rPr>
          <w:w w:val="99"/>
        </w:rPr>
        <w:t xml:space="preserve"> </w:t>
      </w:r>
      <w:r w:rsidRPr="00DD07E1">
        <w:t xml:space="preserve">purposes of, </w:t>
      </w:r>
      <w:r w:rsidRPr="007500E4">
        <w:t>a</w:t>
      </w:r>
      <w:r w:rsidRPr="00DD07E1">
        <w:t xml:space="preserve"> deliberative process.</w:t>
      </w:r>
    </w:p>
    <w:p w14:paraId="21C6B4AD" w14:textId="3F385DF3" w:rsidR="00BB0A82" w:rsidRPr="007500E4" w:rsidRDefault="00BB0A82" w:rsidP="00901310">
      <w:pPr>
        <w:pStyle w:val="NumberedParagraphs"/>
        <w:ind w:left="567"/>
      </w:pPr>
      <w:bookmarkStart w:id="89" w:name="_bookmark31"/>
      <w:bookmarkStart w:id="90" w:name="_Ref465693700"/>
      <w:bookmarkEnd w:id="89"/>
      <w:r w:rsidRPr="007500E4">
        <w:t>Where</w:t>
      </w:r>
      <w:r w:rsidRPr="00DD07E1">
        <w:t xml:space="preserve"> material was gathered </w:t>
      </w:r>
      <w:r w:rsidRPr="007500E4">
        <w:t>as</w:t>
      </w:r>
      <w:r w:rsidRPr="00DD07E1">
        <w:t xml:space="preserve"> </w:t>
      </w:r>
      <w:r w:rsidRPr="007500E4">
        <w:t>a</w:t>
      </w:r>
      <w:r w:rsidRPr="00DD07E1">
        <w:t xml:space="preserve"> </w:t>
      </w:r>
      <w:r w:rsidRPr="007500E4">
        <w:t>basis</w:t>
      </w:r>
      <w:r w:rsidRPr="00DD07E1">
        <w:t xml:space="preserve"> </w:t>
      </w:r>
      <w:r w:rsidRPr="007500E4">
        <w:t>for</w:t>
      </w:r>
      <w:r w:rsidRPr="00DD07E1">
        <w:t xml:space="preserve"> intended deliberations, it may </w:t>
      </w:r>
      <w:r w:rsidRPr="007500E4">
        <w:t>be</w:t>
      </w:r>
      <w:r w:rsidRPr="00DD07E1">
        <w:rPr>
          <w:w w:val="99"/>
        </w:rPr>
        <w:t xml:space="preserve"> </w:t>
      </w:r>
      <w:r w:rsidRPr="007500E4">
        <w:t>deliberative</w:t>
      </w:r>
      <w:r w:rsidRPr="00DD07E1">
        <w:t xml:space="preserve"> matter.</w:t>
      </w:r>
      <w:r w:rsidRPr="00DD07E1">
        <w:rPr>
          <w:rStyle w:val="FootnoteReference"/>
        </w:rPr>
        <w:footnoteReference w:id="53"/>
      </w:r>
      <w:r w:rsidR="00F4251C">
        <w:t xml:space="preserve"> H</w:t>
      </w:r>
      <w:r w:rsidRPr="00DD07E1">
        <w:t xml:space="preserve">owever, </w:t>
      </w:r>
      <w:r w:rsidRPr="007500E4">
        <w:t>if</w:t>
      </w:r>
      <w:r w:rsidRPr="00DD07E1">
        <w:t xml:space="preserve"> the material was obtained before there was </w:t>
      </w:r>
      <w:r w:rsidRPr="007500E4">
        <w:t>a</w:t>
      </w:r>
      <w:r w:rsidRPr="00DD07E1">
        <w:t xml:space="preserve"> known requirement that the material would </w:t>
      </w:r>
      <w:r w:rsidRPr="007500E4">
        <w:t>be</w:t>
      </w:r>
      <w:r w:rsidRPr="00DD07E1">
        <w:t xml:space="preserve"> considered during </w:t>
      </w:r>
      <w:r w:rsidRPr="007500E4">
        <w:t>a</w:t>
      </w:r>
      <w:r w:rsidRPr="00DD07E1">
        <w:t xml:space="preserve"> deliberative process, that</w:t>
      </w:r>
      <w:r w:rsidRPr="00DD07E1">
        <w:rPr>
          <w:w w:val="99"/>
        </w:rPr>
        <w:t xml:space="preserve"> </w:t>
      </w:r>
      <w:r w:rsidRPr="007500E4">
        <w:t>material</w:t>
      </w:r>
      <w:r w:rsidRPr="00DD07E1">
        <w:t xml:space="preserve"> would not </w:t>
      </w:r>
      <w:r w:rsidRPr="007500E4">
        <w:t>be</w:t>
      </w:r>
      <w:r w:rsidRPr="00DD07E1">
        <w:t xml:space="preserve"> deliberative matter.</w:t>
      </w:r>
      <w:r w:rsidRPr="00DD07E1">
        <w:rPr>
          <w:rStyle w:val="FootnoteReference"/>
        </w:rPr>
        <w:footnoteReference w:id="54"/>
      </w:r>
      <w:bookmarkEnd w:id="90"/>
    </w:p>
    <w:p w14:paraId="5F0E24C4" w14:textId="15EAE5EC" w:rsidR="00BB0A82" w:rsidRPr="000929C5" w:rsidRDefault="00BB0A82" w:rsidP="001A7047">
      <w:pPr>
        <w:pStyle w:val="Heading3"/>
      </w:pPr>
      <w:bookmarkStart w:id="91" w:name="_Toc11154481"/>
      <w:bookmarkStart w:id="92" w:name="_Toc141875211"/>
      <w:r w:rsidRPr="000929C5">
        <w:t>Consultation</w:t>
      </w:r>
      <w:bookmarkEnd w:id="91"/>
      <w:bookmarkEnd w:id="92"/>
    </w:p>
    <w:p w14:paraId="3CA55DD4" w14:textId="77777777" w:rsidR="00BB0A82" w:rsidRPr="007500E4" w:rsidRDefault="00BB0A82" w:rsidP="00901310">
      <w:pPr>
        <w:pStyle w:val="NumberedParagraphs"/>
        <w:ind w:left="567"/>
      </w:pPr>
      <w:r w:rsidRPr="007500E4">
        <w:t>A</w:t>
      </w:r>
      <w:r w:rsidRPr="00DD07E1">
        <w:t xml:space="preserve"> consultation undertaken </w:t>
      </w:r>
      <w:r w:rsidRPr="007500E4">
        <w:t>for</w:t>
      </w:r>
      <w:r w:rsidRPr="00DD07E1">
        <w:t xml:space="preserve"> the purposes of, or </w:t>
      </w:r>
      <w:r w:rsidRPr="007500E4">
        <w:t>in</w:t>
      </w:r>
      <w:r w:rsidRPr="00DD07E1">
        <w:t xml:space="preserve"> the course of, </w:t>
      </w:r>
      <w:r w:rsidRPr="007500E4">
        <w:t>a</w:t>
      </w:r>
      <w:r w:rsidRPr="00DD07E1">
        <w:t xml:space="preserve"> deliberative</w:t>
      </w:r>
      <w:r w:rsidRPr="00DD07E1">
        <w:rPr>
          <w:w w:val="99"/>
        </w:rPr>
        <w:t xml:space="preserve"> </w:t>
      </w:r>
      <w:r w:rsidRPr="00DD07E1">
        <w:t xml:space="preserve">process includes </w:t>
      </w:r>
      <w:r w:rsidRPr="007500E4">
        <w:t>any</w:t>
      </w:r>
      <w:r w:rsidRPr="00DD07E1">
        <w:t xml:space="preserve"> discussion between the agency, </w:t>
      </w:r>
      <w:r w:rsidRPr="007500E4">
        <w:t>minister</w:t>
      </w:r>
      <w:r w:rsidRPr="00DD07E1">
        <w:t xml:space="preserve"> </w:t>
      </w:r>
      <w:r w:rsidRPr="007500E4">
        <w:t>or</w:t>
      </w:r>
      <w:r w:rsidRPr="00DD07E1">
        <w:t xml:space="preserve"> government and another</w:t>
      </w:r>
      <w:r w:rsidRPr="00DD07E1">
        <w:rPr>
          <w:w w:val="99"/>
        </w:rPr>
        <w:t xml:space="preserve"> </w:t>
      </w:r>
      <w:r w:rsidRPr="007500E4">
        <w:t>person</w:t>
      </w:r>
      <w:r w:rsidRPr="00DD07E1">
        <w:t xml:space="preserve"> </w:t>
      </w:r>
      <w:r w:rsidRPr="007500E4">
        <w:t>in</w:t>
      </w:r>
      <w:r w:rsidRPr="00DD07E1">
        <w:t xml:space="preserve"> relation to </w:t>
      </w:r>
      <w:r w:rsidRPr="007500E4">
        <w:t>the</w:t>
      </w:r>
      <w:r w:rsidRPr="00DD07E1">
        <w:t xml:space="preserve"> </w:t>
      </w:r>
      <w:r w:rsidRPr="007500E4">
        <w:t>decision</w:t>
      </w:r>
      <w:r w:rsidRPr="00DD07E1">
        <w:t xml:space="preserve"> that </w:t>
      </w:r>
      <w:r w:rsidRPr="007500E4">
        <w:t>is</w:t>
      </w:r>
      <w:r w:rsidRPr="00DD07E1">
        <w:t xml:space="preserve"> the object of </w:t>
      </w:r>
      <w:r w:rsidRPr="007500E4">
        <w:t>the</w:t>
      </w:r>
      <w:r w:rsidRPr="00DD07E1">
        <w:t xml:space="preserve"> deliberative process.</w:t>
      </w:r>
      <w:r w:rsidRPr="00DD07E1">
        <w:rPr>
          <w:rStyle w:val="FootnoteReference"/>
        </w:rPr>
        <w:footnoteReference w:id="55"/>
      </w:r>
    </w:p>
    <w:p w14:paraId="2F0D53B3" w14:textId="35203B08" w:rsidR="00BB0A82" w:rsidRPr="007500E4" w:rsidRDefault="00BB0A82" w:rsidP="00901310">
      <w:pPr>
        <w:pStyle w:val="NumberedParagraphs"/>
        <w:ind w:left="567"/>
      </w:pPr>
      <w:r w:rsidRPr="007500E4">
        <w:t>The</w:t>
      </w:r>
      <w:r w:rsidRPr="00DD07E1">
        <w:t xml:space="preserve"> agency should create the consultation document with the intention </w:t>
      </w:r>
      <w:r w:rsidRPr="007500E4">
        <w:t>of</w:t>
      </w:r>
      <w:r w:rsidRPr="00DD07E1">
        <w:t xml:space="preserve"> initiating</w:t>
      </w:r>
      <w:r w:rsidRPr="00DD07E1">
        <w:rPr>
          <w:w w:val="99"/>
        </w:rPr>
        <w:t xml:space="preserve"> </w:t>
      </w:r>
      <w:r w:rsidRPr="007500E4">
        <w:t>a</w:t>
      </w:r>
      <w:r w:rsidRPr="00DD07E1">
        <w:t xml:space="preserve"> two</w:t>
      </w:r>
      <w:r w:rsidR="002265B9">
        <w:t>-</w:t>
      </w:r>
      <w:r w:rsidRPr="00DD07E1">
        <w:t xml:space="preserve">way exchange between </w:t>
      </w:r>
      <w:r w:rsidRPr="007500E4">
        <w:t>at</w:t>
      </w:r>
      <w:r w:rsidRPr="00DD07E1">
        <w:t xml:space="preserve"> least </w:t>
      </w:r>
      <w:r w:rsidR="00703B8E">
        <w:t>2</w:t>
      </w:r>
      <w:r w:rsidRPr="00DD07E1">
        <w:t xml:space="preserve"> parties.</w:t>
      </w:r>
      <w:r w:rsidRPr="007500E4">
        <w:rPr>
          <w:rStyle w:val="FootnoteReference"/>
        </w:rPr>
        <w:footnoteReference w:id="56"/>
      </w:r>
      <w:r w:rsidRPr="00DD07E1">
        <w:t xml:space="preserve"> </w:t>
      </w:r>
      <w:r w:rsidRPr="007500E4">
        <w:t>If</w:t>
      </w:r>
      <w:r w:rsidRPr="00DD07E1">
        <w:t xml:space="preserve"> the other person does not respond </w:t>
      </w:r>
      <w:r w:rsidRPr="007500E4">
        <w:t>or</w:t>
      </w:r>
      <w:r w:rsidRPr="00DD07E1">
        <w:rPr>
          <w:w w:val="99"/>
        </w:rPr>
        <w:t xml:space="preserve"> </w:t>
      </w:r>
      <w:r w:rsidRPr="00DD07E1">
        <w:t>participate, the consultation document</w:t>
      </w:r>
      <w:r w:rsidRPr="007500E4">
        <w:t xml:space="preserve"> </w:t>
      </w:r>
      <w:r w:rsidRPr="00DD07E1">
        <w:t>may still be deliberative matter.</w:t>
      </w:r>
      <w:r w:rsidRPr="007500E4">
        <w:rPr>
          <w:b/>
          <w:bCs/>
        </w:rPr>
        <w:t xml:space="preserve"> </w:t>
      </w:r>
    </w:p>
    <w:p w14:paraId="2D50D105" w14:textId="77777777" w:rsidR="00BB0A82" w:rsidRPr="00207699" w:rsidRDefault="00BB0A82" w:rsidP="001A7047">
      <w:pPr>
        <w:pStyle w:val="Heading3"/>
        <w:rPr>
          <w:b/>
          <w:bCs w:val="0"/>
          <w:iCs/>
        </w:rPr>
      </w:pPr>
      <w:bookmarkStart w:id="93" w:name="Purely_factual_material"/>
      <w:bookmarkStart w:id="94" w:name="_bookmark32"/>
      <w:bookmarkStart w:id="95" w:name="_Toc11154482"/>
      <w:bookmarkStart w:id="96" w:name="_Toc141875212"/>
      <w:bookmarkEnd w:id="93"/>
      <w:bookmarkEnd w:id="94"/>
      <w:r w:rsidRPr="00DD07E1">
        <w:t>Purely factual material</w:t>
      </w:r>
      <w:bookmarkEnd w:id="95"/>
      <w:bookmarkEnd w:id="96"/>
    </w:p>
    <w:p w14:paraId="106F823D" w14:textId="77777777" w:rsidR="00BB0A82" w:rsidRPr="007500E4" w:rsidRDefault="00BB0A82" w:rsidP="00901310">
      <w:pPr>
        <w:pStyle w:val="NumberedParagraphs"/>
        <w:ind w:left="567"/>
      </w:pPr>
      <w:r w:rsidRPr="007500E4">
        <w:t>The</w:t>
      </w:r>
      <w:r w:rsidRPr="00DD07E1">
        <w:t xml:space="preserve"> exclusion </w:t>
      </w:r>
      <w:r w:rsidRPr="007500E4">
        <w:t>of</w:t>
      </w:r>
      <w:r w:rsidRPr="00DD07E1">
        <w:t xml:space="preserve"> purely factual material under </w:t>
      </w:r>
      <w:r w:rsidRPr="007500E4">
        <w:t>s</w:t>
      </w:r>
      <w:r w:rsidRPr="00DD07E1">
        <w:t xml:space="preserve"> 47C(2)(b) </w:t>
      </w:r>
      <w:r w:rsidRPr="007500E4">
        <w:t>is</w:t>
      </w:r>
      <w:r w:rsidRPr="00DD07E1">
        <w:t xml:space="preserve"> intended </w:t>
      </w:r>
      <w:r w:rsidRPr="007500E4">
        <w:t>to</w:t>
      </w:r>
      <w:r w:rsidRPr="00DD07E1">
        <w:t xml:space="preserve"> allow disclosure </w:t>
      </w:r>
      <w:r w:rsidRPr="007500E4">
        <w:t>of</w:t>
      </w:r>
      <w:r w:rsidRPr="00DD07E1">
        <w:t xml:space="preserve"> material used in </w:t>
      </w:r>
      <w:r w:rsidRPr="007500E4">
        <w:t>the</w:t>
      </w:r>
      <w:r w:rsidRPr="00DD07E1">
        <w:t xml:space="preserve"> deliberative process.</w:t>
      </w:r>
    </w:p>
    <w:p w14:paraId="20E41456" w14:textId="77777777" w:rsidR="00BB0A82" w:rsidRPr="00DD07E1" w:rsidRDefault="00BB0A82" w:rsidP="00901310">
      <w:pPr>
        <w:pStyle w:val="NumberedParagraphs"/>
        <w:ind w:left="567"/>
      </w:pPr>
      <w:r w:rsidRPr="007500E4">
        <w:t>A</w:t>
      </w:r>
      <w:r w:rsidRPr="00DD07E1">
        <w:t xml:space="preserve"> conclusion involving opinion or </w:t>
      </w:r>
      <w:r w:rsidRPr="007500E4">
        <w:t>judgement</w:t>
      </w:r>
      <w:r w:rsidRPr="00DD07E1">
        <w:t xml:space="preserve"> </w:t>
      </w:r>
      <w:r w:rsidRPr="007500E4">
        <w:t>is</w:t>
      </w:r>
      <w:r w:rsidRPr="00DD07E1">
        <w:t xml:space="preserve"> not </w:t>
      </w:r>
      <w:r w:rsidRPr="007500E4">
        <w:t>purely</w:t>
      </w:r>
      <w:r w:rsidRPr="00DD07E1">
        <w:t xml:space="preserve"> factual </w:t>
      </w:r>
      <w:r w:rsidRPr="007500E4">
        <w:t>material.</w:t>
      </w:r>
      <w:r w:rsidRPr="00DD07E1">
        <w:t xml:space="preserve"> Similarly, an assertion that something </w:t>
      </w:r>
      <w:r w:rsidRPr="007500E4">
        <w:t>is</w:t>
      </w:r>
      <w:r w:rsidRPr="00DD07E1">
        <w:t xml:space="preserve"> </w:t>
      </w:r>
      <w:r w:rsidRPr="007500E4">
        <w:t>a</w:t>
      </w:r>
      <w:r w:rsidRPr="00DD07E1">
        <w:t xml:space="preserve"> fact</w:t>
      </w:r>
      <w:r w:rsidRPr="00DD07E1">
        <w:rPr>
          <w:w w:val="99"/>
        </w:rPr>
        <w:t xml:space="preserve"> </w:t>
      </w:r>
      <w:r w:rsidRPr="007500E4">
        <w:t>may</w:t>
      </w:r>
      <w:r w:rsidRPr="00DD07E1">
        <w:t xml:space="preserve"> </w:t>
      </w:r>
      <w:r w:rsidRPr="007500E4">
        <w:t>be</w:t>
      </w:r>
      <w:r w:rsidRPr="00DD07E1">
        <w:t xml:space="preserve"> </w:t>
      </w:r>
      <w:r w:rsidRPr="007500E4">
        <w:t>an</w:t>
      </w:r>
      <w:r w:rsidRPr="00DD07E1">
        <w:t xml:space="preserve"> opinion rather than purely factual material</w:t>
      </w:r>
      <w:r w:rsidRPr="007500E4">
        <w:t xml:space="preserve">. </w:t>
      </w:r>
    </w:p>
    <w:p w14:paraId="68ECE73B" w14:textId="77777777" w:rsidR="00BB0A82" w:rsidRPr="007500E4" w:rsidRDefault="00BB0A82" w:rsidP="00901310">
      <w:pPr>
        <w:pStyle w:val="NumberedParagraphs"/>
        <w:ind w:left="567"/>
      </w:pPr>
      <w:r w:rsidRPr="00DD07E1">
        <w:t>Conversely, when a statement is made of an ultimate fact, involving a conclusion based on p</w:t>
      </w:r>
      <w:r w:rsidRPr="007500E4">
        <w:t xml:space="preserve">rimary facts which are unstated, </w:t>
      </w:r>
      <w:r w:rsidRPr="00DD07E1">
        <w:t>such a statement may be a statement of purely factual material.</w:t>
      </w:r>
      <w:r w:rsidRPr="00DD07E1">
        <w:rPr>
          <w:rStyle w:val="FootnoteReference"/>
        </w:rPr>
        <w:footnoteReference w:id="57"/>
      </w:r>
    </w:p>
    <w:p w14:paraId="636FA0EB" w14:textId="77777777" w:rsidR="00BB0A82" w:rsidRPr="007500E4" w:rsidRDefault="00BB0A82" w:rsidP="00901310">
      <w:pPr>
        <w:pStyle w:val="NumberedParagraphs"/>
        <w:ind w:left="567"/>
      </w:pPr>
      <w:bookmarkStart w:id="97" w:name="_Ref457390908"/>
      <w:r w:rsidRPr="007500E4">
        <w:t xml:space="preserve">'Purely factual material’ does not extend to factual material that is an integral part of the deliberative content and purpose of a </w:t>
      </w:r>
      <w:proofErr w:type="gramStart"/>
      <w:r w:rsidRPr="007500E4">
        <w:t>document, or</w:t>
      </w:r>
      <w:proofErr w:type="gramEnd"/>
      <w:r w:rsidRPr="007500E4">
        <w:t xml:space="preserve"> is embedded in or intertwined with the deliberative content such that it is impractical to excise it.</w:t>
      </w:r>
      <w:r w:rsidRPr="00DD07E1">
        <w:rPr>
          <w:vertAlign w:val="superscript"/>
        </w:rPr>
        <w:footnoteReference w:id="58"/>
      </w:r>
      <w:bookmarkEnd w:id="97"/>
      <w:r w:rsidRPr="007500E4">
        <w:rPr>
          <w:vertAlign w:val="superscript"/>
        </w:rPr>
        <w:t xml:space="preserve"> </w:t>
      </w:r>
    </w:p>
    <w:p w14:paraId="4C7D3315" w14:textId="308569D7" w:rsidR="00BB0A82" w:rsidRPr="007500E4" w:rsidRDefault="00BB0A82" w:rsidP="00901310">
      <w:pPr>
        <w:pStyle w:val="NumberedParagraphs"/>
        <w:ind w:left="567"/>
      </w:pPr>
      <w:r w:rsidRPr="007500E4">
        <w:lastRenderedPageBreak/>
        <w:t>Where</w:t>
      </w:r>
      <w:r w:rsidRPr="00DD07E1">
        <w:t xml:space="preserve"> </w:t>
      </w:r>
      <w:r w:rsidRPr="007500E4">
        <w:t>a</w:t>
      </w:r>
      <w:r w:rsidRPr="00DD07E1">
        <w:t xml:space="preserve"> decision maker </w:t>
      </w:r>
      <w:r w:rsidRPr="007500E4">
        <w:t>finds</w:t>
      </w:r>
      <w:r w:rsidRPr="00DD07E1">
        <w:t xml:space="preserve"> </w:t>
      </w:r>
      <w:r w:rsidRPr="007500E4">
        <w:t>it</w:t>
      </w:r>
      <w:r w:rsidRPr="00DD07E1">
        <w:t xml:space="preserve"> difficult </w:t>
      </w:r>
      <w:r w:rsidRPr="007500E4">
        <w:t>to</w:t>
      </w:r>
      <w:r w:rsidRPr="00DD07E1">
        <w:t xml:space="preserve"> separate </w:t>
      </w:r>
      <w:r w:rsidRPr="007500E4">
        <w:t>the</w:t>
      </w:r>
      <w:r w:rsidRPr="00DD07E1">
        <w:t xml:space="preserve"> purely factual material from</w:t>
      </w:r>
      <w:r w:rsidRPr="00DD07E1">
        <w:rPr>
          <w:w w:val="99"/>
        </w:rPr>
        <w:t xml:space="preserve"> </w:t>
      </w:r>
      <w:r w:rsidRPr="007500E4">
        <w:t>the</w:t>
      </w:r>
      <w:r w:rsidRPr="00DD07E1">
        <w:t xml:space="preserve"> deliberative matter, both </w:t>
      </w:r>
      <w:r w:rsidRPr="007500E4">
        <w:t>the</w:t>
      </w:r>
      <w:r w:rsidRPr="00DD07E1">
        <w:t xml:space="preserve"> elements </w:t>
      </w:r>
      <w:r w:rsidRPr="007500E4">
        <w:t>may</w:t>
      </w:r>
      <w:r w:rsidRPr="00DD07E1">
        <w:t xml:space="preserve"> be exempt.</w:t>
      </w:r>
      <w:r w:rsidRPr="007500E4">
        <w:rPr>
          <w:rStyle w:val="FootnoteReference"/>
        </w:rPr>
        <w:footnoteReference w:id="59"/>
      </w:r>
      <w:r w:rsidR="00DF1D98">
        <w:t xml:space="preserve"> I</w:t>
      </w:r>
      <w:r w:rsidRPr="007500E4">
        <w:t>f</w:t>
      </w:r>
      <w:r w:rsidRPr="00DD07E1">
        <w:t xml:space="preserve"> the </w:t>
      </w:r>
      <w:r w:rsidR="00703B8E">
        <w:t>2</w:t>
      </w:r>
      <w:r w:rsidRPr="00DD07E1">
        <w:t xml:space="preserve"> elements can </w:t>
      </w:r>
      <w:r w:rsidRPr="007500E4">
        <w:t>be</w:t>
      </w:r>
      <w:r w:rsidRPr="00DD07E1">
        <w:rPr>
          <w:w w:val="99"/>
        </w:rPr>
        <w:t xml:space="preserve"> </w:t>
      </w:r>
      <w:r w:rsidRPr="007500E4">
        <w:t>separated,</w:t>
      </w:r>
      <w:r w:rsidRPr="00DD07E1">
        <w:t xml:space="preserve"> the </w:t>
      </w:r>
      <w:r w:rsidRPr="007500E4">
        <w:t>decision</w:t>
      </w:r>
      <w:r w:rsidRPr="00DD07E1">
        <w:t xml:space="preserve"> maker should consider giving the applicant </w:t>
      </w:r>
      <w:r w:rsidRPr="007500E4">
        <w:t>a</w:t>
      </w:r>
      <w:r w:rsidRPr="00DD07E1">
        <w:t xml:space="preserve"> copy with deletions under </w:t>
      </w:r>
      <w:r w:rsidRPr="007500E4">
        <w:t>s</w:t>
      </w:r>
      <w:r w:rsidRPr="00DD07E1">
        <w:t xml:space="preserve"> </w:t>
      </w:r>
      <w:r w:rsidRPr="007500E4">
        <w:t>22</w:t>
      </w:r>
      <w:r w:rsidRPr="00DD07E1">
        <w:t xml:space="preserve"> </w:t>
      </w:r>
      <w:r w:rsidRPr="007500E4">
        <w:t>to</w:t>
      </w:r>
      <w:r w:rsidRPr="00DD07E1">
        <w:t xml:space="preserve"> provide access </w:t>
      </w:r>
      <w:r w:rsidRPr="007500E4">
        <w:t>to</w:t>
      </w:r>
      <w:r w:rsidRPr="00DD07E1">
        <w:t xml:space="preserve"> </w:t>
      </w:r>
      <w:r w:rsidRPr="007500E4">
        <w:t>the</w:t>
      </w:r>
      <w:r w:rsidRPr="00DD07E1">
        <w:t xml:space="preserve"> purely factual material.</w:t>
      </w:r>
      <w:r w:rsidRPr="007500E4">
        <w:rPr>
          <w:rStyle w:val="FootnoteReference"/>
        </w:rPr>
        <w:footnoteReference w:id="60"/>
      </w:r>
    </w:p>
    <w:p w14:paraId="7A1D930D" w14:textId="77777777" w:rsidR="00BB0A82" w:rsidRPr="00017D04" w:rsidRDefault="00BB0A82" w:rsidP="001A7047">
      <w:pPr>
        <w:pStyle w:val="Heading3"/>
      </w:pPr>
      <w:bookmarkStart w:id="98" w:name="Reports_on_scientific_or_technical_matte"/>
      <w:bookmarkStart w:id="99" w:name="_bookmark33"/>
      <w:bookmarkStart w:id="100" w:name="_Toc11154483"/>
      <w:bookmarkStart w:id="101" w:name="_Toc141875213"/>
      <w:bookmarkEnd w:id="98"/>
      <w:bookmarkEnd w:id="99"/>
      <w:r w:rsidRPr="00017D04">
        <w:t>Reports on scientific or technical matters</w:t>
      </w:r>
      <w:bookmarkEnd w:id="100"/>
      <w:bookmarkEnd w:id="101"/>
    </w:p>
    <w:p w14:paraId="68D0FDBF" w14:textId="3968626D" w:rsidR="00BB0A82" w:rsidRPr="00017D04" w:rsidRDefault="00BB0A82" w:rsidP="00901310">
      <w:pPr>
        <w:pStyle w:val="NumberedParagraphs"/>
        <w:ind w:left="567"/>
        <w:rPr>
          <w:rFonts w:ascii="Calibri" w:eastAsia="Calibri" w:hAnsi="Calibri" w:cs="Calibri"/>
          <w:sz w:val="2"/>
          <w:szCs w:val="2"/>
        </w:rPr>
      </w:pPr>
      <w:bookmarkStart w:id="102" w:name="_bookmark34"/>
      <w:bookmarkStart w:id="103" w:name="_Ref458496965"/>
      <w:bookmarkEnd w:id="102"/>
      <w:r w:rsidRPr="007500E4">
        <w:t>As</w:t>
      </w:r>
      <w:r w:rsidRPr="00DD07E1">
        <w:t xml:space="preserve"> noted </w:t>
      </w:r>
      <w:r w:rsidRPr="002904CB">
        <w:t>in [</w:t>
      </w:r>
      <w:hyperlink w:anchor="_bookmark27" w:history="1">
        <w:r w:rsidRPr="002904CB">
          <w:fldChar w:fldCharType="begin"/>
        </w:r>
        <w:r w:rsidRPr="002904CB">
          <w:instrText xml:space="preserve"> REF _Ref458496990 \r \h  \* MERGEFORMAT </w:instrText>
        </w:r>
        <w:r w:rsidRPr="002904CB">
          <w:fldChar w:fldCharType="separate"/>
        </w:r>
        <w:r w:rsidR="00A721BB">
          <w:t>6.47</w:t>
        </w:r>
        <w:r w:rsidRPr="002904CB">
          <w:fldChar w:fldCharType="end"/>
        </w:r>
      </w:hyperlink>
      <w:r w:rsidR="002904CB" w:rsidRPr="002904CB">
        <w:t>7</w:t>
      </w:r>
      <w:r w:rsidRPr="002904CB">
        <w:t>] abo</w:t>
      </w:r>
      <w:r w:rsidRPr="00DD07E1">
        <w:t xml:space="preserve">ve, the </w:t>
      </w:r>
      <w:r w:rsidRPr="007500E4">
        <w:t>s</w:t>
      </w:r>
      <w:r w:rsidRPr="00DD07E1">
        <w:t xml:space="preserve"> </w:t>
      </w:r>
      <w:r w:rsidRPr="007500E4">
        <w:t>47C</w:t>
      </w:r>
      <w:r w:rsidRPr="00DD07E1">
        <w:t xml:space="preserve"> conditional exemption </w:t>
      </w:r>
      <w:r w:rsidRPr="007500E4">
        <w:t>does</w:t>
      </w:r>
      <w:r w:rsidRPr="00DD07E1">
        <w:t xml:space="preserve"> not apply </w:t>
      </w:r>
      <w:r w:rsidRPr="007500E4">
        <w:t>to</w:t>
      </w:r>
      <w:r w:rsidRPr="00DD07E1">
        <w:t xml:space="preserve"> reports (including reports concerning </w:t>
      </w:r>
      <w:r w:rsidRPr="007500E4">
        <w:t>the</w:t>
      </w:r>
      <w:r w:rsidRPr="00DD07E1">
        <w:t xml:space="preserve"> results </w:t>
      </w:r>
      <w:r w:rsidRPr="007500E4">
        <w:t>of</w:t>
      </w:r>
      <w:r w:rsidRPr="00DD07E1">
        <w:t xml:space="preserve"> studies, surveys </w:t>
      </w:r>
      <w:r w:rsidRPr="007500E4">
        <w:t>or</w:t>
      </w:r>
      <w:r w:rsidRPr="00DD07E1">
        <w:t xml:space="preserve"> tests) </w:t>
      </w:r>
      <w:r w:rsidRPr="007500E4">
        <w:t>of</w:t>
      </w:r>
      <w:r w:rsidRPr="00DD07E1">
        <w:t xml:space="preserve"> scientific or technical experts, including reports </w:t>
      </w:r>
      <w:r w:rsidRPr="00017D04">
        <w:rPr>
          <w:rFonts w:cs="Calibri"/>
        </w:rPr>
        <w:t xml:space="preserve">expressing experts’ opinions on scientific or technical </w:t>
      </w:r>
      <w:r w:rsidRPr="00DD07E1">
        <w:t>matters (s 47C(3)(a)).</w:t>
      </w:r>
      <w:bookmarkEnd w:id="103"/>
    </w:p>
    <w:p w14:paraId="34A38871" w14:textId="77777777" w:rsidR="00BB0A82" w:rsidRPr="007500E4" w:rsidRDefault="00BB0A82" w:rsidP="00901310">
      <w:pPr>
        <w:pStyle w:val="NumberedParagraphs"/>
        <w:ind w:left="567"/>
      </w:pPr>
      <w:r w:rsidRPr="007500E4">
        <w:t>The</w:t>
      </w:r>
      <w:r w:rsidRPr="00DD07E1">
        <w:t xml:space="preserve"> sciences include the natural sciences </w:t>
      </w:r>
      <w:r w:rsidRPr="007500E4">
        <w:t>of</w:t>
      </w:r>
      <w:r w:rsidRPr="00DD07E1">
        <w:t xml:space="preserve"> physics, </w:t>
      </w:r>
      <w:r w:rsidRPr="007500E4">
        <w:t>chemistry,</w:t>
      </w:r>
      <w:r w:rsidRPr="00DD07E1">
        <w:t xml:space="preserve"> astronomy, biology</w:t>
      </w:r>
      <w:r w:rsidRPr="00DD07E1">
        <w:rPr>
          <w:w w:val="99"/>
        </w:rPr>
        <w:t xml:space="preserve"> </w:t>
      </w:r>
      <w:r w:rsidRPr="00DD07E1">
        <w:t xml:space="preserve">(such </w:t>
      </w:r>
      <w:r w:rsidRPr="007500E4">
        <w:t>as</w:t>
      </w:r>
      <w:r w:rsidRPr="00DD07E1">
        <w:t xml:space="preserve"> botany, zoology </w:t>
      </w:r>
      <w:r w:rsidRPr="007500E4">
        <w:t>and</w:t>
      </w:r>
      <w:r w:rsidRPr="00DD07E1">
        <w:t xml:space="preserve"> medicine</w:t>
      </w:r>
      <w:r w:rsidRPr="00DD07E1">
        <w:rPr>
          <w:rStyle w:val="FootnoteReference"/>
        </w:rPr>
        <w:footnoteReference w:id="61"/>
      </w:r>
      <w:r w:rsidRPr="00DD07E1">
        <w:t xml:space="preserve">) </w:t>
      </w:r>
      <w:r w:rsidRPr="007500E4">
        <w:t>and</w:t>
      </w:r>
      <w:r w:rsidRPr="00DD07E1">
        <w:t xml:space="preserve"> </w:t>
      </w:r>
      <w:r w:rsidRPr="007500E4">
        <w:t>the</w:t>
      </w:r>
      <w:r w:rsidRPr="00DD07E1">
        <w:t xml:space="preserve"> earth sciences (which include geology,</w:t>
      </w:r>
      <w:r w:rsidRPr="00DD07E1">
        <w:rPr>
          <w:w w:val="99"/>
        </w:rPr>
        <w:t xml:space="preserve"> </w:t>
      </w:r>
      <w:r w:rsidRPr="00DD07E1">
        <w:t xml:space="preserve">geophysics, </w:t>
      </w:r>
      <w:r w:rsidRPr="007500E4">
        <w:t>hydrology,</w:t>
      </w:r>
      <w:r w:rsidRPr="00DD07E1">
        <w:t xml:space="preserve"> meteorology, physical geography, oceanography, </w:t>
      </w:r>
      <w:r w:rsidRPr="007500E4">
        <w:t>and</w:t>
      </w:r>
      <w:r w:rsidRPr="00DD07E1">
        <w:t xml:space="preserve"> soil science). Technical matters involve the application of </w:t>
      </w:r>
      <w:proofErr w:type="gramStart"/>
      <w:r w:rsidRPr="00DD07E1">
        <w:t xml:space="preserve">science, </w:t>
      </w:r>
      <w:r w:rsidRPr="007500E4">
        <w:t>and</w:t>
      </w:r>
      <w:proofErr w:type="gramEnd"/>
      <w:r w:rsidRPr="00DD07E1">
        <w:t xml:space="preserve"> include engineering.</w:t>
      </w:r>
      <w:r w:rsidRPr="007500E4">
        <w:rPr>
          <w:rStyle w:val="FootnoteReference"/>
        </w:rPr>
        <w:footnoteReference w:id="62"/>
      </w:r>
    </w:p>
    <w:p w14:paraId="00B61ACA" w14:textId="6B259B59" w:rsidR="00BB0A82" w:rsidRPr="007500E4" w:rsidRDefault="00015D95" w:rsidP="00901310">
      <w:pPr>
        <w:pStyle w:val="NumberedParagraphs"/>
        <w:ind w:left="567"/>
      </w:pPr>
      <w:r>
        <w:t>For the purpose of s 47C(3)(a), t</w:t>
      </w:r>
      <w:r w:rsidRPr="007500E4">
        <w:t>he</w:t>
      </w:r>
      <w:r w:rsidRPr="00DD07E1">
        <w:t xml:space="preserve"> </w:t>
      </w:r>
      <w:r w:rsidR="00BB0A82" w:rsidRPr="00DD07E1">
        <w:t xml:space="preserve">social sciences, </w:t>
      </w:r>
      <w:r w:rsidR="00BB0A82" w:rsidRPr="007500E4">
        <w:t>or</w:t>
      </w:r>
      <w:r w:rsidR="00BB0A82" w:rsidRPr="00DD07E1">
        <w:t xml:space="preserve"> the</w:t>
      </w:r>
      <w:r w:rsidR="00BB0A82" w:rsidRPr="007500E4">
        <w:t xml:space="preserve"> </w:t>
      </w:r>
      <w:r w:rsidR="00BB0A82" w:rsidRPr="00DD07E1">
        <w:t>study of</w:t>
      </w:r>
      <w:r w:rsidR="00BB0A82" w:rsidRPr="007500E4">
        <w:t xml:space="preserve"> </w:t>
      </w:r>
      <w:r w:rsidR="00BB0A82" w:rsidRPr="00DD07E1">
        <w:t xml:space="preserve">an aspect </w:t>
      </w:r>
      <w:r w:rsidR="00BB0A82" w:rsidRPr="007500E4">
        <w:t>of</w:t>
      </w:r>
      <w:r w:rsidR="00BB0A82" w:rsidRPr="00DD07E1">
        <w:t xml:space="preserve"> human society, are </w:t>
      </w:r>
      <w:r w:rsidR="00BB0A82" w:rsidRPr="007500E4">
        <w:t>not</w:t>
      </w:r>
      <w:r w:rsidR="00BB0A82" w:rsidRPr="00DD07E1">
        <w:t xml:space="preserve"> scientific (for example, anthropology, archaeology, economics,</w:t>
      </w:r>
      <w:r w:rsidR="00BB0A82" w:rsidRPr="00DD07E1">
        <w:rPr>
          <w:rStyle w:val="FootnoteReference"/>
        </w:rPr>
        <w:footnoteReference w:id="63"/>
      </w:r>
      <w:r w:rsidR="00BB0A82" w:rsidRPr="00DD07E1">
        <w:rPr>
          <w:position w:val="11"/>
          <w:sz w:val="16"/>
        </w:rPr>
        <w:t xml:space="preserve"> </w:t>
      </w:r>
      <w:r w:rsidR="00BB0A82" w:rsidRPr="007500E4">
        <w:t>geography,</w:t>
      </w:r>
      <w:r w:rsidR="00BB0A82" w:rsidRPr="00DD07E1">
        <w:t xml:space="preserve"> history, linguistics, political science, sociology and psychology).</w:t>
      </w:r>
    </w:p>
    <w:p w14:paraId="290A9A5A" w14:textId="5AF28D18" w:rsidR="00BB0A82" w:rsidRPr="00F85DED" w:rsidRDefault="00BB0A82" w:rsidP="001A7047">
      <w:pPr>
        <w:pStyle w:val="Heading3"/>
      </w:pPr>
      <w:bookmarkStart w:id="104" w:name="Applying_the_public_interest_test"/>
      <w:bookmarkStart w:id="105" w:name="_bookmark35"/>
      <w:bookmarkStart w:id="106" w:name="_bookmark36"/>
      <w:bookmarkStart w:id="107" w:name="_Toc11154486"/>
      <w:bookmarkStart w:id="108" w:name="_Toc141875214"/>
      <w:bookmarkEnd w:id="104"/>
      <w:bookmarkEnd w:id="105"/>
      <w:bookmarkEnd w:id="106"/>
      <w:r w:rsidRPr="00F85DED">
        <w:t>Interaction with Cabinet documents exemption</w:t>
      </w:r>
      <w:bookmarkEnd w:id="107"/>
      <w:bookmarkEnd w:id="108"/>
    </w:p>
    <w:p w14:paraId="16D03129" w14:textId="57A7D6FE" w:rsidR="00BB0A82" w:rsidRPr="007500E4" w:rsidRDefault="00BB0A82" w:rsidP="00901310">
      <w:pPr>
        <w:pStyle w:val="NumberedParagraphs"/>
        <w:ind w:left="567"/>
      </w:pPr>
      <w:r w:rsidRPr="007500E4">
        <w:t xml:space="preserve">In some cases, a document may contain deliberative matter that relates to Cabinet in some way but is not exempt under the Cabinet </w:t>
      </w:r>
      <w:r w:rsidR="008B6036">
        <w:t xml:space="preserve">documents </w:t>
      </w:r>
      <w:r w:rsidRPr="007500E4">
        <w:t>exemption in s 34. An example would be a document containing deliberative matter that is marked ‘Cabinet-in-Confidence’ but nonetheless does not satisfy any of the exemption criteria in s 34.</w:t>
      </w:r>
      <w:r w:rsidRPr="007500E4">
        <w:rPr>
          <w:rStyle w:val="FootnoteReference"/>
        </w:rPr>
        <w:footnoteReference w:id="64"/>
      </w:r>
      <w:r w:rsidRPr="007500E4">
        <w:t xml:space="preserve"> Disclosing a document of this kind w</w:t>
      </w:r>
      <w:r w:rsidR="00F63273">
        <w:t>ill</w:t>
      </w:r>
      <w:r w:rsidRPr="007500E4">
        <w:t xml:space="preserve"> not necessarily be contrary to the public interest only because of the connection to Cabinet deliberations. For example, disclosure is less likely to be contrary to the public interest if: </w:t>
      </w:r>
    </w:p>
    <w:p w14:paraId="4BFAA9CA" w14:textId="5CEFA1D1" w:rsidR="00BB0A82" w:rsidRPr="007500E4" w:rsidRDefault="00BB0A82" w:rsidP="00202DAE">
      <w:pPr>
        <w:pStyle w:val="IndentBullet1"/>
        <w:ind w:left="851" w:hanging="284"/>
      </w:pPr>
      <w:r w:rsidRPr="007500E4">
        <w:t>the document contains deliberative but otherwise non-sensitive matter about a policy development process that has been finalised and</w:t>
      </w:r>
    </w:p>
    <w:p w14:paraId="6A50978D" w14:textId="77777777" w:rsidR="00BB0A82" w:rsidRPr="007500E4" w:rsidRDefault="00BB0A82" w:rsidP="00202DAE">
      <w:pPr>
        <w:pStyle w:val="IndentBullet1"/>
        <w:ind w:left="851" w:hanging="284"/>
      </w:pPr>
      <w:r w:rsidRPr="007500E4">
        <w:t>the Government has announced its decision on the issue.</w:t>
      </w:r>
      <w:r w:rsidRPr="007500E4">
        <w:rPr>
          <w:rStyle w:val="FootnoteReference"/>
        </w:rPr>
        <w:footnoteReference w:id="65"/>
      </w:r>
    </w:p>
    <w:p w14:paraId="30D2EF04" w14:textId="66166389" w:rsidR="00BB0A82" w:rsidRPr="00DD07E1" w:rsidRDefault="00BB0A82" w:rsidP="0073744E">
      <w:pPr>
        <w:pStyle w:val="NumberedParagraphs"/>
        <w:ind w:left="567"/>
      </w:pPr>
      <w:r w:rsidRPr="00DD07E1">
        <w:t xml:space="preserve">Even if Government has not announced a decision on the issue, disclosure of such a document is less likely to be contrary to the public interest if it is public knowledge that the </w:t>
      </w:r>
      <w:r w:rsidRPr="00DD07E1">
        <w:lastRenderedPageBreak/>
        <w:t>Government considered</w:t>
      </w:r>
      <w:r w:rsidR="008B6036">
        <w:t>,</w:t>
      </w:r>
      <w:r w:rsidRPr="00DD07E1">
        <w:t xml:space="preserve"> or is considering</w:t>
      </w:r>
      <w:r w:rsidR="008B6036">
        <w:t>,</w:t>
      </w:r>
      <w:r w:rsidRPr="00DD07E1">
        <w:t xml:space="preserve"> the issue.</w:t>
      </w:r>
      <w:r w:rsidRPr="00DD07E1">
        <w:rPr>
          <w:rStyle w:val="FootnoteReference"/>
        </w:rPr>
        <w:footnoteReference w:id="66"/>
      </w:r>
      <w:r w:rsidRPr="00DD07E1">
        <w:t xml:space="preserve"> The key public interest consideration in both situations is to assess whether disclosure would inhibit the Government’s future deliberation of the issue.</w:t>
      </w:r>
    </w:p>
    <w:p w14:paraId="27282A6C" w14:textId="701FBD11" w:rsidR="00BB0A82" w:rsidRDefault="00BB0A82" w:rsidP="0073744E">
      <w:pPr>
        <w:pStyle w:val="NumberedParagraphs"/>
        <w:ind w:left="567"/>
      </w:pPr>
      <w:bookmarkStart w:id="109" w:name="_Ref459110908"/>
      <w:r w:rsidRPr="00DD07E1">
        <w:t>Examples of non-sensitive matter in this context include information that is no longer current or that is already in the public domain, or information that provides a professional, objective analysis of potential options without favouring one over the other.</w:t>
      </w:r>
      <w:bookmarkStart w:id="110" w:name="_Ref403999284"/>
      <w:r w:rsidRPr="00DD07E1">
        <w:t xml:space="preserve"> For guidance about the Cabinet exemption see Part 5</w:t>
      </w:r>
      <w:r w:rsidR="008B6036">
        <w:t xml:space="preserve"> of the</w:t>
      </w:r>
      <w:r w:rsidR="000F7D9A">
        <w:t>se</w:t>
      </w:r>
      <w:r w:rsidR="008B6036">
        <w:t xml:space="preserve"> Guidelines</w:t>
      </w:r>
      <w:r w:rsidRPr="00DD07E1">
        <w:t>.</w:t>
      </w:r>
      <w:bookmarkEnd w:id="109"/>
      <w:bookmarkEnd w:id="110"/>
    </w:p>
    <w:p w14:paraId="4AF02D07" w14:textId="77777777" w:rsidR="00BB0A82" w:rsidRPr="00F85DED" w:rsidRDefault="00BB0A82" w:rsidP="00BB0A82">
      <w:pPr>
        <w:pStyle w:val="Heading2"/>
      </w:pPr>
      <w:bookmarkStart w:id="111" w:name="Documents_affecting_financial_or_propert"/>
      <w:bookmarkStart w:id="112" w:name="_bookmark37"/>
      <w:bookmarkStart w:id="113" w:name="_Toc11154487"/>
      <w:bookmarkStart w:id="114" w:name="_Toc141875215"/>
      <w:bookmarkEnd w:id="111"/>
      <w:bookmarkEnd w:id="112"/>
      <w:r w:rsidRPr="00F85DED">
        <w:t>Documents affecting financial or property interests of the Commonwealth (s 47D)</w:t>
      </w:r>
      <w:bookmarkEnd w:id="113"/>
      <w:bookmarkEnd w:id="114"/>
    </w:p>
    <w:p w14:paraId="39CDA7A3" w14:textId="139BC4A6" w:rsidR="00BB0A82" w:rsidRPr="002813D6" w:rsidRDefault="00BB0A82" w:rsidP="009133AF">
      <w:pPr>
        <w:pStyle w:val="NumberedParagraphs"/>
        <w:ind w:left="567"/>
      </w:pPr>
      <w:bookmarkStart w:id="115" w:name="_Ref459110926"/>
      <w:r w:rsidRPr="00DD07E1">
        <w:t xml:space="preserve">Section 47D conditionally exempts documents where disclosure would have </w:t>
      </w:r>
      <w:r w:rsidRPr="007500E4">
        <w:t>a</w:t>
      </w:r>
      <w:r w:rsidRPr="00DD07E1">
        <w:t xml:space="preserve"> substantial adverse effect on </w:t>
      </w:r>
      <w:r w:rsidRPr="007500E4">
        <w:t>the</w:t>
      </w:r>
      <w:r w:rsidRPr="00DD07E1">
        <w:t xml:space="preserve"> financial </w:t>
      </w:r>
      <w:r w:rsidRPr="007500E4">
        <w:t>or</w:t>
      </w:r>
      <w:r w:rsidRPr="00DD07E1">
        <w:t xml:space="preserve"> property interests </w:t>
      </w:r>
      <w:r w:rsidRPr="007500E4">
        <w:t>of</w:t>
      </w:r>
      <w:r w:rsidRPr="00DD07E1">
        <w:t xml:space="preserve"> the </w:t>
      </w:r>
      <w:r w:rsidRPr="007500E4">
        <w:t>Commonwealth</w:t>
      </w:r>
      <w:r w:rsidRPr="00DD07E1">
        <w:rPr>
          <w:w w:val="99"/>
        </w:rPr>
        <w:t xml:space="preserve"> </w:t>
      </w:r>
      <w:r w:rsidRPr="007500E4">
        <w:t>or</w:t>
      </w:r>
      <w:r w:rsidRPr="00DD07E1">
        <w:t xml:space="preserve"> </w:t>
      </w:r>
      <w:r w:rsidRPr="007500E4">
        <w:t>an</w:t>
      </w:r>
      <w:r w:rsidRPr="00DD07E1">
        <w:t xml:space="preserve"> agency.</w:t>
      </w:r>
      <w:r w:rsidRPr="007500E4">
        <w:rPr>
          <w:rStyle w:val="FootnoteReference"/>
        </w:rPr>
        <w:footnoteReference w:id="67"/>
      </w:r>
      <w:bookmarkEnd w:id="115"/>
    </w:p>
    <w:p w14:paraId="21A4E9AA" w14:textId="77777777" w:rsidR="00BB0A82" w:rsidRPr="007500E4" w:rsidRDefault="00BB0A82" w:rsidP="002813D6">
      <w:pPr>
        <w:pStyle w:val="Heading3"/>
        <w:rPr>
          <w:b/>
          <w:bCs w:val="0"/>
          <w:i/>
        </w:rPr>
      </w:pPr>
      <w:bookmarkStart w:id="116" w:name="Financial_or_property_interests"/>
      <w:bookmarkStart w:id="117" w:name="_bookmark38"/>
      <w:bookmarkStart w:id="118" w:name="_Toc11154488"/>
      <w:bookmarkStart w:id="119" w:name="_Toc141875216"/>
      <w:bookmarkEnd w:id="116"/>
      <w:bookmarkEnd w:id="117"/>
      <w:r w:rsidRPr="00DD07E1">
        <w:t xml:space="preserve">Financial </w:t>
      </w:r>
      <w:r w:rsidRPr="007500E4">
        <w:t>or</w:t>
      </w:r>
      <w:r w:rsidRPr="00DD07E1">
        <w:t xml:space="preserve"> property interests</w:t>
      </w:r>
      <w:bookmarkEnd w:id="118"/>
      <w:bookmarkEnd w:id="119"/>
    </w:p>
    <w:p w14:paraId="4EA4E33E" w14:textId="77777777" w:rsidR="00BB0A82" w:rsidRPr="007500E4" w:rsidRDefault="00BB0A82" w:rsidP="009133AF">
      <w:pPr>
        <w:pStyle w:val="NumberedParagraphs"/>
        <w:ind w:left="567"/>
        <w:rPr>
          <w:sz w:val="16"/>
          <w:szCs w:val="16"/>
        </w:rPr>
      </w:pPr>
      <w:r w:rsidRPr="007500E4">
        <w:t>The</w:t>
      </w:r>
      <w:r w:rsidRPr="00DD07E1">
        <w:t xml:space="preserve"> financial or property interests </w:t>
      </w:r>
      <w:r w:rsidRPr="007500E4">
        <w:t>of</w:t>
      </w:r>
      <w:r w:rsidRPr="00DD07E1">
        <w:t xml:space="preserve"> the Commonwealth or </w:t>
      </w:r>
      <w:r w:rsidRPr="007500E4">
        <w:t>an</w:t>
      </w:r>
      <w:r w:rsidRPr="00DD07E1">
        <w:t xml:space="preserve"> </w:t>
      </w:r>
      <w:r w:rsidRPr="007500E4">
        <w:t>agency</w:t>
      </w:r>
      <w:r w:rsidRPr="00DD07E1">
        <w:t xml:space="preserve"> may relate </w:t>
      </w:r>
      <w:r w:rsidRPr="007500E4">
        <w:t>to</w:t>
      </w:r>
      <w:r w:rsidRPr="00DD07E1">
        <w:t xml:space="preserve"> assets, expenditure or revenue-</w:t>
      </w:r>
      <w:r w:rsidRPr="00DD07E1">
        <w:rPr>
          <w:rFonts w:cs="Calibri"/>
        </w:rPr>
        <w:t xml:space="preserve">generating activities. </w:t>
      </w:r>
      <w:r w:rsidRPr="007500E4">
        <w:rPr>
          <w:rFonts w:cs="Calibri"/>
        </w:rPr>
        <w:t>An</w:t>
      </w:r>
      <w:r w:rsidRPr="00DD07E1">
        <w:rPr>
          <w:rFonts w:cs="Calibri"/>
        </w:rPr>
        <w:t xml:space="preserve"> agency’s property </w:t>
      </w:r>
      <w:r w:rsidRPr="00DD07E1">
        <w:t xml:space="preserve">interests </w:t>
      </w:r>
      <w:r w:rsidRPr="007500E4">
        <w:t>may</w:t>
      </w:r>
      <w:r w:rsidRPr="00DD07E1">
        <w:t xml:space="preserve"> </w:t>
      </w:r>
      <w:r w:rsidRPr="007500E4">
        <w:t>be</w:t>
      </w:r>
      <w:r w:rsidRPr="00DD07E1">
        <w:t xml:space="preserve"> broader than </w:t>
      </w:r>
      <w:r w:rsidRPr="007500E4">
        <w:t>merely</w:t>
      </w:r>
      <w:r w:rsidRPr="00DD07E1">
        <w:t xml:space="preserve"> buildings and </w:t>
      </w:r>
      <w:proofErr w:type="gramStart"/>
      <w:r w:rsidRPr="00DD07E1">
        <w:t>land, and</w:t>
      </w:r>
      <w:proofErr w:type="gramEnd"/>
      <w:r w:rsidRPr="00DD07E1">
        <w:t xml:space="preserve"> include intellectual property </w:t>
      </w:r>
      <w:r w:rsidRPr="007500E4">
        <w:t>or</w:t>
      </w:r>
      <w:r w:rsidRPr="00DD07E1">
        <w:rPr>
          <w:w w:val="99"/>
        </w:rPr>
        <w:t xml:space="preserve"> </w:t>
      </w:r>
      <w:r w:rsidRPr="007500E4">
        <w:rPr>
          <w:rFonts w:cs="Calibri"/>
        </w:rPr>
        <w:t>the</w:t>
      </w:r>
      <w:r w:rsidRPr="00DD07E1">
        <w:rPr>
          <w:rFonts w:cs="Calibri"/>
        </w:rPr>
        <w:t xml:space="preserve"> Crown’s</w:t>
      </w:r>
      <w:r w:rsidRPr="007500E4">
        <w:rPr>
          <w:rFonts w:cs="Calibri"/>
        </w:rPr>
        <w:t xml:space="preserve"> </w:t>
      </w:r>
      <w:r w:rsidRPr="00DD07E1">
        <w:rPr>
          <w:rFonts w:cs="Calibri"/>
        </w:rPr>
        <w:t>interest in natural resources.</w:t>
      </w:r>
      <w:r w:rsidRPr="007500E4">
        <w:rPr>
          <w:rStyle w:val="FootnoteReference"/>
          <w:rFonts w:cs="Calibri"/>
        </w:rPr>
        <w:footnoteReference w:id="68"/>
      </w:r>
    </w:p>
    <w:p w14:paraId="26AE9C1D" w14:textId="77777777" w:rsidR="00BB0A82" w:rsidRPr="007500E4" w:rsidRDefault="00BB0A82" w:rsidP="002813D6">
      <w:pPr>
        <w:pStyle w:val="Heading3"/>
        <w:rPr>
          <w:b/>
          <w:bCs w:val="0"/>
          <w:i/>
        </w:rPr>
      </w:pPr>
      <w:bookmarkStart w:id="120" w:name="Substantial_adverse_effect"/>
      <w:bookmarkStart w:id="121" w:name="_bookmark39"/>
      <w:bookmarkStart w:id="122" w:name="_Toc11154489"/>
      <w:bookmarkStart w:id="123" w:name="_Toc141875217"/>
      <w:bookmarkEnd w:id="120"/>
      <w:bookmarkEnd w:id="121"/>
      <w:r w:rsidRPr="00DD07E1">
        <w:t>Substantial adverse effect</w:t>
      </w:r>
      <w:bookmarkEnd w:id="122"/>
      <w:bookmarkEnd w:id="123"/>
    </w:p>
    <w:p w14:paraId="13A7CF2B" w14:textId="45449B62" w:rsidR="00BB0A82" w:rsidRPr="007500E4" w:rsidRDefault="00BB0A82" w:rsidP="009133AF">
      <w:pPr>
        <w:pStyle w:val="NumberedParagraphs"/>
        <w:ind w:left="567"/>
      </w:pPr>
      <w:r w:rsidRPr="00DD07E1">
        <w:t xml:space="preserve">For the conditional exemption </w:t>
      </w:r>
      <w:r w:rsidRPr="007500E4">
        <w:t>to</w:t>
      </w:r>
      <w:r w:rsidRPr="00DD07E1">
        <w:t xml:space="preserve"> </w:t>
      </w:r>
      <w:r w:rsidRPr="007500E4">
        <w:t>apply,</w:t>
      </w:r>
      <w:r w:rsidRPr="00DD07E1">
        <w:t xml:space="preserve"> the potential effect that would </w:t>
      </w:r>
      <w:r w:rsidRPr="007500E4">
        <w:t>be</w:t>
      </w:r>
      <w:r w:rsidRPr="00DD07E1">
        <w:t xml:space="preserve"> expected </w:t>
      </w:r>
      <w:r w:rsidRPr="007500E4">
        <w:t>to</w:t>
      </w:r>
      <w:r w:rsidRPr="00DD07E1">
        <w:t xml:space="preserve"> occur following disclosure must </w:t>
      </w:r>
      <w:r w:rsidRPr="007500E4">
        <w:t>be</w:t>
      </w:r>
      <w:r w:rsidRPr="00DD07E1">
        <w:t xml:space="preserve"> both substantial</w:t>
      </w:r>
      <w:r w:rsidRPr="00DD07E1">
        <w:rPr>
          <w:rStyle w:val="FootnoteReference"/>
        </w:rPr>
        <w:footnoteReference w:id="69"/>
      </w:r>
      <w:r w:rsidRPr="00DD07E1">
        <w:t xml:space="preserve"> and adverse. </w:t>
      </w:r>
      <w:r w:rsidRPr="007500E4">
        <w:t>This</w:t>
      </w:r>
      <w:r w:rsidRPr="00DD07E1">
        <w:t xml:space="preserve"> standard </w:t>
      </w:r>
      <w:r w:rsidRPr="007500E4">
        <w:t>is</w:t>
      </w:r>
      <w:r w:rsidRPr="00DD07E1">
        <w:t xml:space="preserve"> discussed </w:t>
      </w:r>
      <w:r w:rsidR="00DA30B2">
        <w:t xml:space="preserve">in more detail </w:t>
      </w:r>
      <w:r w:rsidR="00BB6645" w:rsidRPr="006C5F31">
        <w:t xml:space="preserve">at </w:t>
      </w:r>
      <w:r w:rsidR="00DA30B2" w:rsidRPr="006C5F31">
        <w:t>[6.</w:t>
      </w:r>
      <w:r w:rsidR="006C5F31" w:rsidRPr="006C5F31">
        <w:t>17</w:t>
      </w:r>
      <w:r w:rsidR="00DA30B2" w:rsidRPr="006C5F31">
        <w:t>]–[6.</w:t>
      </w:r>
      <w:r w:rsidR="006C5F31" w:rsidRPr="006C5F31">
        <w:t>19</w:t>
      </w:r>
      <w:r w:rsidR="00DA30B2" w:rsidRPr="006C5F31">
        <w:t>] above.</w:t>
      </w:r>
    </w:p>
    <w:p w14:paraId="27C354CD" w14:textId="41EFD7F8" w:rsidR="00BB0A82" w:rsidRPr="007500E4" w:rsidRDefault="00BB0A82" w:rsidP="009133AF">
      <w:pPr>
        <w:pStyle w:val="NumberedParagraphs"/>
        <w:ind w:left="567"/>
      </w:pPr>
      <w:r w:rsidRPr="007500E4">
        <w:t>A substantial adverse effect may be</w:t>
      </w:r>
      <w:r w:rsidRPr="00DD07E1">
        <w:t xml:space="preserve"> indirect. </w:t>
      </w:r>
      <w:r w:rsidRPr="007500E4">
        <w:t>For</w:t>
      </w:r>
      <w:r w:rsidRPr="009133AF">
        <w:t xml:space="preserve"> </w:t>
      </w:r>
      <w:r w:rsidRPr="007500E4">
        <w:t>example,</w:t>
      </w:r>
      <w:r w:rsidRPr="00DD07E1">
        <w:t xml:space="preserve"> where disclosure of documents would </w:t>
      </w:r>
      <w:r w:rsidRPr="007500E4">
        <w:t>provide</w:t>
      </w:r>
      <w:r w:rsidRPr="00DD07E1">
        <w:t xml:space="preserve"> the criteria </w:t>
      </w:r>
      <w:r w:rsidRPr="007500E4">
        <w:t>by</w:t>
      </w:r>
      <w:r w:rsidRPr="00DD07E1">
        <w:t xml:space="preserve"> which </w:t>
      </w:r>
      <w:r w:rsidRPr="007500E4">
        <w:t>an</w:t>
      </w:r>
      <w:r w:rsidRPr="00DD07E1">
        <w:t xml:space="preserve"> </w:t>
      </w:r>
      <w:r w:rsidRPr="007500E4">
        <w:t>agency</w:t>
      </w:r>
      <w:r w:rsidRPr="00DD07E1">
        <w:t xml:space="preserve"> </w:t>
      </w:r>
      <w:r w:rsidRPr="007500E4">
        <w:t>is</w:t>
      </w:r>
      <w:r w:rsidRPr="00DD07E1">
        <w:t xml:space="preserve"> </w:t>
      </w:r>
      <w:r w:rsidRPr="007500E4">
        <w:t>to</w:t>
      </w:r>
      <w:r w:rsidRPr="00DD07E1">
        <w:t xml:space="preserve"> </w:t>
      </w:r>
      <w:r w:rsidRPr="009133AF">
        <w:t xml:space="preserve">assess tenders, the agency’s financial interest in seeking to obtain best value for money </w:t>
      </w:r>
      <w:r w:rsidRPr="00DD07E1">
        <w:t xml:space="preserve">through </w:t>
      </w:r>
      <w:r w:rsidRPr="007500E4">
        <w:t>a</w:t>
      </w:r>
      <w:r w:rsidRPr="00DD07E1">
        <w:t xml:space="preserve"> competitive tendering process </w:t>
      </w:r>
      <w:r w:rsidRPr="007500E4">
        <w:t>may</w:t>
      </w:r>
      <w:r w:rsidRPr="00DD07E1">
        <w:t xml:space="preserve"> </w:t>
      </w:r>
      <w:r w:rsidRPr="007500E4">
        <w:t>be</w:t>
      </w:r>
      <w:r w:rsidRPr="00DD07E1">
        <w:t xml:space="preserve"> compromised</w:t>
      </w:r>
      <w:r w:rsidR="00A66B22">
        <w:t>.</w:t>
      </w:r>
      <w:r w:rsidR="00A66B22" w:rsidRPr="009133AF">
        <w:rPr>
          <w:vertAlign w:val="superscript"/>
        </w:rPr>
        <w:footnoteReference w:id="70"/>
      </w:r>
    </w:p>
    <w:p w14:paraId="09CBFA51" w14:textId="2776B0A3" w:rsidR="00BB0A82" w:rsidRPr="00DD07E1" w:rsidRDefault="00BB0A82" w:rsidP="00916177">
      <w:pPr>
        <w:pStyle w:val="NumberedParagraphs"/>
        <w:ind w:left="567"/>
      </w:pPr>
      <w:r w:rsidRPr="007500E4">
        <w:t>An</w:t>
      </w:r>
      <w:r w:rsidRPr="00DD07E1">
        <w:t xml:space="preserve"> agency or government cannot merely </w:t>
      </w:r>
      <w:r w:rsidRPr="007500E4">
        <w:t>assert</w:t>
      </w:r>
      <w:r w:rsidRPr="00DD07E1">
        <w:t xml:space="preserve"> that its financial </w:t>
      </w:r>
      <w:r w:rsidRPr="007500E4">
        <w:t>or</w:t>
      </w:r>
      <w:r w:rsidRPr="00DD07E1">
        <w:t xml:space="preserve"> property interests would </w:t>
      </w:r>
      <w:r w:rsidRPr="007500E4">
        <w:t>be</w:t>
      </w:r>
      <w:r w:rsidRPr="009133AF">
        <w:t xml:space="preserve"> </w:t>
      </w:r>
      <w:r w:rsidRPr="007500E4">
        <w:t>adversely</w:t>
      </w:r>
      <w:r w:rsidRPr="00DD07E1">
        <w:t xml:space="preserve"> affected following disclosure.</w:t>
      </w:r>
      <w:r w:rsidR="008A76FC" w:rsidRPr="009133AF">
        <w:rPr>
          <w:vertAlign w:val="superscript"/>
        </w:rPr>
        <w:footnoteReference w:id="71"/>
      </w:r>
      <w:bookmarkStart w:id="124" w:name="_Ref465693321"/>
      <w:r w:rsidR="00916177">
        <w:t xml:space="preserve"> </w:t>
      </w:r>
      <w:r w:rsidRPr="00DD07E1">
        <w:t xml:space="preserve">The particulars of </w:t>
      </w:r>
      <w:r w:rsidRPr="007500E4">
        <w:t>the</w:t>
      </w:r>
      <w:r w:rsidRPr="00DD07E1">
        <w:t xml:space="preserve"> predicted effect should be </w:t>
      </w:r>
      <w:r w:rsidRPr="00DD07E1">
        <w:lastRenderedPageBreak/>
        <w:t xml:space="preserve">identified during the </w:t>
      </w:r>
      <w:r w:rsidR="008B6036" w:rsidRPr="00DD07E1">
        <w:t>decision-making</w:t>
      </w:r>
      <w:r w:rsidRPr="00DD07E1">
        <w:t xml:space="preserve"> process and should be supported by evidence. </w:t>
      </w:r>
      <w:r w:rsidRPr="007500E4">
        <w:t>Where</w:t>
      </w:r>
      <w:r w:rsidRPr="00DD07E1">
        <w:t xml:space="preserve"> the conditional exemption </w:t>
      </w:r>
      <w:r w:rsidRPr="007500E4">
        <w:t>is</w:t>
      </w:r>
      <w:r w:rsidRPr="00DD07E1">
        <w:t xml:space="preserve"> </w:t>
      </w:r>
      <w:r w:rsidRPr="007500E4">
        <w:t>relied</w:t>
      </w:r>
      <w:r w:rsidRPr="00DD07E1">
        <w:t xml:space="preserve"> on, the relevant particulars and reasons should form part </w:t>
      </w:r>
      <w:r w:rsidRPr="007500E4">
        <w:t>of</w:t>
      </w:r>
      <w:r w:rsidRPr="00DD07E1">
        <w:t xml:space="preserve"> </w:t>
      </w:r>
      <w:r w:rsidRPr="007500E4">
        <w:t>the</w:t>
      </w:r>
      <w:r w:rsidRPr="00DD07E1">
        <w:t xml:space="preserve"> decision maker’s statement of reasons, </w:t>
      </w:r>
      <w:r w:rsidRPr="007500E4">
        <w:t>if</w:t>
      </w:r>
      <w:r w:rsidRPr="00DD07E1">
        <w:t xml:space="preserve"> they</w:t>
      </w:r>
      <w:r w:rsidRPr="007500E4">
        <w:t xml:space="preserve"> </w:t>
      </w:r>
      <w:r w:rsidRPr="00DD07E1">
        <w:t xml:space="preserve">can </w:t>
      </w:r>
      <w:r w:rsidRPr="007500E4">
        <w:t>be</w:t>
      </w:r>
      <w:r w:rsidRPr="00DD07E1">
        <w:t xml:space="preserve"> included</w:t>
      </w:r>
      <w:r w:rsidRPr="007500E4">
        <w:t xml:space="preserve"> </w:t>
      </w:r>
      <w:r w:rsidRPr="00DD07E1">
        <w:t xml:space="preserve">without </w:t>
      </w:r>
      <w:r w:rsidRPr="007500E4">
        <w:t>disclosing</w:t>
      </w:r>
      <w:r w:rsidRPr="00DD07E1">
        <w:t xml:space="preserve"> </w:t>
      </w:r>
      <w:r w:rsidRPr="007500E4">
        <w:t>exempt</w:t>
      </w:r>
      <w:r w:rsidRPr="00DD07E1">
        <w:t xml:space="preserve"> material (s 26, see Part </w:t>
      </w:r>
      <w:r w:rsidRPr="007500E4">
        <w:t>3</w:t>
      </w:r>
      <w:r w:rsidR="008B6036">
        <w:t xml:space="preserve"> of these Guidelines</w:t>
      </w:r>
      <w:r w:rsidRPr="00DD07E1">
        <w:t>).</w:t>
      </w:r>
      <w:r w:rsidRPr="007500E4">
        <w:t xml:space="preserve"> The</w:t>
      </w:r>
      <w:r w:rsidRPr="00DD07E1">
        <w:t xml:space="preserve"> effect </w:t>
      </w:r>
      <w:r w:rsidRPr="007500E4">
        <w:t>must</w:t>
      </w:r>
      <w:r w:rsidRPr="00DD07E1">
        <w:t xml:space="preserve"> bear on </w:t>
      </w:r>
      <w:r w:rsidRPr="007500E4">
        <w:t>the</w:t>
      </w:r>
      <w:r w:rsidRPr="00DD07E1">
        <w:t xml:space="preserve"> </w:t>
      </w:r>
      <w:r w:rsidRPr="007500E4">
        <w:t>actual</w:t>
      </w:r>
      <w:r w:rsidRPr="00DD07E1">
        <w:t xml:space="preserve"> financial </w:t>
      </w:r>
      <w:r w:rsidRPr="007500E4">
        <w:t>or</w:t>
      </w:r>
      <w:r w:rsidRPr="00DD07E1">
        <w:t xml:space="preserve"> property interests of </w:t>
      </w:r>
      <w:r w:rsidRPr="007500E4">
        <w:t>the</w:t>
      </w:r>
      <w:r w:rsidRPr="00916177">
        <w:rPr>
          <w:w w:val="99"/>
        </w:rPr>
        <w:t xml:space="preserve"> </w:t>
      </w:r>
      <w:r w:rsidRPr="00DD07E1">
        <w:t>Commonwealth</w:t>
      </w:r>
      <w:r w:rsidRPr="007500E4">
        <w:t xml:space="preserve"> </w:t>
      </w:r>
      <w:r w:rsidRPr="00DD07E1">
        <w:t xml:space="preserve">or </w:t>
      </w:r>
      <w:r w:rsidR="008B6036">
        <w:t xml:space="preserve">an </w:t>
      </w:r>
      <w:r w:rsidRPr="00DD07E1">
        <w:t>agency.</w:t>
      </w:r>
      <w:r w:rsidRPr="00DD07E1">
        <w:rPr>
          <w:rStyle w:val="FootnoteReference"/>
        </w:rPr>
        <w:footnoteReference w:id="72"/>
      </w:r>
      <w:bookmarkEnd w:id="124"/>
    </w:p>
    <w:p w14:paraId="714EB32A" w14:textId="3C219B57" w:rsidR="00BB0A82" w:rsidRPr="007500E4" w:rsidRDefault="00BB0A82" w:rsidP="00BB0A82">
      <w:pPr>
        <w:pStyle w:val="Heading2"/>
        <w:rPr>
          <w:b/>
          <w:bCs/>
        </w:rPr>
      </w:pPr>
      <w:bookmarkStart w:id="125" w:name="Certain_operations_of_agencies"/>
      <w:bookmarkStart w:id="126" w:name="_bookmark40"/>
      <w:bookmarkStart w:id="127" w:name="_Toc11154490"/>
      <w:bookmarkStart w:id="128" w:name="_Toc141875218"/>
      <w:bookmarkEnd w:id="125"/>
      <w:bookmarkEnd w:id="126"/>
      <w:r w:rsidRPr="00DD07E1">
        <w:t xml:space="preserve">Documents affecting certain operations </w:t>
      </w:r>
      <w:r w:rsidRPr="007500E4">
        <w:t>of</w:t>
      </w:r>
      <w:r w:rsidRPr="00DD07E1">
        <w:t xml:space="preserve"> agencies (s 47E)</w:t>
      </w:r>
      <w:bookmarkEnd w:id="127"/>
      <w:bookmarkEnd w:id="128"/>
    </w:p>
    <w:p w14:paraId="733C45DF" w14:textId="77777777" w:rsidR="00BB0A82" w:rsidRPr="00836CB1" w:rsidRDefault="00BB0A82" w:rsidP="00B73860">
      <w:pPr>
        <w:pStyle w:val="NumberedParagraphs"/>
        <w:ind w:left="567"/>
      </w:pPr>
      <w:bookmarkStart w:id="129" w:name="_Ref459110961"/>
      <w:r w:rsidRPr="00836CB1">
        <w:t>Section 47E conditionally exempts documents where disclosure would, or could reasonably be expected to, prejudice or have a substantial adverse effect on certain listed agency operations.</w:t>
      </w:r>
      <w:bookmarkEnd w:id="129"/>
    </w:p>
    <w:p w14:paraId="6A516057" w14:textId="76ABD4E6" w:rsidR="00BB0A82" w:rsidRPr="00836CB1" w:rsidRDefault="00BB0A82" w:rsidP="00B73860">
      <w:pPr>
        <w:pStyle w:val="NumberedParagraphs"/>
        <w:ind w:left="567"/>
      </w:pPr>
      <w:r w:rsidRPr="00836CB1">
        <w:t xml:space="preserve">There are </w:t>
      </w:r>
      <w:r w:rsidR="00F519AC">
        <w:t>4</w:t>
      </w:r>
      <w:r w:rsidRPr="00836CB1">
        <w:t xml:space="preserve"> separate grounds for the conditional exemption, one or more of which may be relevant in a particular case. A document is conditionally exempt if its disclosure under th</w:t>
      </w:r>
      <w:r w:rsidR="00EE6651">
        <w:t>e FOI </w:t>
      </w:r>
      <w:r w:rsidRPr="00836CB1">
        <w:t>Act would, or could reasonably be expected to, do any of the following:</w:t>
      </w:r>
    </w:p>
    <w:p w14:paraId="4EE9CBD6" w14:textId="77777777" w:rsidR="00BB0A82" w:rsidRPr="007500E4" w:rsidRDefault="00BB0A82" w:rsidP="00FF269B">
      <w:pPr>
        <w:pStyle w:val="List"/>
        <w:numPr>
          <w:ilvl w:val="0"/>
          <w:numId w:val="42"/>
        </w:numPr>
        <w:ind w:left="993" w:hanging="426"/>
      </w:pPr>
      <w:r w:rsidRPr="00DD07E1">
        <w:t xml:space="preserve">prejudice </w:t>
      </w:r>
      <w:r w:rsidRPr="007500E4">
        <w:t>the</w:t>
      </w:r>
      <w:r w:rsidRPr="00DD07E1">
        <w:t xml:space="preserve"> effectiveness </w:t>
      </w:r>
      <w:r w:rsidRPr="007500E4">
        <w:t>of</w:t>
      </w:r>
      <w:r w:rsidRPr="00DD07E1">
        <w:t xml:space="preserve"> procedures </w:t>
      </w:r>
      <w:r w:rsidRPr="007500E4">
        <w:t>or</w:t>
      </w:r>
      <w:r w:rsidRPr="00DD07E1">
        <w:t xml:space="preserve"> methods for </w:t>
      </w:r>
      <w:r w:rsidRPr="007500E4">
        <w:t>the</w:t>
      </w:r>
      <w:r w:rsidRPr="00DD07E1">
        <w:t xml:space="preserve"> conduct of tests,</w:t>
      </w:r>
      <w:r w:rsidRPr="00836CB1">
        <w:rPr>
          <w:w w:val="99"/>
        </w:rPr>
        <w:t xml:space="preserve"> </w:t>
      </w:r>
      <w:r w:rsidRPr="00DD07E1">
        <w:t xml:space="preserve">examinations </w:t>
      </w:r>
      <w:r w:rsidRPr="007500E4">
        <w:t>or</w:t>
      </w:r>
      <w:r w:rsidRPr="00DD07E1">
        <w:t xml:space="preserve"> audits by </w:t>
      </w:r>
      <w:r w:rsidRPr="007500E4">
        <w:t xml:space="preserve">an </w:t>
      </w:r>
      <w:r w:rsidRPr="00DD07E1">
        <w:t>agency</w:t>
      </w:r>
    </w:p>
    <w:p w14:paraId="7A3DAF99" w14:textId="77777777" w:rsidR="00BB0A82" w:rsidRPr="007500E4" w:rsidRDefault="00BB0A82" w:rsidP="00FF269B">
      <w:pPr>
        <w:pStyle w:val="List"/>
        <w:numPr>
          <w:ilvl w:val="0"/>
          <w:numId w:val="42"/>
        </w:numPr>
        <w:ind w:left="993" w:hanging="426"/>
      </w:pPr>
      <w:r w:rsidRPr="00DD07E1">
        <w:t xml:space="preserve">prejudice </w:t>
      </w:r>
      <w:r w:rsidRPr="007500E4">
        <w:t>the</w:t>
      </w:r>
      <w:r w:rsidRPr="00DD07E1">
        <w:t xml:space="preserve"> attainment </w:t>
      </w:r>
      <w:r w:rsidRPr="007500E4">
        <w:t>of</w:t>
      </w:r>
      <w:r w:rsidRPr="00DD07E1">
        <w:t xml:space="preserve"> the objects </w:t>
      </w:r>
      <w:r w:rsidRPr="007500E4">
        <w:t>of</w:t>
      </w:r>
      <w:r w:rsidRPr="00DD07E1">
        <w:t xml:space="preserve"> particular tests, </w:t>
      </w:r>
      <w:r w:rsidRPr="007500E4">
        <w:t>examinations</w:t>
      </w:r>
      <w:r w:rsidRPr="00DD07E1">
        <w:t xml:space="preserve"> </w:t>
      </w:r>
      <w:r w:rsidRPr="007500E4">
        <w:t>or</w:t>
      </w:r>
      <w:r w:rsidRPr="00DD07E1">
        <w:t xml:space="preserve"> audits conducted </w:t>
      </w:r>
      <w:r w:rsidRPr="007500E4">
        <w:t>or</w:t>
      </w:r>
      <w:r w:rsidRPr="00DD07E1">
        <w:t xml:space="preserve"> </w:t>
      </w:r>
      <w:r w:rsidRPr="007500E4">
        <w:t>to</w:t>
      </w:r>
      <w:r w:rsidRPr="00DD07E1">
        <w:t xml:space="preserve"> </w:t>
      </w:r>
      <w:r w:rsidRPr="007500E4">
        <w:t>be</w:t>
      </w:r>
      <w:r w:rsidRPr="00DD07E1">
        <w:t xml:space="preserve"> conducted </w:t>
      </w:r>
      <w:r w:rsidRPr="007500E4">
        <w:t>by</w:t>
      </w:r>
      <w:r w:rsidRPr="00DD07E1">
        <w:t xml:space="preserve"> an agency</w:t>
      </w:r>
    </w:p>
    <w:p w14:paraId="2B867F23" w14:textId="77777777" w:rsidR="00BB0A82" w:rsidRPr="007500E4" w:rsidRDefault="00BB0A82" w:rsidP="00FF269B">
      <w:pPr>
        <w:pStyle w:val="List"/>
        <w:numPr>
          <w:ilvl w:val="0"/>
          <w:numId w:val="42"/>
        </w:numPr>
        <w:ind w:left="993" w:hanging="426"/>
      </w:pPr>
      <w:r w:rsidRPr="007500E4">
        <w:t>have</w:t>
      </w:r>
      <w:r w:rsidRPr="00DD07E1">
        <w:t xml:space="preserve"> </w:t>
      </w:r>
      <w:r w:rsidRPr="007500E4">
        <w:t>a</w:t>
      </w:r>
      <w:r w:rsidRPr="00DD07E1">
        <w:t xml:space="preserve"> substantial adverse effect </w:t>
      </w:r>
      <w:r w:rsidRPr="007500E4">
        <w:t>on</w:t>
      </w:r>
      <w:r w:rsidRPr="00DD07E1">
        <w:t xml:space="preserve"> the management </w:t>
      </w:r>
      <w:r w:rsidRPr="007500E4">
        <w:t>or</w:t>
      </w:r>
      <w:r w:rsidRPr="00DD07E1">
        <w:t xml:space="preserve"> assessment of personnel </w:t>
      </w:r>
      <w:r w:rsidRPr="007500E4">
        <w:t>by</w:t>
      </w:r>
      <w:r w:rsidRPr="00836CB1">
        <w:rPr>
          <w:w w:val="99"/>
        </w:rPr>
        <w:t xml:space="preserve"> </w:t>
      </w:r>
      <w:r w:rsidRPr="007500E4">
        <w:t>the</w:t>
      </w:r>
      <w:r w:rsidRPr="00DD07E1">
        <w:t xml:space="preserve"> Commonwealt</w:t>
      </w:r>
      <w:r>
        <w:t>h</w:t>
      </w:r>
      <w:r w:rsidRPr="00DD07E1">
        <w:t xml:space="preserve"> </w:t>
      </w:r>
      <w:r w:rsidRPr="007500E4">
        <w:t>or</w:t>
      </w:r>
      <w:r w:rsidRPr="00DD07E1">
        <w:t xml:space="preserve"> an agency </w:t>
      </w:r>
      <w:r w:rsidRPr="007500E4">
        <w:t>or</w:t>
      </w:r>
    </w:p>
    <w:p w14:paraId="61C8339C" w14:textId="39136594" w:rsidR="00BB0A82" w:rsidRPr="007500E4" w:rsidRDefault="00BB0A82" w:rsidP="00FF269B">
      <w:pPr>
        <w:pStyle w:val="List"/>
        <w:numPr>
          <w:ilvl w:val="0"/>
          <w:numId w:val="42"/>
        </w:numPr>
        <w:ind w:left="993" w:hanging="426"/>
      </w:pPr>
      <w:r w:rsidRPr="007500E4">
        <w:t>have</w:t>
      </w:r>
      <w:r w:rsidRPr="00DD07E1">
        <w:t xml:space="preserve"> </w:t>
      </w:r>
      <w:r w:rsidRPr="007500E4">
        <w:t>a</w:t>
      </w:r>
      <w:r w:rsidRPr="00DD07E1">
        <w:t xml:space="preserve"> substantial adverse effect </w:t>
      </w:r>
      <w:r w:rsidRPr="007500E4">
        <w:t>on</w:t>
      </w:r>
      <w:r w:rsidRPr="00DD07E1">
        <w:t xml:space="preserve"> the proper and efficient conduct of the</w:t>
      </w:r>
      <w:r w:rsidRPr="00836CB1">
        <w:rPr>
          <w:w w:val="99"/>
        </w:rPr>
        <w:t xml:space="preserve"> </w:t>
      </w:r>
      <w:r w:rsidRPr="00DD07E1">
        <w:t xml:space="preserve">operations </w:t>
      </w:r>
      <w:r w:rsidRPr="007500E4">
        <w:t>of</w:t>
      </w:r>
      <w:r w:rsidRPr="00DD07E1">
        <w:t xml:space="preserve"> </w:t>
      </w:r>
      <w:r w:rsidRPr="007500E4">
        <w:t>an</w:t>
      </w:r>
      <w:r w:rsidRPr="00DD07E1">
        <w:t xml:space="preserve"> agency.</w:t>
      </w:r>
    </w:p>
    <w:p w14:paraId="5870D5F7" w14:textId="187D7B6D" w:rsidR="00BB0A82" w:rsidRPr="007500E4" w:rsidRDefault="00BB0A82" w:rsidP="00B73860">
      <w:pPr>
        <w:pStyle w:val="NumberedParagraphs"/>
        <w:ind w:left="567"/>
      </w:pPr>
      <w:r w:rsidRPr="00DD07E1">
        <w:t xml:space="preserve">Where </w:t>
      </w:r>
      <w:r w:rsidRPr="007500E4">
        <w:t>an</w:t>
      </w:r>
      <w:r w:rsidRPr="00DD07E1">
        <w:t xml:space="preserve"> </w:t>
      </w:r>
      <w:r w:rsidRPr="007500E4">
        <w:t>agency</w:t>
      </w:r>
      <w:r w:rsidRPr="00DD07E1">
        <w:t xml:space="preserve"> </w:t>
      </w:r>
      <w:r w:rsidRPr="007500E4">
        <w:t>is</w:t>
      </w:r>
      <w:r w:rsidRPr="00DD07E1">
        <w:t xml:space="preserve"> considering documents relating </w:t>
      </w:r>
      <w:r w:rsidRPr="007500E4">
        <w:t>to</w:t>
      </w:r>
      <w:r w:rsidRPr="00DD07E1">
        <w:t xml:space="preserve"> </w:t>
      </w:r>
      <w:r w:rsidRPr="007500E4">
        <w:t>its</w:t>
      </w:r>
      <w:r w:rsidRPr="00DD07E1">
        <w:t xml:space="preserve"> industrial relations activities, conditional exemptions such as </w:t>
      </w:r>
      <w:r w:rsidRPr="007500E4">
        <w:t>s</w:t>
      </w:r>
      <w:r w:rsidRPr="00DD07E1">
        <w:t xml:space="preserve"> 47E(c) (management </w:t>
      </w:r>
      <w:r w:rsidRPr="007500E4">
        <w:t>of</w:t>
      </w:r>
      <w:r w:rsidRPr="00DD07E1">
        <w:t xml:space="preserve"> personnel)</w:t>
      </w:r>
      <w:r w:rsidR="00EE6651">
        <w:t xml:space="preserve"> or</w:t>
      </w:r>
      <w:r w:rsidRPr="00DD07E1">
        <w:rPr>
          <w:w w:val="99"/>
        </w:rPr>
        <w:t xml:space="preserve"> </w:t>
      </w:r>
      <w:r w:rsidRPr="007500E4">
        <w:t>s</w:t>
      </w:r>
      <w:r w:rsidRPr="00DD07E1">
        <w:t xml:space="preserve"> 47E(d) (</w:t>
      </w:r>
      <w:r w:rsidR="00EE6651">
        <w:t>proper and efficient</w:t>
      </w:r>
      <w:r w:rsidRPr="00DD07E1">
        <w:t xml:space="preserve"> </w:t>
      </w:r>
      <w:r w:rsidR="00EE6651">
        <w:t xml:space="preserve">conduct of the </w:t>
      </w:r>
      <w:r w:rsidRPr="00DD07E1">
        <w:t xml:space="preserve">operations </w:t>
      </w:r>
      <w:r w:rsidRPr="007500E4">
        <w:t>of</w:t>
      </w:r>
      <w:r w:rsidRPr="00DD07E1">
        <w:t xml:space="preserve"> the agency) may </w:t>
      </w:r>
      <w:r w:rsidRPr="007500E4">
        <w:t>be</w:t>
      </w:r>
      <w:r w:rsidRPr="00DD07E1">
        <w:t xml:space="preserve"> relevant.</w:t>
      </w:r>
    </w:p>
    <w:p w14:paraId="7BCD4CF4" w14:textId="68A532CB" w:rsidR="00BB0A82" w:rsidRPr="007500E4" w:rsidRDefault="00F519AC" w:rsidP="00B73860">
      <w:pPr>
        <w:pStyle w:val="NumberedParagraphs"/>
        <w:ind w:left="567"/>
      </w:pPr>
      <w:r>
        <w:t>T</w:t>
      </w:r>
      <w:r w:rsidR="00BB0A82" w:rsidRPr="00DD07E1">
        <w:t xml:space="preserve">erms used </w:t>
      </w:r>
      <w:r w:rsidR="00BB0A82" w:rsidRPr="007500E4">
        <w:t>in</w:t>
      </w:r>
      <w:r w:rsidR="00BB0A82" w:rsidRPr="00DD07E1">
        <w:t xml:space="preserve"> this conditional exemption </w:t>
      </w:r>
      <w:r w:rsidR="00BB0A82" w:rsidRPr="007500E4">
        <w:t>are</w:t>
      </w:r>
      <w:r w:rsidR="00BB0A82" w:rsidRPr="00DD07E1">
        <w:t xml:space="preserve"> discussed below.</w:t>
      </w:r>
    </w:p>
    <w:p w14:paraId="0E0E1FE2" w14:textId="77777777" w:rsidR="00BB0A82" w:rsidRPr="00836CB1" w:rsidRDefault="00BB0A82" w:rsidP="002813D6">
      <w:pPr>
        <w:pStyle w:val="Heading3"/>
      </w:pPr>
      <w:bookmarkStart w:id="130" w:name="Prejudice"/>
      <w:bookmarkStart w:id="131" w:name="_bookmark41"/>
      <w:bookmarkStart w:id="132" w:name="_Toc11154491"/>
      <w:bookmarkStart w:id="133" w:name="_Toc141875219"/>
      <w:bookmarkEnd w:id="130"/>
      <w:bookmarkEnd w:id="131"/>
      <w:r w:rsidRPr="00836CB1">
        <w:t>Prejudice</w:t>
      </w:r>
      <w:bookmarkEnd w:id="132"/>
      <w:bookmarkEnd w:id="133"/>
    </w:p>
    <w:p w14:paraId="4EE9E2AA" w14:textId="68295AEE" w:rsidR="00BB0A82" w:rsidRPr="007500E4" w:rsidRDefault="00BB0A82" w:rsidP="00B73860">
      <w:pPr>
        <w:pStyle w:val="NumberedParagraphs"/>
        <w:ind w:left="567"/>
      </w:pPr>
      <w:r w:rsidRPr="00DD07E1">
        <w:t xml:space="preserve">Sections </w:t>
      </w:r>
      <w:r w:rsidRPr="007500E4">
        <w:t>47E(a)</w:t>
      </w:r>
      <w:r w:rsidRPr="00DD07E1">
        <w:t xml:space="preserve"> and (b) require </w:t>
      </w:r>
      <w:r w:rsidRPr="007500E4">
        <w:t>a</w:t>
      </w:r>
      <w:r w:rsidRPr="00DD07E1">
        <w:t xml:space="preserve"> decision maker </w:t>
      </w:r>
      <w:r w:rsidRPr="007500E4">
        <w:t>to</w:t>
      </w:r>
      <w:r w:rsidRPr="00DD07E1">
        <w:t xml:space="preserve"> </w:t>
      </w:r>
      <w:r w:rsidRPr="007500E4">
        <w:t>assess</w:t>
      </w:r>
      <w:r w:rsidRPr="00DD07E1">
        <w:t xml:space="preserve"> whether the conduct </w:t>
      </w:r>
      <w:r w:rsidRPr="007500E4">
        <w:t>or</w:t>
      </w:r>
      <w:r w:rsidRPr="00DD07E1">
        <w:rPr>
          <w:w w:val="99"/>
        </w:rPr>
        <w:t xml:space="preserve"> </w:t>
      </w:r>
      <w:r w:rsidRPr="00DD07E1">
        <w:t xml:space="preserve">objects </w:t>
      </w:r>
      <w:r w:rsidRPr="007500E4">
        <w:t>of</w:t>
      </w:r>
      <w:r w:rsidRPr="00DD07E1">
        <w:t xml:space="preserve"> tests, examinations </w:t>
      </w:r>
      <w:r w:rsidRPr="007500E4">
        <w:t>or</w:t>
      </w:r>
      <w:r w:rsidRPr="00DD07E1">
        <w:t xml:space="preserve"> audits would </w:t>
      </w:r>
      <w:r w:rsidRPr="007500E4">
        <w:t>be</w:t>
      </w:r>
      <w:r w:rsidRPr="00DD07E1">
        <w:t xml:space="preserve"> prejudiced </w:t>
      </w:r>
      <w:r w:rsidRPr="007500E4">
        <w:t>in</w:t>
      </w:r>
      <w:r w:rsidRPr="00DD07E1">
        <w:t xml:space="preserve"> </w:t>
      </w:r>
      <w:r w:rsidRPr="007500E4">
        <w:t>a</w:t>
      </w:r>
      <w:r w:rsidRPr="00DD07E1">
        <w:t xml:space="preserve"> particular instance. The</w:t>
      </w:r>
      <w:r w:rsidRPr="00DD07E1">
        <w:rPr>
          <w:w w:val="99"/>
        </w:rPr>
        <w:t xml:space="preserve"> </w:t>
      </w:r>
      <w:r w:rsidRPr="007500E4">
        <w:t>term</w:t>
      </w:r>
      <w:r w:rsidRPr="00DD07E1">
        <w:t xml:space="preserve"> </w:t>
      </w:r>
      <w:r w:rsidRPr="00DD07E1">
        <w:rPr>
          <w:rFonts w:cs="Calibri"/>
        </w:rPr>
        <w:t>‘</w:t>
      </w:r>
      <w:r w:rsidRPr="00DD07E1">
        <w:t>prejudice</w:t>
      </w:r>
      <w:r w:rsidRPr="00DD07E1">
        <w:rPr>
          <w:rFonts w:cs="Calibri"/>
        </w:rPr>
        <w:t xml:space="preserve">’ </w:t>
      </w:r>
      <w:r w:rsidRPr="007500E4">
        <w:t>is</w:t>
      </w:r>
      <w:r w:rsidRPr="00DD07E1">
        <w:t xml:space="preserve"> explained </w:t>
      </w:r>
      <w:r w:rsidR="001E44B5" w:rsidRPr="0051133F">
        <w:t xml:space="preserve">at </w:t>
      </w:r>
      <w:r w:rsidR="006A71FA" w:rsidRPr="0051133F">
        <w:t>[6.</w:t>
      </w:r>
      <w:r w:rsidR="0051133F" w:rsidRPr="0051133F">
        <w:t>20</w:t>
      </w:r>
      <w:r w:rsidR="006A71FA" w:rsidRPr="0051133F">
        <w:t>]–[6.</w:t>
      </w:r>
      <w:r w:rsidR="0051133F" w:rsidRPr="0051133F">
        <w:t>21</w:t>
      </w:r>
      <w:r w:rsidR="006A71FA" w:rsidRPr="0051133F">
        <w:t>] above</w:t>
      </w:r>
      <w:r w:rsidRPr="007500E4">
        <w:t>.</w:t>
      </w:r>
    </w:p>
    <w:p w14:paraId="7DA96B1F" w14:textId="6CC98C95" w:rsidR="00BB0A82" w:rsidRPr="007500E4" w:rsidRDefault="00BB0A82" w:rsidP="00B73860">
      <w:pPr>
        <w:pStyle w:val="NumberedParagraphs"/>
        <w:ind w:left="567"/>
        <w:rPr>
          <w:sz w:val="16"/>
          <w:szCs w:val="16"/>
        </w:rPr>
      </w:pPr>
      <w:r w:rsidRPr="007500E4">
        <w:t>In</w:t>
      </w:r>
      <w:r w:rsidRPr="00DD07E1">
        <w:t xml:space="preserve"> the context of </w:t>
      </w:r>
      <w:r w:rsidRPr="007500E4">
        <w:t>this</w:t>
      </w:r>
      <w:r w:rsidRPr="00DD07E1">
        <w:t xml:space="preserve"> </w:t>
      </w:r>
      <w:r w:rsidR="00F519AC">
        <w:t xml:space="preserve">conditional </w:t>
      </w:r>
      <w:r w:rsidRPr="00DD07E1">
        <w:t xml:space="preserve">exemption, </w:t>
      </w:r>
      <w:r w:rsidRPr="007500E4">
        <w:t>a</w:t>
      </w:r>
      <w:r w:rsidRPr="00DD07E1">
        <w:t xml:space="preserve"> prejudicial effect could be regarded </w:t>
      </w:r>
      <w:r w:rsidRPr="007500E4">
        <w:t>as</w:t>
      </w:r>
      <w:r w:rsidRPr="00DD07E1">
        <w:t xml:space="preserve"> one </w:t>
      </w:r>
      <w:r w:rsidR="00F519AC">
        <w:t>that</w:t>
      </w:r>
      <w:r w:rsidRPr="00DD07E1">
        <w:t xml:space="preserve"> would cause </w:t>
      </w:r>
      <w:r w:rsidRPr="007500E4">
        <w:t>a</w:t>
      </w:r>
      <w:r w:rsidRPr="00DD07E1">
        <w:t xml:space="preserve"> </w:t>
      </w:r>
      <w:r w:rsidRPr="007500E4">
        <w:t>bias</w:t>
      </w:r>
      <w:r w:rsidRPr="00DD07E1">
        <w:t xml:space="preserve"> </w:t>
      </w:r>
      <w:r w:rsidRPr="007500E4">
        <w:t>or</w:t>
      </w:r>
      <w:r w:rsidRPr="00DD07E1">
        <w:t xml:space="preserve"> change </w:t>
      </w:r>
      <w:r w:rsidRPr="007500E4">
        <w:t>to</w:t>
      </w:r>
      <w:r w:rsidRPr="00DD07E1">
        <w:t xml:space="preserve"> </w:t>
      </w:r>
      <w:r w:rsidRPr="007500E4">
        <w:t>the</w:t>
      </w:r>
      <w:r w:rsidRPr="00DD07E1">
        <w:t xml:space="preserve"> expected results leading to detrimental </w:t>
      </w:r>
      <w:r w:rsidRPr="007500E4">
        <w:t>or</w:t>
      </w:r>
      <w:r w:rsidRPr="00DD07E1">
        <w:rPr>
          <w:w w:val="99"/>
        </w:rPr>
        <w:t xml:space="preserve"> </w:t>
      </w:r>
      <w:r w:rsidRPr="00DD07E1">
        <w:t xml:space="preserve">disadvantageous outcomes. </w:t>
      </w:r>
      <w:r w:rsidRPr="007500E4">
        <w:t>The</w:t>
      </w:r>
      <w:r w:rsidRPr="00DD07E1">
        <w:t xml:space="preserve"> expected </w:t>
      </w:r>
      <w:r w:rsidRPr="007500E4">
        <w:t>change</w:t>
      </w:r>
      <w:r w:rsidRPr="00DD07E1">
        <w:t xml:space="preserve"> </w:t>
      </w:r>
      <w:r w:rsidRPr="007500E4">
        <w:t>does</w:t>
      </w:r>
      <w:r w:rsidRPr="00DD07E1">
        <w:t xml:space="preserve"> </w:t>
      </w:r>
      <w:r w:rsidRPr="007500E4">
        <w:t>not</w:t>
      </w:r>
      <w:r w:rsidRPr="00DD07E1">
        <w:t xml:space="preserve"> need </w:t>
      </w:r>
      <w:r w:rsidRPr="007500E4">
        <w:t>to</w:t>
      </w:r>
      <w:r w:rsidRPr="00DD07E1">
        <w:t xml:space="preserve"> </w:t>
      </w:r>
      <w:r w:rsidRPr="007500E4">
        <w:t>have</w:t>
      </w:r>
      <w:r w:rsidRPr="00DD07E1">
        <w:t xml:space="preserve"> an impact that </w:t>
      </w:r>
      <w:r w:rsidRPr="007500E4">
        <w:t>is</w:t>
      </w:r>
      <w:r w:rsidRPr="00DD07E1">
        <w:t xml:space="preserve"> </w:t>
      </w:r>
      <w:r w:rsidRPr="00DD07E1">
        <w:rPr>
          <w:rFonts w:cs="Calibri"/>
        </w:rPr>
        <w:t>‘substantial and adverse’,</w:t>
      </w:r>
      <w:r w:rsidRPr="007500E4">
        <w:rPr>
          <w:rFonts w:cs="Calibri"/>
        </w:rPr>
        <w:t xml:space="preserve"> </w:t>
      </w:r>
      <w:r w:rsidRPr="00DD07E1">
        <w:rPr>
          <w:rFonts w:cs="Calibri"/>
        </w:rPr>
        <w:t xml:space="preserve">which </w:t>
      </w:r>
      <w:r w:rsidRPr="007500E4">
        <w:rPr>
          <w:rFonts w:cs="Calibri"/>
        </w:rPr>
        <w:t>is a</w:t>
      </w:r>
      <w:r w:rsidRPr="00DD07E1">
        <w:rPr>
          <w:rFonts w:cs="Calibri"/>
        </w:rPr>
        <w:t xml:space="preserve"> stricter test.</w:t>
      </w:r>
      <w:r w:rsidRPr="007500E4">
        <w:rPr>
          <w:rStyle w:val="FootnoteReference"/>
          <w:rFonts w:cs="Calibri"/>
        </w:rPr>
        <w:footnoteReference w:id="73"/>
      </w:r>
    </w:p>
    <w:p w14:paraId="677F7C85" w14:textId="77777777" w:rsidR="00BB0A82" w:rsidRPr="006205A8" w:rsidRDefault="00BB0A82" w:rsidP="002813D6">
      <w:pPr>
        <w:pStyle w:val="Heading3"/>
      </w:pPr>
      <w:bookmarkStart w:id="134" w:name="Reasonably_be_expected"/>
      <w:bookmarkStart w:id="135" w:name="_bookmark42"/>
      <w:bookmarkStart w:id="136" w:name="_Toc11154492"/>
      <w:bookmarkStart w:id="137" w:name="_Toc141875220"/>
      <w:bookmarkEnd w:id="134"/>
      <w:bookmarkEnd w:id="135"/>
      <w:r w:rsidRPr="006205A8">
        <w:t>Reasonably be expected</w:t>
      </w:r>
      <w:bookmarkEnd w:id="136"/>
      <w:bookmarkEnd w:id="137"/>
    </w:p>
    <w:p w14:paraId="20D8E8B0" w14:textId="2CEBE857" w:rsidR="00BB0A82" w:rsidRPr="007500E4" w:rsidRDefault="00BB0A82" w:rsidP="00B73860">
      <w:pPr>
        <w:pStyle w:val="NumberedParagraphs"/>
        <w:ind w:left="567"/>
      </w:pPr>
      <w:r w:rsidRPr="00DD07E1">
        <w:t xml:space="preserve">For the grounds in </w:t>
      </w:r>
      <w:r w:rsidRPr="007500E4">
        <w:t>s</w:t>
      </w:r>
      <w:r>
        <w:t>s</w:t>
      </w:r>
      <w:r w:rsidRPr="00DD07E1">
        <w:t xml:space="preserve"> 47E(a)</w:t>
      </w:r>
      <w:r w:rsidRPr="00DD07E1">
        <w:rPr>
          <w:rFonts w:cs="Calibri"/>
        </w:rPr>
        <w:t>–</w:t>
      </w:r>
      <w:r w:rsidRPr="00DD07E1">
        <w:t xml:space="preserve">(d) </w:t>
      </w:r>
      <w:r w:rsidRPr="007500E4">
        <w:t>to</w:t>
      </w:r>
      <w:r w:rsidRPr="00DD07E1">
        <w:t xml:space="preserve"> apply, the predicted effect needs </w:t>
      </w:r>
      <w:r w:rsidRPr="007500E4">
        <w:t>to</w:t>
      </w:r>
      <w:r w:rsidRPr="00DD07E1">
        <w:t xml:space="preserve"> </w:t>
      </w:r>
      <w:r w:rsidRPr="007500E4">
        <w:t>be</w:t>
      </w:r>
      <w:r w:rsidRPr="00DD07E1">
        <w:t xml:space="preserve"> reasonably </w:t>
      </w:r>
      <w:r w:rsidRPr="00DD07E1">
        <w:rPr>
          <w:rFonts w:cs="Calibri"/>
        </w:rPr>
        <w:t>expected</w:t>
      </w:r>
      <w:r w:rsidRPr="007500E4">
        <w:rPr>
          <w:rFonts w:cs="Calibri"/>
        </w:rPr>
        <w:t xml:space="preserve"> </w:t>
      </w:r>
      <w:r w:rsidRPr="00DD07E1">
        <w:rPr>
          <w:rFonts w:cs="Calibri"/>
        </w:rPr>
        <w:t>to</w:t>
      </w:r>
      <w:r w:rsidRPr="007500E4">
        <w:rPr>
          <w:rFonts w:cs="Calibri"/>
        </w:rPr>
        <w:t xml:space="preserve"> </w:t>
      </w:r>
      <w:r w:rsidRPr="00DD07E1">
        <w:rPr>
          <w:rFonts w:cs="Calibri"/>
        </w:rPr>
        <w:t xml:space="preserve">occur. </w:t>
      </w:r>
      <w:r w:rsidRPr="007500E4">
        <w:rPr>
          <w:rFonts w:cs="Calibri"/>
        </w:rPr>
        <w:t>The</w:t>
      </w:r>
      <w:r w:rsidRPr="00DD07E1">
        <w:rPr>
          <w:rFonts w:cs="Calibri"/>
        </w:rPr>
        <w:t xml:space="preserve"> term ‘</w:t>
      </w:r>
      <w:r w:rsidRPr="00DD07E1">
        <w:t>could</w:t>
      </w:r>
      <w:r w:rsidRPr="007500E4">
        <w:t xml:space="preserve"> </w:t>
      </w:r>
      <w:r w:rsidRPr="00DD07E1">
        <w:t>reasonably be</w:t>
      </w:r>
      <w:r w:rsidRPr="007500E4">
        <w:t xml:space="preserve"> expected</w:t>
      </w:r>
      <w:r w:rsidRPr="007500E4">
        <w:rPr>
          <w:rFonts w:cs="Calibri"/>
        </w:rPr>
        <w:t>’</w:t>
      </w:r>
      <w:r w:rsidRPr="00DD07E1">
        <w:rPr>
          <w:rFonts w:cs="Calibri"/>
        </w:rPr>
        <w:t xml:space="preserve"> </w:t>
      </w:r>
      <w:r w:rsidRPr="007500E4">
        <w:rPr>
          <w:rFonts w:cs="Calibri"/>
        </w:rPr>
        <w:t>is</w:t>
      </w:r>
      <w:r w:rsidRPr="00DD07E1">
        <w:rPr>
          <w:rFonts w:cs="Calibri"/>
        </w:rPr>
        <w:t xml:space="preserve"> explained</w:t>
      </w:r>
      <w:r w:rsidRPr="007500E4">
        <w:rPr>
          <w:rFonts w:cs="Calibri"/>
        </w:rPr>
        <w:t xml:space="preserve"> </w:t>
      </w:r>
      <w:r w:rsidRPr="00DD07E1">
        <w:rPr>
          <w:rFonts w:cs="Calibri"/>
        </w:rPr>
        <w:t>in</w:t>
      </w:r>
      <w:r w:rsidRPr="007500E4">
        <w:rPr>
          <w:rFonts w:cs="Calibri"/>
        </w:rPr>
        <w:t xml:space="preserve"> </w:t>
      </w:r>
      <w:r w:rsidRPr="00DD07E1">
        <w:rPr>
          <w:rFonts w:cs="Calibri"/>
        </w:rPr>
        <w:t>greater detail</w:t>
      </w:r>
      <w:r w:rsidRPr="007500E4">
        <w:rPr>
          <w:rFonts w:cs="Calibri"/>
        </w:rPr>
        <w:t xml:space="preserve"> </w:t>
      </w:r>
      <w:r w:rsidR="002A3421">
        <w:rPr>
          <w:rFonts w:cs="Calibri"/>
        </w:rPr>
        <w:t xml:space="preserve">at </w:t>
      </w:r>
      <w:r w:rsidR="002A3421">
        <w:rPr>
          <w:rFonts w:cs="Calibri"/>
        </w:rPr>
        <w:lastRenderedPageBreak/>
        <w:t>[6</w:t>
      </w:r>
      <w:r w:rsidR="00D05B11">
        <w:rPr>
          <w:rFonts w:cs="Calibri"/>
        </w:rPr>
        <w:t>.14]–[6.17] above</w:t>
      </w:r>
      <w:r w:rsidRPr="00DD07E1">
        <w:t xml:space="preserve">. </w:t>
      </w:r>
      <w:r w:rsidRPr="007500E4">
        <w:t>There</w:t>
      </w:r>
      <w:r w:rsidRPr="00DD07E1">
        <w:t xml:space="preserve"> must </w:t>
      </w:r>
      <w:r w:rsidRPr="007500E4">
        <w:t>be</w:t>
      </w:r>
      <w:r w:rsidRPr="00DD07E1">
        <w:t xml:space="preserve"> more than </w:t>
      </w:r>
      <w:r w:rsidRPr="007500E4">
        <w:t>merely</w:t>
      </w:r>
      <w:r w:rsidRPr="00DD07E1">
        <w:t xml:space="preserve"> an assumption or </w:t>
      </w:r>
      <w:r w:rsidRPr="007500E4">
        <w:t>allegation</w:t>
      </w:r>
      <w:r w:rsidRPr="00DD07E1">
        <w:t xml:space="preserve"> that damage </w:t>
      </w:r>
      <w:r w:rsidRPr="007500E4">
        <w:t>may</w:t>
      </w:r>
      <w:r w:rsidRPr="00DD07E1">
        <w:t xml:space="preserve"> occur if the document were </w:t>
      </w:r>
      <w:r w:rsidRPr="007500E4">
        <w:t>to</w:t>
      </w:r>
      <w:r w:rsidRPr="00DD07E1">
        <w:t xml:space="preserve"> </w:t>
      </w:r>
      <w:r w:rsidRPr="007500E4">
        <w:t>be</w:t>
      </w:r>
      <w:r w:rsidRPr="00DD07E1">
        <w:t xml:space="preserve"> released.</w:t>
      </w:r>
    </w:p>
    <w:p w14:paraId="3C6370C5" w14:textId="59C82E5F" w:rsidR="00BB0A82" w:rsidRPr="007500E4" w:rsidRDefault="00BB0A82" w:rsidP="00B73860">
      <w:pPr>
        <w:pStyle w:val="NumberedParagraphs"/>
        <w:ind w:left="567"/>
      </w:pPr>
      <w:r w:rsidRPr="007500E4">
        <w:t>Where</w:t>
      </w:r>
      <w:r w:rsidRPr="00DD07E1">
        <w:t xml:space="preserve"> the documents relate more closely </w:t>
      </w:r>
      <w:r w:rsidRPr="007500E4">
        <w:t>to</w:t>
      </w:r>
      <w:r w:rsidRPr="00DD07E1">
        <w:t xml:space="preserve"> investigations relating to compliance</w:t>
      </w:r>
      <w:r w:rsidRPr="00DD07E1">
        <w:rPr>
          <w:w w:val="99"/>
        </w:rPr>
        <w:t xml:space="preserve"> </w:t>
      </w:r>
      <w:r w:rsidRPr="00DD07E1">
        <w:t xml:space="preserve">with </w:t>
      </w:r>
      <w:r w:rsidRPr="007500E4">
        <w:t>a</w:t>
      </w:r>
      <w:r w:rsidRPr="00DD07E1">
        <w:t xml:space="preserve"> taxation law </w:t>
      </w:r>
      <w:r w:rsidRPr="007500E4">
        <w:t>or</w:t>
      </w:r>
      <w:r w:rsidRPr="00DD07E1">
        <w:t xml:space="preserve"> the enforcement </w:t>
      </w:r>
      <w:r w:rsidRPr="007500E4">
        <w:t>or</w:t>
      </w:r>
      <w:r w:rsidRPr="00DD07E1">
        <w:t xml:space="preserve"> proper administration of </w:t>
      </w:r>
      <w:r w:rsidRPr="007500E4">
        <w:t>the</w:t>
      </w:r>
      <w:r w:rsidRPr="00DD07E1">
        <w:t xml:space="preserve"> law, due </w:t>
      </w:r>
      <w:r w:rsidRPr="007500E4">
        <w:t>to</w:t>
      </w:r>
      <w:r w:rsidRPr="00DD07E1">
        <w:t xml:space="preserve"> </w:t>
      </w:r>
      <w:r w:rsidRPr="007500E4">
        <w:t>the</w:t>
      </w:r>
      <w:r w:rsidRPr="00DD07E1">
        <w:t xml:space="preserve"> involvement</w:t>
      </w:r>
      <w:r w:rsidRPr="007500E4">
        <w:t xml:space="preserve"> </w:t>
      </w:r>
      <w:r w:rsidRPr="00DD07E1">
        <w:t xml:space="preserve">of </w:t>
      </w:r>
      <w:r w:rsidRPr="00DD07E1">
        <w:rPr>
          <w:rFonts w:cs="Calibri"/>
        </w:rPr>
        <w:t>police</w:t>
      </w:r>
      <w:r w:rsidRPr="007500E4">
        <w:rPr>
          <w:rFonts w:cs="Calibri"/>
        </w:rPr>
        <w:t xml:space="preserve"> or</w:t>
      </w:r>
      <w:r w:rsidRPr="00DD07E1">
        <w:rPr>
          <w:rFonts w:cs="Calibri"/>
        </w:rPr>
        <w:t xml:space="preserve"> the Director </w:t>
      </w:r>
      <w:r w:rsidRPr="007500E4">
        <w:rPr>
          <w:rFonts w:cs="Calibri"/>
        </w:rPr>
        <w:t>of</w:t>
      </w:r>
      <w:r w:rsidRPr="00DD07E1">
        <w:rPr>
          <w:rFonts w:cs="Calibri"/>
        </w:rPr>
        <w:t xml:space="preserve"> </w:t>
      </w:r>
      <w:r w:rsidRPr="007500E4">
        <w:rPr>
          <w:rFonts w:cs="Calibri"/>
        </w:rPr>
        <w:t>Public</w:t>
      </w:r>
      <w:r w:rsidRPr="00DD07E1">
        <w:rPr>
          <w:rFonts w:cs="Calibri"/>
        </w:rPr>
        <w:t xml:space="preserve"> Prosecutions, or </w:t>
      </w:r>
      <w:r w:rsidRPr="007500E4">
        <w:rPr>
          <w:rFonts w:cs="Calibri"/>
        </w:rPr>
        <w:t>by</w:t>
      </w:r>
      <w:r w:rsidRPr="00DD07E1">
        <w:rPr>
          <w:rFonts w:cs="Calibri"/>
        </w:rPr>
        <w:t xml:space="preserve"> </w:t>
      </w:r>
      <w:r w:rsidR="007B73F7">
        <w:rPr>
          <w:rFonts w:cs="Calibri"/>
        </w:rPr>
        <w:t>an</w:t>
      </w:r>
      <w:r w:rsidRPr="00DD07E1">
        <w:rPr>
          <w:rFonts w:cs="Calibri"/>
        </w:rPr>
        <w:t xml:space="preserve"> </w:t>
      </w:r>
      <w:r w:rsidRPr="007500E4">
        <w:rPr>
          <w:rFonts w:cs="Calibri"/>
        </w:rPr>
        <w:t>agency’s</w:t>
      </w:r>
      <w:r w:rsidRPr="00DD07E1">
        <w:rPr>
          <w:rFonts w:cs="Calibri"/>
        </w:rPr>
        <w:t xml:space="preserve"> </w:t>
      </w:r>
      <w:r w:rsidRPr="00DD07E1">
        <w:t xml:space="preserve">internal investigators, the </w:t>
      </w:r>
      <w:r w:rsidRPr="007500E4">
        <w:t>agency</w:t>
      </w:r>
      <w:r w:rsidRPr="00DD07E1">
        <w:t xml:space="preserve"> </w:t>
      </w:r>
      <w:r w:rsidRPr="007500E4">
        <w:t>may</w:t>
      </w:r>
      <w:r w:rsidRPr="00DD07E1">
        <w:t xml:space="preserve"> need </w:t>
      </w:r>
      <w:r w:rsidRPr="007500E4">
        <w:t>to</w:t>
      </w:r>
      <w:r w:rsidRPr="00DD07E1">
        <w:t xml:space="preserve"> consider the </w:t>
      </w:r>
      <w:r w:rsidRPr="007500E4">
        <w:t>law</w:t>
      </w:r>
      <w:r w:rsidRPr="00DD07E1">
        <w:t xml:space="preserve"> enforcement exemption under s 37 (see Part </w:t>
      </w:r>
      <w:r w:rsidRPr="007500E4">
        <w:t>5</w:t>
      </w:r>
      <w:r w:rsidRPr="00DD07E1">
        <w:t>).</w:t>
      </w:r>
    </w:p>
    <w:p w14:paraId="4DE9FE52" w14:textId="6FA7C8D4" w:rsidR="00BB0A82" w:rsidRPr="006205A8" w:rsidRDefault="00BB0A82" w:rsidP="002813D6">
      <w:pPr>
        <w:pStyle w:val="Heading3"/>
      </w:pPr>
      <w:bookmarkStart w:id="138" w:name="Reasons_behind_predicted_effect"/>
      <w:bookmarkStart w:id="139" w:name="_bookmark43"/>
      <w:bookmarkStart w:id="140" w:name="_Toc11154493"/>
      <w:bookmarkStart w:id="141" w:name="_Toc141875221"/>
      <w:bookmarkEnd w:id="138"/>
      <w:bookmarkEnd w:id="139"/>
      <w:r w:rsidRPr="006205A8">
        <w:t xml:space="preserve">Reasons </w:t>
      </w:r>
      <w:r w:rsidR="00874890">
        <w:t>for</w:t>
      </w:r>
      <w:r w:rsidRPr="006205A8">
        <w:t xml:space="preserve"> predicted effect</w:t>
      </w:r>
      <w:bookmarkEnd w:id="140"/>
      <w:bookmarkEnd w:id="141"/>
    </w:p>
    <w:p w14:paraId="24CE77F1" w14:textId="081B1716" w:rsidR="00BB0A82" w:rsidRPr="007500E4" w:rsidRDefault="00BB0A82" w:rsidP="00B73860">
      <w:pPr>
        <w:pStyle w:val="NumberedParagraphs"/>
        <w:ind w:left="567"/>
      </w:pPr>
      <w:r w:rsidRPr="007500E4">
        <w:t>An</w:t>
      </w:r>
      <w:r w:rsidRPr="00DD07E1">
        <w:t xml:space="preserve"> agency cannot </w:t>
      </w:r>
      <w:r w:rsidRPr="007500E4">
        <w:t>merely</w:t>
      </w:r>
      <w:r w:rsidRPr="00DD07E1">
        <w:t xml:space="preserve"> </w:t>
      </w:r>
      <w:r w:rsidRPr="007500E4">
        <w:t>assert</w:t>
      </w:r>
      <w:r w:rsidRPr="00DD07E1">
        <w:t xml:space="preserve"> that an effect w</w:t>
      </w:r>
      <w:r w:rsidR="007B73F7">
        <w:t>ill</w:t>
      </w:r>
      <w:r w:rsidRPr="00DD07E1">
        <w:t xml:space="preserve"> occur following disclosure. The</w:t>
      </w:r>
      <w:r w:rsidRPr="00DD07E1">
        <w:rPr>
          <w:w w:val="99"/>
        </w:rPr>
        <w:t xml:space="preserve"> </w:t>
      </w:r>
      <w:r w:rsidRPr="00DD07E1">
        <w:t xml:space="preserve">particulars of </w:t>
      </w:r>
      <w:r w:rsidRPr="007500E4">
        <w:t>the</w:t>
      </w:r>
      <w:r w:rsidRPr="00DD07E1">
        <w:t xml:space="preserve"> predicted effect should be identified during the </w:t>
      </w:r>
      <w:r w:rsidR="007B73F7" w:rsidRPr="00DD07E1">
        <w:t>decision-making</w:t>
      </w:r>
      <w:r w:rsidRPr="00DD07E1">
        <w:t xml:space="preserve"> process, including whether the effect could reasonably </w:t>
      </w:r>
      <w:r w:rsidRPr="007500E4">
        <w:t>be</w:t>
      </w:r>
      <w:r w:rsidRPr="00DD07E1">
        <w:t xml:space="preserve"> expected </w:t>
      </w:r>
      <w:r w:rsidRPr="007500E4">
        <w:t>to</w:t>
      </w:r>
      <w:r w:rsidRPr="00DD07E1">
        <w:t xml:space="preserve"> occur. </w:t>
      </w:r>
      <w:r w:rsidRPr="007500E4">
        <w:t>Where</w:t>
      </w:r>
      <w:r w:rsidRPr="00DD07E1">
        <w:t xml:space="preserve"> the</w:t>
      </w:r>
      <w:r w:rsidRPr="00DD07E1">
        <w:rPr>
          <w:w w:val="99"/>
        </w:rPr>
        <w:t xml:space="preserve"> </w:t>
      </w:r>
      <w:r w:rsidRPr="00DD07E1">
        <w:t xml:space="preserve">conditional exemption </w:t>
      </w:r>
      <w:r w:rsidRPr="007500E4">
        <w:t>is</w:t>
      </w:r>
      <w:r w:rsidRPr="00DD07E1">
        <w:t xml:space="preserve"> </w:t>
      </w:r>
      <w:r w:rsidRPr="007500E4">
        <w:t>relied</w:t>
      </w:r>
      <w:r w:rsidRPr="00DD07E1">
        <w:t xml:space="preserve"> upon, the relevant particulars and reasons should form part</w:t>
      </w:r>
      <w:r w:rsidRPr="00DD07E1">
        <w:rPr>
          <w:w w:val="99"/>
        </w:rPr>
        <w:t xml:space="preserve"> </w:t>
      </w:r>
      <w:r w:rsidRPr="007500E4">
        <w:rPr>
          <w:rFonts w:cs="Calibri"/>
        </w:rPr>
        <w:t>of</w:t>
      </w:r>
      <w:r w:rsidRPr="00DD07E1">
        <w:rPr>
          <w:rFonts w:cs="Calibri"/>
        </w:rPr>
        <w:t xml:space="preserve"> </w:t>
      </w:r>
      <w:r w:rsidRPr="007500E4">
        <w:rPr>
          <w:rFonts w:cs="Calibri"/>
        </w:rPr>
        <w:t>the</w:t>
      </w:r>
      <w:r w:rsidRPr="00DD07E1">
        <w:rPr>
          <w:rFonts w:cs="Calibri"/>
        </w:rPr>
        <w:t xml:space="preserve"> decision maker’s statement of reasons, </w:t>
      </w:r>
      <w:r w:rsidRPr="007500E4">
        <w:rPr>
          <w:rFonts w:cs="Calibri"/>
        </w:rPr>
        <w:t>if</w:t>
      </w:r>
      <w:r w:rsidRPr="00DD07E1">
        <w:rPr>
          <w:rFonts w:cs="Calibri"/>
        </w:rPr>
        <w:t xml:space="preserve"> they</w:t>
      </w:r>
      <w:r w:rsidRPr="007500E4">
        <w:rPr>
          <w:rFonts w:cs="Calibri"/>
        </w:rPr>
        <w:t xml:space="preserve"> </w:t>
      </w:r>
      <w:r w:rsidRPr="00DD07E1">
        <w:rPr>
          <w:rFonts w:cs="Calibri"/>
        </w:rPr>
        <w:t xml:space="preserve">can </w:t>
      </w:r>
      <w:r w:rsidRPr="007500E4">
        <w:rPr>
          <w:rFonts w:cs="Calibri"/>
        </w:rPr>
        <w:t>be</w:t>
      </w:r>
      <w:r w:rsidRPr="00DD07E1">
        <w:rPr>
          <w:rFonts w:cs="Calibri"/>
        </w:rPr>
        <w:t xml:space="preserve"> included</w:t>
      </w:r>
      <w:r w:rsidRPr="007500E4">
        <w:rPr>
          <w:rFonts w:cs="Calibri"/>
        </w:rPr>
        <w:t xml:space="preserve"> </w:t>
      </w:r>
      <w:r w:rsidRPr="00DD07E1">
        <w:rPr>
          <w:rFonts w:cs="Calibri"/>
        </w:rPr>
        <w:t xml:space="preserve">without </w:t>
      </w:r>
      <w:r w:rsidRPr="007500E4">
        <w:rPr>
          <w:rFonts w:cs="Calibri"/>
        </w:rPr>
        <w:t>disclosing</w:t>
      </w:r>
      <w:r w:rsidRPr="00DD07E1">
        <w:rPr>
          <w:rFonts w:cs="Calibri"/>
        </w:rPr>
        <w:t xml:space="preserve"> </w:t>
      </w:r>
      <w:r w:rsidRPr="007500E4">
        <w:t>exempt</w:t>
      </w:r>
      <w:r w:rsidRPr="00DD07E1">
        <w:t xml:space="preserve"> mat</w:t>
      </w:r>
      <w:r w:rsidR="007B73F7">
        <w:t>ter</w:t>
      </w:r>
      <w:r w:rsidRPr="00DD07E1">
        <w:t xml:space="preserve"> (s 26, see Part </w:t>
      </w:r>
      <w:r w:rsidRPr="007500E4">
        <w:t>3</w:t>
      </w:r>
      <w:r w:rsidRPr="00DD07E1">
        <w:t>).</w:t>
      </w:r>
    </w:p>
    <w:p w14:paraId="1FDC1E76" w14:textId="3A9A5FF7" w:rsidR="00BB0A82" w:rsidRPr="006205A8" w:rsidRDefault="00BB0A82" w:rsidP="002813D6">
      <w:pPr>
        <w:pStyle w:val="Heading3"/>
      </w:pPr>
      <w:bookmarkStart w:id="142" w:name="Prejudice_the_effectiveness_of_testing,_"/>
      <w:bookmarkStart w:id="143" w:name="_bookmark44"/>
      <w:bookmarkStart w:id="144" w:name="_Toc11154494"/>
      <w:bookmarkStart w:id="145" w:name="_Toc141875222"/>
      <w:bookmarkEnd w:id="142"/>
      <w:bookmarkEnd w:id="143"/>
      <w:r w:rsidRPr="006205A8">
        <w:t>Prejudice the effectiveness of testing, examining or auditing methods</w:t>
      </w:r>
      <w:bookmarkEnd w:id="144"/>
      <w:r w:rsidR="0017285E">
        <w:t xml:space="preserve"> or procedures</w:t>
      </w:r>
      <w:r w:rsidR="00741C23">
        <w:t xml:space="preserve"> (s 47E(a)</w:t>
      </w:r>
      <w:r w:rsidR="005360CF">
        <w:t>)</w:t>
      </w:r>
      <w:bookmarkEnd w:id="145"/>
    </w:p>
    <w:p w14:paraId="5A895A66" w14:textId="77777777" w:rsidR="00BB0A82" w:rsidRPr="006205A8" w:rsidRDefault="00BB0A82" w:rsidP="00B73860">
      <w:pPr>
        <w:pStyle w:val="NumberedParagraphs"/>
        <w:ind w:left="567"/>
      </w:pPr>
      <w:r w:rsidRPr="006205A8">
        <w:t>Where the document relates to a procedure or method for the conduct of tests, examinations or audits by an agency, the decision maker must address both elements of the conditional exemption in s 47E(a), namely that:</w:t>
      </w:r>
    </w:p>
    <w:p w14:paraId="625DEA79" w14:textId="77777777" w:rsidR="00BB0A82" w:rsidRPr="006205A8" w:rsidRDefault="00BB0A82" w:rsidP="00202DAE">
      <w:pPr>
        <w:pStyle w:val="IndentBullet1"/>
        <w:ind w:left="851" w:hanging="284"/>
      </w:pPr>
      <w:r w:rsidRPr="006205A8">
        <w:t>an effect would reasonably be expected following disclosure</w:t>
      </w:r>
    </w:p>
    <w:p w14:paraId="47F9019E" w14:textId="77777777" w:rsidR="00BB0A82" w:rsidRPr="006205A8" w:rsidRDefault="00BB0A82" w:rsidP="00202DAE">
      <w:pPr>
        <w:pStyle w:val="IndentBullet1"/>
        <w:ind w:left="851" w:hanging="284"/>
      </w:pPr>
      <w:r w:rsidRPr="006205A8">
        <w:t>the expected effect would be, overall, prejudicial to the effectiveness of the procedure or method of the audit, test or examination being conducted.</w:t>
      </w:r>
    </w:p>
    <w:p w14:paraId="36BFE630" w14:textId="38365DDC" w:rsidR="00BB0A82" w:rsidRPr="007500E4" w:rsidRDefault="00BB0A82" w:rsidP="00B73860">
      <w:pPr>
        <w:pStyle w:val="NumberedParagraphs"/>
        <w:ind w:left="567"/>
      </w:pPr>
      <w:r w:rsidRPr="006205A8">
        <w:t>The decision maker will need to consider the content and context of the document to be able to identify the purpose, methodology or intended objective of the examination, test or audit. This operational information provides the necessary context in which to</w:t>
      </w:r>
      <w:r w:rsidRPr="00DD07E1">
        <w:t xml:space="preserve"> </w:t>
      </w:r>
      <w:r w:rsidRPr="007500E4">
        <w:t>assess the</w:t>
      </w:r>
      <w:r w:rsidRPr="00DD07E1">
        <w:t xml:space="preserve"> document against the conditional exemption </w:t>
      </w:r>
      <w:r w:rsidRPr="007500E4">
        <w:t>and</w:t>
      </w:r>
      <w:r w:rsidRPr="00DD07E1">
        <w:t xml:space="preserve"> should </w:t>
      </w:r>
      <w:r w:rsidRPr="007500E4">
        <w:t>be</w:t>
      </w:r>
      <w:r w:rsidRPr="00DD07E1">
        <w:t xml:space="preserve"> included in the statement </w:t>
      </w:r>
      <w:r w:rsidRPr="007500E4">
        <w:t>of</w:t>
      </w:r>
      <w:r w:rsidRPr="00DD07E1">
        <w:t xml:space="preserve"> </w:t>
      </w:r>
      <w:r w:rsidRPr="007500E4">
        <w:t>reasons</w:t>
      </w:r>
      <w:r w:rsidRPr="00DD07E1">
        <w:t xml:space="preserve"> </w:t>
      </w:r>
      <w:r w:rsidR="00F753E0">
        <w:t xml:space="preserve">issued under </w:t>
      </w:r>
      <w:r w:rsidRPr="00DD07E1">
        <w:t>s 26.</w:t>
      </w:r>
    </w:p>
    <w:p w14:paraId="7AEE8677" w14:textId="4DE494FA" w:rsidR="00BB0A82" w:rsidRPr="007500E4" w:rsidRDefault="00BB0A82" w:rsidP="00B73860">
      <w:pPr>
        <w:pStyle w:val="NumberedParagraphs"/>
        <w:ind w:left="567"/>
      </w:pPr>
      <w:r w:rsidRPr="007500E4">
        <w:t>The</w:t>
      </w:r>
      <w:r w:rsidRPr="00DD07E1">
        <w:t xml:space="preserve"> </w:t>
      </w:r>
      <w:r w:rsidRPr="007500E4">
        <w:t>decision</w:t>
      </w:r>
      <w:r w:rsidRPr="00DD07E1">
        <w:t xml:space="preserve"> maker should explain </w:t>
      </w:r>
      <w:r w:rsidRPr="007500E4">
        <w:t>how</w:t>
      </w:r>
      <w:r w:rsidRPr="00DD07E1">
        <w:t xml:space="preserve"> the expected effect w</w:t>
      </w:r>
      <w:r w:rsidR="007B73F7">
        <w:t>ill</w:t>
      </w:r>
      <w:r w:rsidRPr="00DD07E1">
        <w:t xml:space="preserve"> prejudice the</w:t>
      </w:r>
      <w:r w:rsidRPr="00DD07E1">
        <w:rPr>
          <w:w w:val="99"/>
        </w:rPr>
        <w:t xml:space="preserve"> </w:t>
      </w:r>
      <w:r w:rsidRPr="00DD07E1">
        <w:rPr>
          <w:rFonts w:cs="Calibri"/>
        </w:rPr>
        <w:t xml:space="preserve">effectiveness </w:t>
      </w:r>
      <w:r w:rsidRPr="007500E4">
        <w:rPr>
          <w:rFonts w:cs="Calibri"/>
        </w:rPr>
        <w:t>of</w:t>
      </w:r>
      <w:r w:rsidRPr="00DD07E1">
        <w:rPr>
          <w:rFonts w:cs="Calibri"/>
        </w:rPr>
        <w:t xml:space="preserve"> the</w:t>
      </w:r>
      <w:r w:rsidRPr="007500E4">
        <w:rPr>
          <w:rFonts w:cs="Calibri"/>
        </w:rPr>
        <w:t xml:space="preserve"> </w:t>
      </w:r>
      <w:r w:rsidRPr="00DD07E1">
        <w:rPr>
          <w:rFonts w:cs="Calibri"/>
        </w:rPr>
        <w:t xml:space="preserve">agency’s </w:t>
      </w:r>
      <w:r w:rsidRPr="007500E4">
        <w:rPr>
          <w:rFonts w:cs="Calibri"/>
        </w:rPr>
        <w:t>test</w:t>
      </w:r>
      <w:r w:rsidRPr="007500E4">
        <w:t>ing</w:t>
      </w:r>
      <w:r w:rsidRPr="00DD07E1">
        <w:t xml:space="preserve"> methods.</w:t>
      </w:r>
      <w:r w:rsidR="00B95457">
        <w:rPr>
          <w:rStyle w:val="FootnoteReference"/>
        </w:rPr>
        <w:footnoteReference w:id="74"/>
      </w:r>
      <w:r w:rsidRPr="00DD07E1">
        <w:t xml:space="preserve"> </w:t>
      </w:r>
      <w:r w:rsidRPr="007500E4">
        <w:t>A</w:t>
      </w:r>
      <w:r w:rsidRPr="00DD07E1">
        <w:t xml:space="preserve"> detailed</w:t>
      </w:r>
      <w:r w:rsidRPr="007500E4">
        <w:t xml:space="preserve"> </w:t>
      </w:r>
      <w:r w:rsidRPr="00DD07E1">
        <w:t xml:space="preserve">description </w:t>
      </w:r>
      <w:r w:rsidRPr="007500E4">
        <w:t>of</w:t>
      </w:r>
      <w:r w:rsidRPr="00DD07E1">
        <w:t xml:space="preserve"> the predicted effect</w:t>
      </w:r>
      <w:r w:rsidRPr="00DD07E1">
        <w:rPr>
          <w:w w:val="99"/>
        </w:rPr>
        <w:t xml:space="preserve"> </w:t>
      </w:r>
      <w:r w:rsidRPr="00DD07E1">
        <w:t>w</w:t>
      </w:r>
      <w:r w:rsidR="007B73F7">
        <w:t>ill</w:t>
      </w:r>
      <w:r w:rsidRPr="00DD07E1">
        <w:t xml:space="preserve"> enable </w:t>
      </w:r>
      <w:r w:rsidRPr="007500E4">
        <w:t>a</w:t>
      </w:r>
      <w:r w:rsidRPr="00DD07E1">
        <w:t xml:space="preserve"> comprehensive comparison of the predicted effect against the usual effectiveness </w:t>
      </w:r>
      <w:r w:rsidRPr="007500E4">
        <w:t>of</w:t>
      </w:r>
      <w:r w:rsidRPr="00DD07E1">
        <w:t xml:space="preserve"> existing testing methods. The comparison w</w:t>
      </w:r>
      <w:r w:rsidR="007B73F7">
        <w:t>ill</w:t>
      </w:r>
      <w:r w:rsidRPr="00DD07E1">
        <w:t xml:space="preserve"> indicate whether </w:t>
      </w:r>
      <w:r w:rsidRPr="007500E4">
        <w:t>the</w:t>
      </w:r>
      <w:r w:rsidRPr="00DD07E1">
        <w:t xml:space="preserve"> effect would </w:t>
      </w:r>
      <w:r w:rsidRPr="007500E4">
        <w:t>be</w:t>
      </w:r>
      <w:r w:rsidRPr="00DD07E1">
        <w:t xml:space="preserve"> prejudicial.</w:t>
      </w:r>
    </w:p>
    <w:p w14:paraId="2BA98AED" w14:textId="5A514F82" w:rsidR="00BB0A82" w:rsidRPr="007500E4" w:rsidRDefault="00BB0A82" w:rsidP="00B73860">
      <w:pPr>
        <w:pStyle w:val="NumberedParagraphs"/>
        <w:ind w:left="567"/>
      </w:pPr>
      <w:r w:rsidRPr="00DD07E1">
        <w:t xml:space="preserve">Examples of testing methods considered </w:t>
      </w:r>
      <w:r w:rsidRPr="007500E4">
        <w:t>by</w:t>
      </w:r>
      <w:r w:rsidRPr="00DD07E1">
        <w:t xml:space="preserve"> the </w:t>
      </w:r>
      <w:r w:rsidR="0054255F">
        <w:t xml:space="preserve">Information Commissioner </w:t>
      </w:r>
      <w:r w:rsidR="0000725D">
        <w:t>and</w:t>
      </w:r>
      <w:r w:rsidR="00F753E0">
        <w:t xml:space="preserve"> </w:t>
      </w:r>
      <w:r w:rsidR="0054255F">
        <w:t xml:space="preserve">the </w:t>
      </w:r>
      <w:r w:rsidRPr="007500E4">
        <w:t>AAT</w:t>
      </w:r>
      <w:r w:rsidRPr="00DD07E1">
        <w:t xml:space="preserve"> include:</w:t>
      </w:r>
    </w:p>
    <w:p w14:paraId="22437E24" w14:textId="77777777" w:rsidR="00BB0A82" w:rsidRPr="007500E4" w:rsidRDefault="00BB0A82" w:rsidP="00202DAE">
      <w:pPr>
        <w:pStyle w:val="IndentBullet1"/>
        <w:ind w:left="851" w:hanging="284"/>
        <w:rPr>
          <w:sz w:val="16"/>
          <w:szCs w:val="16"/>
        </w:rPr>
      </w:pPr>
      <w:r w:rsidRPr="00DD07E1">
        <w:t>safety audits and testing regimes</w:t>
      </w:r>
      <w:r w:rsidRPr="007500E4">
        <w:rPr>
          <w:rStyle w:val="FootnoteReference"/>
        </w:rPr>
        <w:footnoteReference w:id="75"/>
      </w:r>
    </w:p>
    <w:p w14:paraId="124AEEF7" w14:textId="77777777" w:rsidR="00BB0A82" w:rsidRPr="007500E4" w:rsidRDefault="00BB0A82" w:rsidP="00202DAE">
      <w:pPr>
        <w:pStyle w:val="IndentBullet1"/>
        <w:ind w:left="851" w:hanging="284"/>
      </w:pPr>
      <w:r w:rsidRPr="00DD07E1">
        <w:t>licensing board examinations</w:t>
      </w:r>
    </w:p>
    <w:p w14:paraId="5FBE42EF" w14:textId="77777777" w:rsidR="00BB0A82" w:rsidRPr="007500E4" w:rsidRDefault="00BB0A82" w:rsidP="00202DAE">
      <w:pPr>
        <w:pStyle w:val="IndentBullet1"/>
        <w:ind w:left="851" w:hanging="284"/>
        <w:rPr>
          <w:sz w:val="16"/>
          <w:szCs w:val="16"/>
        </w:rPr>
      </w:pPr>
      <w:r w:rsidRPr="007500E4">
        <w:lastRenderedPageBreak/>
        <w:t>risk</w:t>
      </w:r>
      <w:r w:rsidRPr="00DD07E1">
        <w:t xml:space="preserve"> </w:t>
      </w:r>
      <w:r w:rsidRPr="007500E4">
        <w:t>assessment</w:t>
      </w:r>
      <w:r w:rsidRPr="00DD07E1">
        <w:t xml:space="preserve"> matrices</w:t>
      </w:r>
      <w:r w:rsidRPr="00DD07E1">
        <w:rPr>
          <w:rStyle w:val="FootnoteReference"/>
        </w:rPr>
        <w:footnoteReference w:id="76"/>
      </w:r>
    </w:p>
    <w:p w14:paraId="211AB66C" w14:textId="5E3EE11F" w:rsidR="00BB0A82" w:rsidRPr="007500E4" w:rsidRDefault="00BB0A82" w:rsidP="00202DAE">
      <w:pPr>
        <w:pStyle w:val="IndentBullet1"/>
        <w:ind w:left="851" w:hanging="284"/>
      </w:pPr>
      <w:r w:rsidRPr="007500E4">
        <w:t>compliance</w:t>
      </w:r>
      <w:r w:rsidRPr="00DD07E1">
        <w:t xml:space="preserve"> audit indicators</w:t>
      </w:r>
      <w:r w:rsidR="0017285E">
        <w:rPr>
          <w:rStyle w:val="FootnoteReference"/>
        </w:rPr>
        <w:footnoteReference w:id="77"/>
      </w:r>
      <w:r w:rsidRPr="00DD07E1">
        <w:t xml:space="preserve"> and any comparative weighting of </w:t>
      </w:r>
      <w:r w:rsidRPr="007500E4">
        <w:t>the</w:t>
      </w:r>
      <w:r w:rsidRPr="00DD07E1">
        <w:t xml:space="preserve"> indicators</w:t>
      </w:r>
    </w:p>
    <w:p w14:paraId="18D520C8" w14:textId="77777777" w:rsidR="00BB0A82" w:rsidRPr="007500E4" w:rsidRDefault="00BB0A82" w:rsidP="00202DAE">
      <w:pPr>
        <w:pStyle w:val="IndentBullet1"/>
        <w:ind w:left="851" w:hanging="284"/>
        <w:rPr>
          <w:sz w:val="16"/>
          <w:szCs w:val="16"/>
        </w:rPr>
      </w:pPr>
      <w:r w:rsidRPr="00DD07E1">
        <w:t>accident investigation techniques</w:t>
      </w:r>
      <w:r w:rsidRPr="00DD07E1">
        <w:rPr>
          <w:rStyle w:val="FootnoteReference"/>
        </w:rPr>
        <w:footnoteReference w:id="78"/>
      </w:r>
    </w:p>
    <w:p w14:paraId="43576070" w14:textId="09B6ADE6" w:rsidR="00BB0A82" w:rsidRPr="007500E4" w:rsidRDefault="00BB0A82" w:rsidP="00202DAE">
      <w:pPr>
        <w:pStyle w:val="IndentBullet1"/>
        <w:ind w:left="851" w:hanging="284"/>
        <w:rPr>
          <w:sz w:val="16"/>
          <w:szCs w:val="16"/>
        </w:rPr>
      </w:pPr>
      <w:r w:rsidRPr="007500E4">
        <w:t>tests</w:t>
      </w:r>
      <w:r w:rsidRPr="00DD07E1">
        <w:t xml:space="preserve"> </w:t>
      </w:r>
      <w:r w:rsidRPr="007500E4">
        <w:t>or</w:t>
      </w:r>
      <w:r w:rsidRPr="00DD07E1">
        <w:t xml:space="preserve"> examinations leading </w:t>
      </w:r>
      <w:r w:rsidRPr="007500E4">
        <w:t>to</w:t>
      </w:r>
      <w:r w:rsidRPr="00DD07E1">
        <w:t xml:space="preserve"> qualifications</w:t>
      </w:r>
      <w:r w:rsidRPr="00DD07E1">
        <w:rPr>
          <w:rStyle w:val="FootnoteReference"/>
        </w:rPr>
        <w:footnoteReference w:id="79"/>
      </w:r>
    </w:p>
    <w:p w14:paraId="0A1B82FB" w14:textId="77777777" w:rsidR="00BB0A82" w:rsidRPr="007500E4" w:rsidRDefault="00BB0A82" w:rsidP="00202DAE">
      <w:pPr>
        <w:pStyle w:val="IndentBullet1"/>
        <w:ind w:left="851" w:hanging="284"/>
        <w:rPr>
          <w:sz w:val="16"/>
          <w:szCs w:val="16"/>
        </w:rPr>
      </w:pPr>
      <w:r w:rsidRPr="00DD07E1">
        <w:t xml:space="preserve">potential fraud case assessment </w:t>
      </w:r>
      <w:r w:rsidRPr="007500E4">
        <w:t>and</w:t>
      </w:r>
      <w:r w:rsidRPr="00DD07E1">
        <w:t xml:space="preserve"> analysis tools.</w:t>
      </w:r>
      <w:r w:rsidRPr="00DD07E1">
        <w:rPr>
          <w:rStyle w:val="FootnoteReference"/>
        </w:rPr>
        <w:footnoteReference w:id="80"/>
      </w:r>
    </w:p>
    <w:p w14:paraId="5C7C85F0" w14:textId="77777777" w:rsidR="00BB0A82" w:rsidRPr="007500E4" w:rsidRDefault="00BB0A82" w:rsidP="00AD68FC">
      <w:pPr>
        <w:pStyle w:val="NumberedParagraphs"/>
        <w:ind w:left="567"/>
      </w:pPr>
      <w:r w:rsidRPr="00DD07E1">
        <w:t xml:space="preserve">Circumstances considered </w:t>
      </w:r>
      <w:r w:rsidRPr="007500E4">
        <w:t>by</w:t>
      </w:r>
      <w:r w:rsidRPr="00DD07E1">
        <w:t xml:space="preserve"> the AAT where disclosure </w:t>
      </w:r>
      <w:r w:rsidRPr="007500E4">
        <w:t>of</w:t>
      </w:r>
      <w:r w:rsidRPr="00DD07E1">
        <w:t xml:space="preserve"> the testing method </w:t>
      </w:r>
      <w:r w:rsidRPr="007500E4">
        <w:t>may</w:t>
      </w:r>
      <w:r w:rsidRPr="00DD07E1">
        <w:rPr>
          <w:w w:val="99"/>
        </w:rPr>
        <w:t xml:space="preserve"> </w:t>
      </w:r>
      <w:r w:rsidRPr="00DD07E1">
        <w:t xml:space="preserve">prejudice </w:t>
      </w:r>
      <w:r w:rsidRPr="007500E4">
        <w:t>the</w:t>
      </w:r>
      <w:r w:rsidRPr="00DD07E1">
        <w:t xml:space="preserve"> method include:</w:t>
      </w:r>
    </w:p>
    <w:p w14:paraId="302B2F37" w14:textId="77777777" w:rsidR="00BB0A82" w:rsidRPr="007500E4" w:rsidRDefault="00BB0A82" w:rsidP="00202DAE">
      <w:pPr>
        <w:pStyle w:val="IndentBullet1"/>
        <w:ind w:left="851" w:hanging="284"/>
      </w:pPr>
      <w:r w:rsidRPr="00DD07E1">
        <w:t>providing forewarning of the usual manner of audits</w:t>
      </w:r>
    </w:p>
    <w:p w14:paraId="03BF2175" w14:textId="77777777" w:rsidR="00BB0A82" w:rsidRPr="007500E4" w:rsidRDefault="00BB0A82" w:rsidP="00202DAE">
      <w:pPr>
        <w:pStyle w:val="IndentBullet1"/>
        <w:ind w:left="851" w:hanging="284"/>
      </w:pPr>
      <w:r w:rsidRPr="00DD07E1">
        <w:t xml:space="preserve">permitting analysis </w:t>
      </w:r>
      <w:r w:rsidRPr="007500E4">
        <w:t>of</w:t>
      </w:r>
      <w:r w:rsidRPr="00DD07E1">
        <w:t xml:space="preserve"> responses </w:t>
      </w:r>
      <w:r w:rsidRPr="007500E4">
        <w:t>to</w:t>
      </w:r>
      <w:r w:rsidRPr="00DD07E1">
        <w:t xml:space="preserve"> tests or examinations </w:t>
      </w:r>
      <w:r w:rsidRPr="007500E4">
        <w:t>or</w:t>
      </w:r>
      <w:r w:rsidRPr="00DD07E1">
        <w:t xml:space="preserve"> information gathered</w:t>
      </w:r>
      <w:r w:rsidRPr="00DD07E1">
        <w:rPr>
          <w:w w:val="99"/>
        </w:rPr>
        <w:t xml:space="preserve"> </w:t>
      </w:r>
      <w:r w:rsidRPr="00DD07E1">
        <w:t xml:space="preserve">during </w:t>
      </w:r>
      <w:r w:rsidRPr="007500E4">
        <w:t>an</w:t>
      </w:r>
      <w:r w:rsidRPr="00DD07E1">
        <w:t xml:space="preserve"> audit</w:t>
      </w:r>
    </w:p>
    <w:p w14:paraId="56733C20" w14:textId="77777777" w:rsidR="00BB0A82" w:rsidRPr="007500E4" w:rsidRDefault="00BB0A82" w:rsidP="00202DAE">
      <w:pPr>
        <w:pStyle w:val="IndentBullet1"/>
        <w:ind w:left="851" w:hanging="284"/>
        <w:rPr>
          <w:sz w:val="16"/>
          <w:szCs w:val="16"/>
        </w:rPr>
      </w:pPr>
      <w:r w:rsidRPr="00DD07E1">
        <w:t xml:space="preserve">facilitating cheating, fraudulent </w:t>
      </w:r>
      <w:r w:rsidRPr="007500E4">
        <w:t>or</w:t>
      </w:r>
      <w:r w:rsidRPr="00DD07E1">
        <w:t xml:space="preserve"> deceptive conduct </w:t>
      </w:r>
      <w:r w:rsidRPr="007500E4">
        <w:t>by</w:t>
      </w:r>
      <w:r w:rsidRPr="00DD07E1">
        <w:t xml:space="preserve"> those being tested </w:t>
      </w:r>
      <w:r w:rsidRPr="007500E4">
        <w:t>or</w:t>
      </w:r>
      <w:r w:rsidRPr="00DD07E1">
        <w:rPr>
          <w:w w:val="99"/>
        </w:rPr>
        <w:t xml:space="preserve"> </w:t>
      </w:r>
      <w:r w:rsidRPr="00DD07E1">
        <w:t>audited</w:t>
      </w:r>
      <w:r w:rsidRPr="00DD07E1">
        <w:rPr>
          <w:rStyle w:val="FootnoteReference"/>
        </w:rPr>
        <w:footnoteReference w:id="81"/>
      </w:r>
    </w:p>
    <w:p w14:paraId="1DD6816D" w14:textId="77777777" w:rsidR="00BB0A82" w:rsidRPr="007500E4" w:rsidRDefault="00BB0A82" w:rsidP="00202DAE">
      <w:pPr>
        <w:pStyle w:val="IndentBullet1"/>
        <w:ind w:left="851" w:hanging="284"/>
        <w:rPr>
          <w:sz w:val="16"/>
          <w:szCs w:val="16"/>
        </w:rPr>
      </w:pPr>
      <w:r w:rsidRPr="00DD07E1">
        <w:t xml:space="preserve">permitting pre-prepared responses which would </w:t>
      </w:r>
      <w:r w:rsidRPr="007500E4">
        <w:t>compromise</w:t>
      </w:r>
      <w:r w:rsidRPr="00DD07E1">
        <w:t xml:space="preserve"> the integrity </w:t>
      </w:r>
      <w:r w:rsidRPr="007500E4">
        <w:t>of</w:t>
      </w:r>
      <w:r w:rsidRPr="00DD07E1">
        <w:t xml:space="preserve"> </w:t>
      </w:r>
      <w:r w:rsidRPr="007500E4">
        <w:t>the</w:t>
      </w:r>
      <w:r w:rsidRPr="00DD07E1">
        <w:rPr>
          <w:w w:val="99"/>
        </w:rPr>
        <w:t xml:space="preserve"> </w:t>
      </w:r>
      <w:r w:rsidRPr="00DD07E1">
        <w:t>testing process.</w:t>
      </w:r>
      <w:r w:rsidRPr="00DD07E1">
        <w:rPr>
          <w:rStyle w:val="FootnoteReference"/>
        </w:rPr>
        <w:footnoteReference w:id="82"/>
      </w:r>
    </w:p>
    <w:p w14:paraId="492FF85B" w14:textId="553427B1" w:rsidR="00BB0A82" w:rsidRPr="003B1486" w:rsidRDefault="00BB0A82" w:rsidP="002813D6">
      <w:pPr>
        <w:pStyle w:val="Heading3"/>
      </w:pPr>
      <w:bookmarkStart w:id="146" w:name="Prejudice_the_attainment_of_testing,_exa"/>
      <w:bookmarkStart w:id="147" w:name="_bookmark45"/>
      <w:bookmarkStart w:id="148" w:name="_Toc11154495"/>
      <w:bookmarkStart w:id="149" w:name="_Toc141875223"/>
      <w:bookmarkEnd w:id="146"/>
      <w:bookmarkEnd w:id="147"/>
      <w:r w:rsidRPr="003B1486">
        <w:t>Prejudice the attainment of testing, examination or auditing objectives</w:t>
      </w:r>
      <w:bookmarkEnd w:id="148"/>
      <w:r w:rsidR="00741C23">
        <w:t xml:space="preserve"> (s 47E(b)</w:t>
      </w:r>
      <w:r w:rsidR="005360CF">
        <w:t>)</w:t>
      </w:r>
      <w:bookmarkEnd w:id="149"/>
    </w:p>
    <w:p w14:paraId="50579905" w14:textId="571EBEB3" w:rsidR="00BB0A82" w:rsidRPr="003B1486" w:rsidRDefault="00BB0A82" w:rsidP="00B73860">
      <w:pPr>
        <w:pStyle w:val="NumberedParagraphs"/>
        <w:ind w:left="567"/>
      </w:pPr>
      <w:bookmarkStart w:id="150" w:name="_Hlk49947283"/>
      <w:r w:rsidRPr="003B1486">
        <w:t xml:space="preserve">Where </w:t>
      </w:r>
      <w:r w:rsidR="007B73F7">
        <w:t>a</w:t>
      </w:r>
      <w:r w:rsidRPr="003B1486">
        <w:t xml:space="preserve"> document relates to the integrity of the attainment of the objectives of tests, examinations or audits by an agency, the decision maker must address both elements of the conditional exemption in s 47E(b)</w:t>
      </w:r>
      <w:r w:rsidR="00525983">
        <w:t>. The decision maker must be satisfied that</w:t>
      </w:r>
      <w:r w:rsidRPr="003B1486">
        <w:t>:</w:t>
      </w:r>
    </w:p>
    <w:p w14:paraId="4B96261D" w14:textId="39F88442" w:rsidR="00BB0A82" w:rsidRPr="003B1486" w:rsidRDefault="00BB0A82" w:rsidP="00AD68FC">
      <w:pPr>
        <w:pStyle w:val="List"/>
        <w:numPr>
          <w:ilvl w:val="0"/>
          <w:numId w:val="43"/>
        </w:numPr>
        <w:ind w:left="993" w:hanging="426"/>
      </w:pPr>
      <w:r w:rsidRPr="003B1486">
        <w:t>an effect would reasonably be expected following disclosure</w:t>
      </w:r>
    </w:p>
    <w:p w14:paraId="5A410372" w14:textId="1A5A3704" w:rsidR="00BB0A82" w:rsidRPr="003B1486" w:rsidRDefault="00BB0A82" w:rsidP="00AD68FC">
      <w:pPr>
        <w:pStyle w:val="List"/>
        <w:numPr>
          <w:ilvl w:val="0"/>
          <w:numId w:val="43"/>
        </w:numPr>
        <w:ind w:left="993" w:hanging="426"/>
      </w:pPr>
      <w:r w:rsidRPr="003B1486">
        <w:t xml:space="preserve">the expected effect would be prejudicial to the attainment of the objects of the audit, test or </w:t>
      </w:r>
      <w:r w:rsidR="00905449" w:rsidRPr="003B1486">
        <w:t>examination conducted</w:t>
      </w:r>
      <w:r w:rsidR="00F753E0">
        <w:t xml:space="preserve"> or to be conducted</w:t>
      </w:r>
      <w:r w:rsidRPr="003B1486">
        <w:t>.</w:t>
      </w:r>
    </w:p>
    <w:bookmarkEnd w:id="150"/>
    <w:p w14:paraId="0B2E0F3F" w14:textId="33C46F10" w:rsidR="00BB0A82" w:rsidRPr="003B1486" w:rsidRDefault="00BB0A82" w:rsidP="00B73860">
      <w:pPr>
        <w:pStyle w:val="NumberedParagraphs"/>
        <w:ind w:left="567"/>
      </w:pPr>
      <w:r w:rsidRPr="003B1486">
        <w:t xml:space="preserve">The agency </w:t>
      </w:r>
      <w:r w:rsidR="008B5499">
        <w:t>need</w:t>
      </w:r>
      <w:r w:rsidR="004C293B">
        <w:t>s</w:t>
      </w:r>
      <w:r w:rsidR="008B5499">
        <w:t xml:space="preserve"> to conduct, or propose to conduct,</w:t>
      </w:r>
      <w:r w:rsidRPr="003B1486">
        <w:t xml:space="preserve"> the testing</w:t>
      </w:r>
      <w:r w:rsidR="008B5499">
        <w:t xml:space="preserve">, </w:t>
      </w:r>
      <w:r w:rsidRPr="003B1486">
        <w:t xml:space="preserve">examination </w:t>
      </w:r>
      <w:r w:rsidR="008B5499">
        <w:t xml:space="preserve">or audit </w:t>
      </w:r>
      <w:r w:rsidRPr="003B1486">
        <w:t xml:space="preserve">to meet particular requirements, and have a particular need for the results (the test objectives). The underlying operational requirements for the test objectives </w:t>
      </w:r>
      <w:r w:rsidR="00AB6DE8">
        <w:t>are</w:t>
      </w:r>
      <w:r w:rsidRPr="003B1486">
        <w:t xml:space="preserve"> the context for assessing the document against the conditional exemption and should be included in the statement of reasons (s 26) if the exemption is relied on.</w:t>
      </w:r>
    </w:p>
    <w:p w14:paraId="010BADC5" w14:textId="77777777" w:rsidR="00BB0A82" w:rsidRPr="003B1486" w:rsidRDefault="00BB0A82" w:rsidP="00B73860">
      <w:pPr>
        <w:pStyle w:val="NumberedParagraphs"/>
        <w:ind w:left="567"/>
      </w:pPr>
      <w:r w:rsidRPr="003B1486">
        <w:t>Some examples of test objectives include:</w:t>
      </w:r>
    </w:p>
    <w:p w14:paraId="381615CA" w14:textId="77777777" w:rsidR="00BB0A82" w:rsidRPr="00770026" w:rsidRDefault="00BB0A82" w:rsidP="00202DAE">
      <w:pPr>
        <w:pStyle w:val="IndentBullet1"/>
        <w:ind w:left="851" w:hanging="284"/>
        <w:rPr>
          <w:rFonts w:asciiTheme="majorHAnsi" w:hAnsiTheme="majorHAnsi"/>
          <w:szCs w:val="22"/>
        </w:rPr>
      </w:pPr>
      <w:r w:rsidRPr="00770026">
        <w:rPr>
          <w:rFonts w:asciiTheme="majorHAnsi" w:hAnsiTheme="majorHAnsi"/>
          <w:szCs w:val="22"/>
        </w:rPr>
        <w:t xml:space="preserve">ensuring only </w:t>
      </w:r>
      <w:r w:rsidRPr="00202DAE">
        <w:t>properly</w:t>
      </w:r>
      <w:r w:rsidRPr="00770026">
        <w:rPr>
          <w:rFonts w:asciiTheme="majorHAnsi" w:hAnsiTheme="majorHAnsi"/>
          <w:szCs w:val="22"/>
        </w:rPr>
        <w:t xml:space="preserve"> qualified people are flying aircraft</w:t>
      </w:r>
    </w:p>
    <w:p w14:paraId="424EBB34" w14:textId="77777777" w:rsidR="00BB0A82" w:rsidRDefault="00BB0A82" w:rsidP="00202DAE">
      <w:pPr>
        <w:pStyle w:val="IndentBullet1"/>
        <w:ind w:left="851" w:hanging="284"/>
        <w:rPr>
          <w:rFonts w:asciiTheme="majorHAnsi" w:hAnsiTheme="majorHAnsi"/>
          <w:szCs w:val="22"/>
        </w:rPr>
      </w:pPr>
      <w:r w:rsidRPr="00770026">
        <w:rPr>
          <w:rFonts w:asciiTheme="majorHAnsi" w:hAnsiTheme="majorHAnsi"/>
          <w:szCs w:val="22"/>
        </w:rPr>
        <w:t xml:space="preserve">ensuring the </w:t>
      </w:r>
      <w:r w:rsidRPr="00202DAE">
        <w:t>selection</w:t>
      </w:r>
      <w:r w:rsidRPr="00770026">
        <w:rPr>
          <w:rFonts w:asciiTheme="majorHAnsi" w:hAnsiTheme="majorHAnsi"/>
          <w:szCs w:val="22"/>
        </w:rPr>
        <w:t xml:space="preserve"> of the most competent and best candidates for promotion</w:t>
      </w:r>
      <w:r w:rsidRPr="00770026">
        <w:rPr>
          <w:rStyle w:val="FootnoteReference"/>
          <w:rFonts w:asciiTheme="majorHAnsi" w:hAnsiTheme="majorHAnsi"/>
          <w:szCs w:val="22"/>
        </w:rPr>
        <w:footnoteReference w:id="83"/>
      </w:r>
    </w:p>
    <w:p w14:paraId="374F1B74" w14:textId="1E4208BA" w:rsidR="00741C23" w:rsidRPr="00741C23" w:rsidRDefault="00741C23" w:rsidP="00202DAE">
      <w:pPr>
        <w:pStyle w:val="IndentBullet1"/>
        <w:ind w:left="851" w:hanging="284"/>
        <w:rPr>
          <w:rFonts w:asciiTheme="majorHAnsi" w:hAnsiTheme="majorHAnsi"/>
          <w:szCs w:val="22"/>
        </w:rPr>
      </w:pPr>
      <w:r w:rsidRPr="00C23A30">
        <w:rPr>
          <w:rFonts w:ascii="Source Sans Pro" w:hAnsi="Source Sans Pro"/>
          <w:color w:val="333333"/>
          <w:szCs w:val="22"/>
          <w:shd w:val="clear" w:color="auto" w:fill="FFFFFF"/>
        </w:rPr>
        <w:lastRenderedPageBreak/>
        <w:t xml:space="preserve">determining </w:t>
      </w:r>
      <w:r w:rsidRPr="00202DAE">
        <w:t>suitability</w:t>
      </w:r>
      <w:r w:rsidRPr="00C23A30">
        <w:rPr>
          <w:rFonts w:ascii="Source Sans Pro" w:hAnsi="Source Sans Pro"/>
          <w:color w:val="333333"/>
          <w:szCs w:val="22"/>
          <w:shd w:val="clear" w:color="auto" w:fill="FFFFFF"/>
        </w:rPr>
        <w:t xml:space="preserve"> for highly technical positions</w:t>
      </w:r>
      <w:r>
        <w:rPr>
          <w:rStyle w:val="FootnoteReference"/>
          <w:rFonts w:ascii="Source Sans Pro" w:hAnsi="Source Sans Pro"/>
          <w:color w:val="333333"/>
          <w:szCs w:val="22"/>
          <w:shd w:val="clear" w:color="auto" w:fill="FFFFFF"/>
        </w:rPr>
        <w:footnoteReference w:id="84"/>
      </w:r>
    </w:p>
    <w:p w14:paraId="61709082" w14:textId="1726121F" w:rsidR="00BB0A82" w:rsidRDefault="00BB0A82" w:rsidP="00202DAE">
      <w:pPr>
        <w:pStyle w:val="IndentBullet1"/>
        <w:ind w:left="851" w:hanging="284"/>
        <w:rPr>
          <w:rFonts w:asciiTheme="majorHAnsi" w:hAnsiTheme="majorHAnsi"/>
          <w:szCs w:val="22"/>
        </w:rPr>
      </w:pPr>
      <w:r w:rsidRPr="00770026">
        <w:rPr>
          <w:rFonts w:asciiTheme="majorHAnsi" w:hAnsiTheme="majorHAnsi"/>
          <w:szCs w:val="22"/>
        </w:rPr>
        <w:t xml:space="preserve">ensuring that an </w:t>
      </w:r>
      <w:r w:rsidRPr="00202DAE">
        <w:t>a</w:t>
      </w:r>
      <w:r w:rsidRPr="00202DAE">
        <w:rPr>
          <w:rFonts w:cs="Calibri"/>
        </w:rPr>
        <w:t>gency’s</w:t>
      </w:r>
      <w:r w:rsidRPr="00770026">
        <w:rPr>
          <w:rFonts w:asciiTheme="majorHAnsi" w:hAnsiTheme="majorHAnsi" w:cs="Calibri"/>
          <w:szCs w:val="22"/>
        </w:rPr>
        <w:t xml:space="preserve"> </w:t>
      </w:r>
      <w:r w:rsidRPr="00770026">
        <w:rPr>
          <w:rFonts w:asciiTheme="majorHAnsi" w:hAnsiTheme="majorHAnsi"/>
          <w:szCs w:val="22"/>
        </w:rPr>
        <w:t>expenditure is being lawfully spent through proper</w:t>
      </w:r>
      <w:r w:rsidRPr="00770026">
        <w:rPr>
          <w:rFonts w:asciiTheme="majorHAnsi" w:hAnsiTheme="majorHAnsi"/>
          <w:w w:val="99"/>
          <w:szCs w:val="22"/>
        </w:rPr>
        <w:t xml:space="preserve"> </w:t>
      </w:r>
      <w:r w:rsidRPr="00770026">
        <w:rPr>
          <w:rFonts w:asciiTheme="majorHAnsi" w:hAnsiTheme="majorHAnsi"/>
          <w:szCs w:val="22"/>
        </w:rPr>
        <w:t>acquittal.</w:t>
      </w:r>
      <w:r w:rsidR="0017285E">
        <w:rPr>
          <w:rStyle w:val="FootnoteReference"/>
          <w:rFonts w:asciiTheme="majorHAnsi" w:hAnsiTheme="majorHAnsi"/>
          <w:szCs w:val="22"/>
        </w:rPr>
        <w:footnoteReference w:id="85"/>
      </w:r>
    </w:p>
    <w:p w14:paraId="3664A42B" w14:textId="77777777" w:rsidR="00BB0A82" w:rsidRPr="007500E4" w:rsidRDefault="00BB0A82" w:rsidP="00B73860">
      <w:pPr>
        <w:pStyle w:val="NumberedParagraphs"/>
        <w:ind w:left="567"/>
      </w:pPr>
      <w:r w:rsidRPr="007500E4">
        <w:t>The</w:t>
      </w:r>
      <w:r w:rsidRPr="00DD07E1">
        <w:t xml:space="preserve"> AAT </w:t>
      </w:r>
      <w:r w:rsidRPr="007500E4">
        <w:t>has</w:t>
      </w:r>
      <w:r w:rsidRPr="00DD07E1">
        <w:t xml:space="preserve"> accepted that disclosure would </w:t>
      </w:r>
      <w:r w:rsidRPr="007500E4">
        <w:t>be</w:t>
      </w:r>
      <w:r w:rsidRPr="00DD07E1">
        <w:t xml:space="preserve"> prejudicial </w:t>
      </w:r>
      <w:r w:rsidRPr="007500E4">
        <w:t>to</w:t>
      </w:r>
      <w:r w:rsidRPr="00DD07E1">
        <w:t xml:space="preserve"> testing </w:t>
      </w:r>
      <w:r w:rsidRPr="007500E4">
        <w:t>methods</w:t>
      </w:r>
      <w:r w:rsidRPr="00DD07E1">
        <w:t xml:space="preserve"> where</w:t>
      </w:r>
      <w:r w:rsidRPr="00DD07E1">
        <w:rPr>
          <w:w w:val="99"/>
        </w:rPr>
        <w:t xml:space="preserve"> </w:t>
      </w:r>
      <w:r w:rsidRPr="007500E4">
        <w:t>it</w:t>
      </w:r>
      <w:r w:rsidRPr="00DD07E1">
        <w:t xml:space="preserve"> would:</w:t>
      </w:r>
    </w:p>
    <w:p w14:paraId="4DFAD066" w14:textId="77777777" w:rsidR="00BB0A82" w:rsidRPr="007500E4" w:rsidRDefault="00BB0A82" w:rsidP="00202DAE">
      <w:pPr>
        <w:pStyle w:val="IndentBullet1"/>
        <w:ind w:left="851" w:hanging="284"/>
        <w:rPr>
          <w:sz w:val="16"/>
          <w:szCs w:val="16"/>
        </w:rPr>
      </w:pPr>
      <w:r w:rsidRPr="007500E4">
        <w:t>allow</w:t>
      </w:r>
      <w:r w:rsidRPr="00DD07E1">
        <w:t xml:space="preserve"> </w:t>
      </w:r>
      <w:r w:rsidRPr="007500E4">
        <w:t>for</w:t>
      </w:r>
      <w:r w:rsidRPr="00DD07E1">
        <w:t xml:space="preserve"> </w:t>
      </w:r>
      <w:r w:rsidRPr="007500E4">
        <w:t>plagiarism</w:t>
      </w:r>
      <w:r w:rsidRPr="00DD07E1">
        <w:t xml:space="preserve"> </w:t>
      </w:r>
      <w:r w:rsidRPr="007500E4">
        <w:t>or</w:t>
      </w:r>
      <w:r w:rsidRPr="00DD07E1">
        <w:t xml:space="preserve"> circulation of questions </w:t>
      </w:r>
      <w:r w:rsidRPr="007500E4">
        <w:t>or</w:t>
      </w:r>
      <w:r w:rsidRPr="00DD07E1">
        <w:t xml:space="preserve"> examination papers that would </w:t>
      </w:r>
      <w:r w:rsidRPr="007500E4">
        <w:t>lead</w:t>
      </w:r>
      <w:r w:rsidRPr="00DD07E1">
        <w:t xml:space="preserve"> </w:t>
      </w:r>
      <w:r w:rsidRPr="007500E4">
        <w:t>to</w:t>
      </w:r>
      <w:r w:rsidRPr="00DD07E1">
        <w:t xml:space="preserve"> </w:t>
      </w:r>
      <w:r w:rsidRPr="007500E4">
        <w:t>a</w:t>
      </w:r>
      <w:r w:rsidRPr="00DD07E1">
        <w:t xml:space="preserve"> breach </w:t>
      </w:r>
      <w:r w:rsidRPr="007500E4">
        <w:t>of</w:t>
      </w:r>
      <w:r w:rsidRPr="00DD07E1">
        <w:t xml:space="preserve"> the integrity </w:t>
      </w:r>
      <w:r w:rsidRPr="007500E4">
        <w:t>of</w:t>
      </w:r>
      <w:r w:rsidRPr="00DD07E1">
        <w:t xml:space="preserve"> the examination system</w:t>
      </w:r>
      <w:r w:rsidRPr="00DD07E1">
        <w:rPr>
          <w:rStyle w:val="FootnoteReference"/>
        </w:rPr>
        <w:footnoteReference w:id="86"/>
      </w:r>
    </w:p>
    <w:p w14:paraId="09D076B1" w14:textId="6EAAF039" w:rsidR="003E0DCA" w:rsidRPr="008A163F" w:rsidRDefault="00BB0A82" w:rsidP="002F3F6F">
      <w:pPr>
        <w:pStyle w:val="IndentBullet1"/>
        <w:ind w:left="851" w:hanging="284"/>
        <w:rPr>
          <w:sz w:val="16"/>
          <w:szCs w:val="16"/>
        </w:rPr>
      </w:pPr>
      <w:r w:rsidRPr="007500E4">
        <w:t>allow</w:t>
      </w:r>
      <w:r w:rsidRPr="00DD07E1">
        <w:t xml:space="preserve"> </w:t>
      </w:r>
      <w:r w:rsidRPr="007500E4">
        <w:t>for</w:t>
      </w:r>
      <w:r w:rsidRPr="00DD07E1">
        <w:t xml:space="preserve"> examiners to be inhibited </w:t>
      </w:r>
      <w:r w:rsidRPr="007500E4">
        <w:t>in</w:t>
      </w:r>
      <w:r w:rsidRPr="00DD07E1">
        <w:t xml:space="preserve"> future marking </w:t>
      </w:r>
      <w:r w:rsidRPr="007500E4">
        <w:t>by</w:t>
      </w:r>
      <w:r w:rsidRPr="00DD07E1">
        <w:t xml:space="preserve"> the threat of challenge </w:t>
      </w:r>
      <w:r w:rsidRPr="007500E4">
        <w:t>to</w:t>
      </w:r>
      <w:r w:rsidRPr="00DD07E1">
        <w:t xml:space="preserve"> </w:t>
      </w:r>
      <w:r w:rsidRPr="007500E4">
        <w:t>their</w:t>
      </w:r>
      <w:r w:rsidRPr="00DD07E1">
        <w:t xml:space="preserve"> marking</w:t>
      </w:r>
      <w:r w:rsidRPr="00DD07E1">
        <w:rPr>
          <w:rStyle w:val="FootnoteReference"/>
        </w:rPr>
        <w:footnoteReference w:id="87"/>
      </w:r>
    </w:p>
    <w:p w14:paraId="79FED025" w14:textId="3850AB82" w:rsidR="00BB0A82" w:rsidRPr="002F3F6F" w:rsidRDefault="00BB0A82" w:rsidP="002F3F6F">
      <w:pPr>
        <w:pStyle w:val="IndentBullet1"/>
        <w:ind w:left="851" w:hanging="284"/>
        <w:rPr>
          <w:sz w:val="16"/>
          <w:szCs w:val="16"/>
        </w:rPr>
      </w:pPr>
      <w:r w:rsidRPr="007500E4">
        <w:t>allow</w:t>
      </w:r>
      <w:r w:rsidRPr="00DD07E1">
        <w:t xml:space="preserve"> scrutiny </w:t>
      </w:r>
      <w:r w:rsidRPr="007500E4">
        <w:t>of</w:t>
      </w:r>
      <w:r w:rsidRPr="00DD07E1">
        <w:t xml:space="preserve"> past test results </w:t>
      </w:r>
      <w:r w:rsidRPr="007500E4">
        <w:t>or</w:t>
      </w:r>
      <w:r w:rsidRPr="00DD07E1">
        <w:t xml:space="preserve"> questions for </w:t>
      </w:r>
      <w:r w:rsidRPr="007500E4">
        <w:t>the</w:t>
      </w:r>
      <w:r w:rsidRPr="00DD07E1">
        <w:t xml:space="preserve"> pre-preparation of expected/acceptable responses, </w:t>
      </w:r>
      <w:r w:rsidRPr="007500E4">
        <w:t>rather</w:t>
      </w:r>
      <w:r w:rsidRPr="00DD07E1">
        <w:t xml:space="preserve"> than honest </w:t>
      </w:r>
      <w:r w:rsidRPr="007500E4">
        <w:t>or</w:t>
      </w:r>
      <w:r w:rsidRPr="00DD07E1">
        <w:t xml:space="preserve"> true responses, for </w:t>
      </w:r>
      <w:r w:rsidRPr="007500E4">
        <w:t>example</w:t>
      </w:r>
      <w:r w:rsidRPr="00DD07E1">
        <w:t xml:space="preserve"> </w:t>
      </w:r>
      <w:r w:rsidRPr="002F3F6F">
        <w:rPr>
          <w:rFonts w:cs="Calibri"/>
        </w:rPr>
        <w:t>in psychometric testing to ascertain an applicant’s eligibility for a certain pension</w:t>
      </w:r>
      <w:r w:rsidRPr="007500E4">
        <w:rPr>
          <w:rStyle w:val="FootnoteReference"/>
          <w:rFonts w:cs="Calibri"/>
        </w:rPr>
        <w:footnoteReference w:id="88"/>
      </w:r>
      <w:r w:rsidRPr="002F3F6F">
        <w:rPr>
          <w:position w:val="11"/>
          <w:sz w:val="16"/>
          <w:szCs w:val="16"/>
        </w:rPr>
        <w:t xml:space="preserve"> </w:t>
      </w:r>
      <w:r w:rsidRPr="007500E4">
        <w:t>or</w:t>
      </w:r>
      <w:r w:rsidRPr="00DD07E1">
        <w:t xml:space="preserve"> patent </w:t>
      </w:r>
      <w:r w:rsidRPr="007500E4">
        <w:t>examiner</w:t>
      </w:r>
      <w:r w:rsidRPr="00DD07E1">
        <w:t xml:space="preserve"> examinations.</w:t>
      </w:r>
      <w:r w:rsidRPr="00DD07E1">
        <w:rPr>
          <w:rStyle w:val="FootnoteReference"/>
        </w:rPr>
        <w:footnoteReference w:id="89"/>
      </w:r>
    </w:p>
    <w:p w14:paraId="3F841EDE" w14:textId="5A306B47" w:rsidR="00BB0A82" w:rsidRPr="003B1486" w:rsidRDefault="00BB0A82" w:rsidP="002813D6">
      <w:pPr>
        <w:pStyle w:val="Heading3"/>
      </w:pPr>
      <w:bookmarkStart w:id="151" w:name="Substantial_adverse_effect_on_management"/>
      <w:bookmarkStart w:id="152" w:name="_bookmark46"/>
      <w:bookmarkStart w:id="153" w:name="_Toc11154496"/>
      <w:bookmarkStart w:id="154" w:name="_Toc141875224"/>
      <w:bookmarkEnd w:id="151"/>
      <w:bookmarkEnd w:id="152"/>
      <w:r w:rsidRPr="00694C48">
        <w:t>Substantial adverse effect on management or assessment of personnel</w:t>
      </w:r>
      <w:bookmarkEnd w:id="153"/>
      <w:r w:rsidR="00694C48" w:rsidRPr="00694C48">
        <w:t xml:space="preserve"> </w:t>
      </w:r>
      <w:r w:rsidR="00845FAE">
        <w:t>(s 47E(c))</w:t>
      </w:r>
      <w:bookmarkEnd w:id="154"/>
    </w:p>
    <w:p w14:paraId="4AA0F534" w14:textId="785173E5" w:rsidR="00BB0A82" w:rsidRPr="003B1486" w:rsidRDefault="00BB0A82" w:rsidP="00B73860">
      <w:pPr>
        <w:pStyle w:val="NumberedParagraphs"/>
        <w:ind w:left="567"/>
      </w:pPr>
      <w:r w:rsidRPr="003B1486">
        <w:t xml:space="preserve">Where </w:t>
      </w:r>
      <w:r w:rsidR="00AB6DE8">
        <w:t>a</w:t>
      </w:r>
      <w:r w:rsidRPr="003B1486">
        <w:t xml:space="preserve"> document relates to </w:t>
      </w:r>
      <w:r w:rsidR="00AB6DE8">
        <w:t>an</w:t>
      </w:r>
      <w:r w:rsidRPr="003B1486">
        <w:t xml:space="preserve"> agency’s policies and practices </w:t>
      </w:r>
      <w:r w:rsidR="00AB6DE8">
        <w:t xml:space="preserve">in </w:t>
      </w:r>
      <w:r w:rsidRPr="003B1486">
        <w:t>relati</w:t>
      </w:r>
      <w:r w:rsidR="00AB6DE8">
        <w:t>o</w:t>
      </w:r>
      <w:r w:rsidRPr="003B1486">
        <w:t xml:space="preserve">n to the assessment </w:t>
      </w:r>
      <w:r w:rsidR="004C293B">
        <w:t>or</w:t>
      </w:r>
      <w:r w:rsidRPr="003B1486">
        <w:t xml:space="preserve"> management of personnel, the decision maker must address both elements of the conditional exemption in s 47E(c), namely that:</w:t>
      </w:r>
    </w:p>
    <w:p w14:paraId="1BEB9B78" w14:textId="1D2729D3" w:rsidR="00BB0A82" w:rsidRPr="003B1486" w:rsidRDefault="00BB0A82" w:rsidP="00202DAE">
      <w:pPr>
        <w:pStyle w:val="IndentBullet1"/>
        <w:ind w:left="851" w:hanging="284"/>
      </w:pPr>
      <w:r w:rsidRPr="003B1486">
        <w:t>an effect would reasonably be expected following disclosure</w:t>
      </w:r>
    </w:p>
    <w:p w14:paraId="38B7FA53" w14:textId="02948EC7" w:rsidR="00BB0A82" w:rsidRPr="003B1486" w:rsidRDefault="00BB0A82" w:rsidP="00202DAE">
      <w:pPr>
        <w:pStyle w:val="IndentBullet1"/>
        <w:ind w:left="851" w:hanging="284"/>
      </w:pPr>
      <w:r w:rsidRPr="003B1486">
        <w:t>the expected effect would be both substantial and adverse.</w:t>
      </w:r>
    </w:p>
    <w:p w14:paraId="050B10AE" w14:textId="77777777" w:rsidR="00BB0A82" w:rsidRPr="003B1486" w:rsidRDefault="00BB0A82" w:rsidP="00B73860">
      <w:pPr>
        <w:pStyle w:val="NumberedParagraphs"/>
        <w:ind w:left="567"/>
      </w:pPr>
      <w:r w:rsidRPr="003B1486">
        <w:t>For this exemption to apply, the documents must relate to either:</w:t>
      </w:r>
    </w:p>
    <w:p w14:paraId="148BA47A" w14:textId="67D81DF0" w:rsidR="00BB0A82" w:rsidRPr="007500E4" w:rsidRDefault="00BB0A82" w:rsidP="00202DAE">
      <w:pPr>
        <w:pStyle w:val="IndentBullet1"/>
        <w:ind w:left="851" w:hanging="284"/>
      </w:pPr>
      <w:r w:rsidRPr="007500E4">
        <w:t>the</w:t>
      </w:r>
      <w:r w:rsidRPr="00DD07E1">
        <w:t xml:space="preserve"> management of personnel</w:t>
      </w:r>
      <w:r w:rsidRPr="007500E4">
        <w:t xml:space="preserve"> </w:t>
      </w:r>
      <w:r w:rsidRPr="007500E4">
        <w:rPr>
          <w:rFonts w:cs="Calibri"/>
        </w:rPr>
        <w:t>–</w:t>
      </w:r>
      <w:r w:rsidRPr="00DD07E1">
        <w:rPr>
          <w:rFonts w:cs="Calibri"/>
        </w:rPr>
        <w:t xml:space="preserve"> </w:t>
      </w:r>
      <w:r w:rsidRPr="00DD07E1">
        <w:t xml:space="preserve">including the broader human resources policies and </w:t>
      </w:r>
      <w:r w:rsidRPr="007500E4">
        <w:t>activities,</w:t>
      </w:r>
      <w:r w:rsidRPr="00DD07E1">
        <w:t xml:space="preserve"> recruitment,</w:t>
      </w:r>
      <w:r w:rsidRPr="00DD07E1">
        <w:rPr>
          <w:rStyle w:val="FootnoteReference"/>
        </w:rPr>
        <w:footnoteReference w:id="90"/>
      </w:r>
      <w:r w:rsidRPr="00DD07E1">
        <w:rPr>
          <w:position w:val="11"/>
          <w:sz w:val="16"/>
          <w:szCs w:val="16"/>
        </w:rPr>
        <w:t xml:space="preserve"> </w:t>
      </w:r>
      <w:r w:rsidRPr="00DD07E1">
        <w:t xml:space="preserve">promotion, compensation, discipline, harassment and </w:t>
      </w:r>
      <w:r w:rsidR="00AB6DE8">
        <w:t>work</w:t>
      </w:r>
      <w:r w:rsidRPr="00DD07E1">
        <w:t xml:space="preserve"> health and safety</w:t>
      </w:r>
    </w:p>
    <w:p w14:paraId="4C3197D0" w14:textId="77777777" w:rsidR="00BB0A82" w:rsidRPr="007500E4" w:rsidRDefault="00BB0A82" w:rsidP="00202DAE">
      <w:pPr>
        <w:pStyle w:val="IndentBullet1"/>
        <w:ind w:left="851" w:hanging="284"/>
      </w:pPr>
      <w:r w:rsidRPr="007500E4">
        <w:t>the</w:t>
      </w:r>
      <w:r w:rsidRPr="00DD07E1">
        <w:t xml:space="preserve"> assessment of personnel </w:t>
      </w:r>
      <w:r w:rsidRPr="007500E4">
        <w:rPr>
          <w:rFonts w:cs="Calibri"/>
        </w:rPr>
        <w:t>–</w:t>
      </w:r>
      <w:r w:rsidRPr="00DD07E1">
        <w:rPr>
          <w:rFonts w:cs="Calibri"/>
        </w:rPr>
        <w:t xml:space="preserve"> </w:t>
      </w:r>
      <w:r w:rsidRPr="00DD07E1">
        <w:t xml:space="preserve">including </w:t>
      </w:r>
      <w:r w:rsidRPr="007500E4">
        <w:t>the</w:t>
      </w:r>
      <w:r w:rsidRPr="00DD07E1">
        <w:t xml:space="preserve"> broader performance management</w:t>
      </w:r>
      <w:r w:rsidRPr="00DD07E1">
        <w:rPr>
          <w:w w:val="99"/>
        </w:rPr>
        <w:t xml:space="preserve"> </w:t>
      </w:r>
      <w:r w:rsidRPr="00DD07E1">
        <w:t xml:space="preserve">policies and activities concerning competency, </w:t>
      </w:r>
      <w:r w:rsidRPr="007500E4">
        <w:t>in-house</w:t>
      </w:r>
      <w:r w:rsidRPr="00DD07E1">
        <w:t xml:space="preserve"> training requirements,</w:t>
      </w:r>
      <w:r w:rsidRPr="00DD07E1">
        <w:rPr>
          <w:w w:val="99"/>
        </w:rPr>
        <w:t xml:space="preserve"> </w:t>
      </w:r>
      <w:r w:rsidRPr="007500E4">
        <w:t>appraisals</w:t>
      </w:r>
      <w:r w:rsidRPr="00DD07E1">
        <w:t xml:space="preserve"> and underperformance, counselling, feedback, assessment </w:t>
      </w:r>
      <w:r w:rsidRPr="007500E4">
        <w:t>for</w:t>
      </w:r>
      <w:r w:rsidRPr="00DD07E1">
        <w:t xml:space="preserve"> bonus </w:t>
      </w:r>
      <w:r w:rsidRPr="007500E4">
        <w:t>or</w:t>
      </w:r>
      <w:r w:rsidRPr="00DD07E1">
        <w:rPr>
          <w:w w:val="99"/>
        </w:rPr>
        <w:t xml:space="preserve"> </w:t>
      </w:r>
      <w:r w:rsidRPr="007500E4">
        <w:t>eligibility</w:t>
      </w:r>
      <w:r w:rsidRPr="00DD07E1">
        <w:t xml:space="preserve"> </w:t>
      </w:r>
      <w:r w:rsidRPr="007500E4">
        <w:t>for</w:t>
      </w:r>
      <w:r w:rsidRPr="00DD07E1">
        <w:t xml:space="preserve"> progression.</w:t>
      </w:r>
    </w:p>
    <w:p w14:paraId="2599E8F2" w14:textId="436F2116" w:rsidR="00BB0A82" w:rsidRPr="007500E4" w:rsidRDefault="00BB0A82" w:rsidP="00B73860">
      <w:pPr>
        <w:pStyle w:val="NumberedParagraphs"/>
        <w:ind w:left="567"/>
        <w:rPr>
          <w:sz w:val="16"/>
          <w:szCs w:val="16"/>
        </w:rPr>
      </w:pPr>
      <w:r w:rsidRPr="007500E4">
        <w:rPr>
          <w:rFonts w:cs="Calibri"/>
        </w:rPr>
        <w:t>The</w:t>
      </w:r>
      <w:r w:rsidRPr="00DD07E1">
        <w:rPr>
          <w:rFonts w:cs="Calibri"/>
        </w:rPr>
        <w:t xml:space="preserve"> </w:t>
      </w:r>
      <w:r w:rsidRPr="007500E4">
        <w:rPr>
          <w:rFonts w:cs="Calibri"/>
        </w:rPr>
        <w:t>terms</w:t>
      </w:r>
      <w:r w:rsidRPr="00DD07E1">
        <w:rPr>
          <w:rFonts w:cs="Calibri"/>
        </w:rPr>
        <w:t xml:space="preserve"> ‘would reasonably</w:t>
      </w:r>
      <w:r w:rsidRPr="007500E4">
        <w:rPr>
          <w:rFonts w:cs="Calibri"/>
        </w:rPr>
        <w:t xml:space="preserve"> be</w:t>
      </w:r>
      <w:r w:rsidRPr="00DD07E1">
        <w:rPr>
          <w:rFonts w:cs="Calibri"/>
        </w:rPr>
        <w:t xml:space="preserve"> expected’ and ‘substantial adverse’ </w:t>
      </w:r>
      <w:r w:rsidRPr="007500E4">
        <w:rPr>
          <w:rFonts w:cs="Calibri"/>
        </w:rPr>
        <w:t>have</w:t>
      </w:r>
      <w:r w:rsidRPr="00DD07E1">
        <w:rPr>
          <w:rFonts w:cs="Calibri"/>
        </w:rPr>
        <w:t xml:space="preserve"> </w:t>
      </w:r>
      <w:r w:rsidRPr="007500E4">
        <w:rPr>
          <w:rFonts w:cs="Calibri"/>
        </w:rPr>
        <w:t>the</w:t>
      </w:r>
      <w:r w:rsidRPr="00DD07E1">
        <w:rPr>
          <w:rFonts w:cs="Calibri"/>
        </w:rPr>
        <w:t xml:space="preserve"> </w:t>
      </w:r>
      <w:r w:rsidRPr="007500E4">
        <w:rPr>
          <w:rFonts w:cs="Calibri"/>
        </w:rPr>
        <w:t>same</w:t>
      </w:r>
      <w:r w:rsidRPr="00DD07E1">
        <w:rPr>
          <w:rFonts w:cs="Calibri"/>
        </w:rPr>
        <w:t xml:space="preserve"> </w:t>
      </w:r>
      <w:r w:rsidRPr="007500E4">
        <w:t>meaning</w:t>
      </w:r>
      <w:r w:rsidRPr="00DD07E1">
        <w:t xml:space="preserve"> </w:t>
      </w:r>
      <w:r w:rsidRPr="007500E4">
        <w:t>as</w:t>
      </w:r>
      <w:r w:rsidRPr="00DD07E1">
        <w:t xml:space="preserve"> explained </w:t>
      </w:r>
      <w:r w:rsidR="007A5A79">
        <w:t xml:space="preserve">at </w:t>
      </w:r>
      <w:r w:rsidR="00DD550F">
        <w:t>[6.</w:t>
      </w:r>
      <w:r w:rsidR="006F2279">
        <w:t>14</w:t>
      </w:r>
      <w:r w:rsidR="00DD550F">
        <w:t>]–[6.</w:t>
      </w:r>
      <w:r w:rsidR="003B6590">
        <w:t>17</w:t>
      </w:r>
      <w:r w:rsidR="00DD550F">
        <w:t xml:space="preserve">] and </w:t>
      </w:r>
      <w:r w:rsidR="007A5A79">
        <w:t>[6.</w:t>
      </w:r>
      <w:r w:rsidR="003B6590">
        <w:t>18</w:t>
      </w:r>
      <w:r w:rsidR="007A5A79">
        <w:t>]–[6.</w:t>
      </w:r>
      <w:r w:rsidR="003B6590">
        <w:t>20</w:t>
      </w:r>
      <w:r w:rsidR="00DD550F">
        <w:t>]</w:t>
      </w:r>
      <w:r w:rsidR="003B6590">
        <w:t xml:space="preserve"> above</w:t>
      </w:r>
      <w:r w:rsidRPr="00DD07E1">
        <w:t xml:space="preserve">. </w:t>
      </w:r>
      <w:r w:rsidRPr="007500E4">
        <w:t>If</w:t>
      </w:r>
      <w:r w:rsidRPr="00DD07E1">
        <w:t xml:space="preserve"> the predicted effect would </w:t>
      </w:r>
      <w:r w:rsidRPr="007500E4">
        <w:t>be</w:t>
      </w:r>
      <w:r w:rsidRPr="00DD07E1">
        <w:rPr>
          <w:w w:val="99"/>
        </w:rPr>
        <w:t xml:space="preserve"> </w:t>
      </w:r>
      <w:r w:rsidRPr="00DD07E1">
        <w:t>substantial but not adverse</w:t>
      </w:r>
      <w:r w:rsidR="004C293B">
        <w:t>,</w:t>
      </w:r>
      <w:r w:rsidRPr="00DD07E1">
        <w:t xml:space="preserve"> </w:t>
      </w:r>
      <w:r w:rsidRPr="007500E4">
        <w:t>or</w:t>
      </w:r>
      <w:r w:rsidRPr="00DD07E1">
        <w:t xml:space="preserve"> may</w:t>
      </w:r>
      <w:r w:rsidR="004C293B">
        <w:t xml:space="preserve"> </w:t>
      </w:r>
      <w:r w:rsidRPr="00DD07E1">
        <w:t xml:space="preserve">be </w:t>
      </w:r>
      <w:r w:rsidRPr="007500E4">
        <w:t>even</w:t>
      </w:r>
      <w:r w:rsidRPr="00DD07E1">
        <w:t xml:space="preserve"> beneficial, the conditional exemption </w:t>
      </w:r>
      <w:r w:rsidRPr="007500E4">
        <w:t>does</w:t>
      </w:r>
      <w:r w:rsidRPr="00DD07E1">
        <w:t xml:space="preserve"> not</w:t>
      </w:r>
      <w:r w:rsidRPr="00DD07E1">
        <w:rPr>
          <w:w w:val="99"/>
        </w:rPr>
        <w:t xml:space="preserve"> </w:t>
      </w:r>
      <w:r w:rsidRPr="00DD07E1">
        <w:t>apply.</w:t>
      </w:r>
      <w:r w:rsidRPr="00DD07E1">
        <w:rPr>
          <w:rStyle w:val="FootnoteReference"/>
        </w:rPr>
        <w:footnoteReference w:id="91"/>
      </w:r>
      <w:r w:rsidR="0090106E">
        <w:t xml:space="preserve"> I</w:t>
      </w:r>
      <w:r w:rsidRPr="007500E4">
        <w:t>t</w:t>
      </w:r>
      <w:r w:rsidRPr="00DD07E1">
        <w:t xml:space="preserve"> w</w:t>
      </w:r>
      <w:r w:rsidR="00AB6DE8">
        <w:t>ill</w:t>
      </w:r>
      <w:r w:rsidRPr="00DD07E1">
        <w:t xml:space="preserve"> </w:t>
      </w:r>
      <w:r w:rsidRPr="007500E4">
        <w:t>be</w:t>
      </w:r>
      <w:r w:rsidRPr="00DD07E1">
        <w:t xml:space="preserve"> unlikely </w:t>
      </w:r>
      <w:r w:rsidRPr="007500E4">
        <w:t>for</w:t>
      </w:r>
      <w:r w:rsidRPr="00DD07E1">
        <w:t xml:space="preserve"> the potential embarrassment </w:t>
      </w:r>
      <w:r w:rsidRPr="007500E4">
        <w:t>of</w:t>
      </w:r>
      <w:r w:rsidRPr="00DD07E1">
        <w:t xml:space="preserve"> </w:t>
      </w:r>
      <w:r w:rsidRPr="007500E4">
        <w:t>an</w:t>
      </w:r>
      <w:r w:rsidRPr="00DD07E1">
        <w:t xml:space="preserve"> employee </w:t>
      </w:r>
      <w:r w:rsidRPr="007500E4">
        <w:t>to</w:t>
      </w:r>
      <w:r w:rsidRPr="00DD07E1">
        <w:t xml:space="preserve"> </w:t>
      </w:r>
      <w:r w:rsidRPr="007500E4">
        <w:t>be</w:t>
      </w:r>
      <w:r w:rsidRPr="00DD07E1">
        <w:rPr>
          <w:w w:val="99"/>
        </w:rPr>
        <w:t xml:space="preserve"> </w:t>
      </w:r>
      <w:r w:rsidRPr="00DD07E1">
        <w:t xml:space="preserve">considered </w:t>
      </w:r>
      <w:r w:rsidRPr="007500E4">
        <w:t>to</w:t>
      </w:r>
      <w:r w:rsidRPr="00DD07E1">
        <w:t xml:space="preserve"> </w:t>
      </w:r>
      <w:r w:rsidRPr="007500E4">
        <w:t>be</w:t>
      </w:r>
      <w:r w:rsidRPr="00DD07E1">
        <w:t xml:space="preserve"> </w:t>
      </w:r>
      <w:r w:rsidRPr="007500E4">
        <w:t>an</w:t>
      </w:r>
      <w:r w:rsidRPr="00DD07E1">
        <w:t xml:space="preserve"> effect </w:t>
      </w:r>
      <w:r w:rsidRPr="007500E4">
        <w:t>on</w:t>
      </w:r>
      <w:r w:rsidRPr="00DD07E1">
        <w:t xml:space="preserve"> </w:t>
      </w:r>
      <w:r w:rsidRPr="007500E4">
        <w:t>an</w:t>
      </w:r>
      <w:r w:rsidRPr="00DD07E1">
        <w:t xml:space="preserve"> agency.</w:t>
      </w:r>
      <w:r w:rsidR="00181D50" w:rsidRPr="007500E4" w:rsidDel="00181D50">
        <w:rPr>
          <w:rStyle w:val="FootnoteReference"/>
        </w:rPr>
        <w:t xml:space="preserve"> </w:t>
      </w:r>
    </w:p>
    <w:p w14:paraId="1C8A5259" w14:textId="55E888DC" w:rsidR="00BB0A82" w:rsidRPr="007500E4" w:rsidRDefault="00BB0A82" w:rsidP="00B73860">
      <w:pPr>
        <w:pStyle w:val="NumberedParagraphs"/>
        <w:ind w:left="567"/>
        <w:rPr>
          <w:sz w:val="16"/>
          <w:szCs w:val="16"/>
        </w:rPr>
      </w:pPr>
      <w:r w:rsidRPr="007500E4">
        <w:lastRenderedPageBreak/>
        <w:t>The</w:t>
      </w:r>
      <w:r w:rsidRPr="00DD07E1">
        <w:t xml:space="preserve"> predicted effect must </w:t>
      </w:r>
      <w:r w:rsidRPr="007500E4">
        <w:t>arise</w:t>
      </w:r>
      <w:r w:rsidRPr="00DD07E1">
        <w:t xml:space="preserve"> from </w:t>
      </w:r>
      <w:r w:rsidRPr="007500E4">
        <w:t>the</w:t>
      </w:r>
      <w:r w:rsidRPr="00DD07E1">
        <w:t xml:space="preserve"> disclosure </w:t>
      </w:r>
      <w:r w:rsidRPr="007500E4">
        <w:t>of</w:t>
      </w:r>
      <w:r w:rsidRPr="00DD07E1">
        <w:t xml:space="preserve"> the documents that </w:t>
      </w:r>
      <w:r w:rsidRPr="007500E4">
        <w:t>are</w:t>
      </w:r>
      <w:r w:rsidRPr="00DD07E1">
        <w:t xml:space="preserve"> being</w:t>
      </w:r>
      <w:r w:rsidRPr="00DD07E1">
        <w:rPr>
          <w:w w:val="99"/>
        </w:rPr>
        <w:t xml:space="preserve"> </w:t>
      </w:r>
      <w:r w:rsidRPr="007500E4">
        <w:t>assessed.</w:t>
      </w:r>
      <w:r w:rsidRPr="007500E4">
        <w:rPr>
          <w:rStyle w:val="FootnoteReference"/>
        </w:rPr>
        <w:footnoteReference w:id="92"/>
      </w:r>
      <w:r w:rsidR="00282258">
        <w:t xml:space="preserve"> T</w:t>
      </w:r>
      <w:r w:rsidRPr="00DD07E1">
        <w:t xml:space="preserve">he </w:t>
      </w:r>
      <w:r w:rsidRPr="007500E4">
        <w:t>decision</w:t>
      </w:r>
      <w:r w:rsidRPr="00DD07E1">
        <w:t xml:space="preserve"> maker </w:t>
      </w:r>
      <w:r w:rsidRPr="007500E4">
        <w:t>may</w:t>
      </w:r>
      <w:r w:rsidRPr="00DD07E1">
        <w:t xml:space="preserve"> </w:t>
      </w:r>
      <w:r w:rsidRPr="007500E4">
        <w:t>also</w:t>
      </w:r>
      <w:r w:rsidRPr="00DD07E1">
        <w:t xml:space="preserve"> need </w:t>
      </w:r>
      <w:r w:rsidRPr="007500E4">
        <w:t>to</w:t>
      </w:r>
      <w:r w:rsidRPr="00DD07E1">
        <w:t xml:space="preserve"> consider the context of </w:t>
      </w:r>
      <w:r w:rsidRPr="007500E4">
        <w:t>the</w:t>
      </w:r>
      <w:r w:rsidRPr="00DD07E1">
        <w:t xml:space="preserve"> document and </w:t>
      </w:r>
      <w:r w:rsidRPr="007500E4">
        <w:t>the</w:t>
      </w:r>
      <w:r w:rsidRPr="00DD07E1">
        <w:t xml:space="preserve"> integrity </w:t>
      </w:r>
      <w:r w:rsidRPr="007500E4">
        <w:t>of</w:t>
      </w:r>
      <w:r w:rsidRPr="00DD07E1">
        <w:t xml:space="preserve"> </w:t>
      </w:r>
      <w:r w:rsidRPr="007500E4">
        <w:t>a</w:t>
      </w:r>
      <w:r w:rsidRPr="00DD07E1">
        <w:t xml:space="preserve"> system that </w:t>
      </w:r>
      <w:r w:rsidRPr="007500E4">
        <w:t>may</w:t>
      </w:r>
      <w:r w:rsidRPr="00DD07E1">
        <w:t xml:space="preserve"> </w:t>
      </w:r>
      <w:r w:rsidRPr="007500E4">
        <w:t>require</w:t>
      </w:r>
      <w:r w:rsidRPr="00DD07E1">
        <w:t xml:space="preserve"> those documents, such </w:t>
      </w:r>
      <w:r w:rsidRPr="007500E4">
        <w:t>as</w:t>
      </w:r>
      <w:r w:rsidRPr="00DD07E1">
        <w:t xml:space="preserve"> witness statements required </w:t>
      </w:r>
      <w:r w:rsidRPr="007500E4">
        <w:t>to</w:t>
      </w:r>
      <w:r w:rsidRPr="00DD07E1">
        <w:t xml:space="preserve"> investigate </w:t>
      </w:r>
      <w:r w:rsidRPr="007500E4">
        <w:t>a</w:t>
      </w:r>
      <w:r w:rsidRPr="00DD07E1">
        <w:t xml:space="preserve"> workplace complaint,</w:t>
      </w:r>
      <w:r w:rsidRPr="00DD07E1">
        <w:rPr>
          <w:rStyle w:val="FootnoteReference"/>
        </w:rPr>
        <w:footnoteReference w:id="93"/>
      </w:r>
      <w:r w:rsidR="00282258">
        <w:t xml:space="preserve"> o</w:t>
      </w:r>
      <w:r w:rsidRPr="007500E4">
        <w:t>r</w:t>
      </w:r>
      <w:r w:rsidRPr="00DD07E1">
        <w:t xml:space="preserve"> referee reports </w:t>
      </w:r>
      <w:r w:rsidRPr="007500E4">
        <w:t>to</w:t>
      </w:r>
      <w:r w:rsidRPr="00DD07E1">
        <w:t xml:space="preserve"> </w:t>
      </w:r>
      <w:r w:rsidRPr="007500E4">
        <w:t>assess</w:t>
      </w:r>
      <w:r w:rsidRPr="00DD07E1">
        <w:t xml:space="preserve"> job applicants.</w:t>
      </w:r>
      <w:r w:rsidRPr="00DD07E1">
        <w:rPr>
          <w:rStyle w:val="FootnoteReference"/>
        </w:rPr>
        <w:footnoteReference w:id="94"/>
      </w:r>
    </w:p>
    <w:p w14:paraId="0185F049" w14:textId="54D74E97" w:rsidR="00BB0A82" w:rsidRPr="007500E4" w:rsidRDefault="00BB0A82" w:rsidP="00B73860">
      <w:pPr>
        <w:pStyle w:val="NumberedParagraphs"/>
        <w:ind w:left="567"/>
      </w:pPr>
      <w:r w:rsidRPr="007500E4">
        <w:t>The AAT has accepted that candour is essential when an agency seeks to investigate staff complaints, especially those of bullying.</w:t>
      </w:r>
      <w:r w:rsidRPr="007500E4">
        <w:rPr>
          <w:rStyle w:val="FootnoteReference"/>
        </w:rPr>
        <w:footnoteReference w:id="95"/>
      </w:r>
      <w:r w:rsidRPr="007500E4">
        <w:t xml:space="preserve"> In such cases staff may be reluctant to provide information and cooperate with investigators if they were aware that the subject matter of those discussions would be disclosed through the FOI process.</w:t>
      </w:r>
      <w:r w:rsidR="007577EB">
        <w:rPr>
          <w:rStyle w:val="FootnoteReference"/>
        </w:rPr>
        <w:footnoteReference w:id="96"/>
      </w:r>
    </w:p>
    <w:p w14:paraId="0A5FCCBB" w14:textId="62EEDB8F" w:rsidR="00BB0A82" w:rsidRPr="007500E4" w:rsidRDefault="00AB6DE8" w:rsidP="00B73860">
      <w:pPr>
        <w:pStyle w:val="NumberedParagraphs"/>
        <w:ind w:left="567"/>
      </w:pPr>
      <w:r>
        <w:t>I</w:t>
      </w:r>
      <w:r w:rsidR="00BB0A82" w:rsidRPr="007500E4">
        <w:t>nformation relating to staff training and development, such as confidential feedback, where public release could undermine confidence and inhibit candour in performance review processes, may also be exempt under this provision.</w:t>
      </w:r>
      <w:r w:rsidR="00BB0A82" w:rsidRPr="007500E4">
        <w:rPr>
          <w:rStyle w:val="FootnoteReference"/>
        </w:rPr>
        <w:footnoteReference w:id="97"/>
      </w:r>
    </w:p>
    <w:p w14:paraId="183DDBDB" w14:textId="5B9E58FB" w:rsidR="00BB0A82" w:rsidRDefault="00BB0A82" w:rsidP="00B73860">
      <w:pPr>
        <w:pStyle w:val="NumberedParagraphs"/>
        <w:ind w:left="567"/>
      </w:pPr>
      <w:r w:rsidRPr="007500E4">
        <w:t>Where</w:t>
      </w:r>
      <w:r w:rsidRPr="00DD07E1">
        <w:t xml:space="preserve"> the </w:t>
      </w:r>
      <w:r w:rsidR="00AB6DE8">
        <w:t xml:space="preserve">FOI </w:t>
      </w:r>
      <w:r w:rsidRPr="00DD07E1">
        <w:t xml:space="preserve">applicant </w:t>
      </w:r>
      <w:r w:rsidRPr="007500E4">
        <w:t>is</w:t>
      </w:r>
      <w:r w:rsidRPr="00DD07E1">
        <w:t xml:space="preserve"> primarily seeking documents relating </w:t>
      </w:r>
      <w:r w:rsidRPr="007500E4">
        <w:t>to</w:t>
      </w:r>
      <w:r w:rsidRPr="00DD07E1">
        <w:t xml:space="preserve"> personnel management </w:t>
      </w:r>
      <w:r w:rsidRPr="007500E4">
        <w:t>or</w:t>
      </w:r>
      <w:r w:rsidRPr="00DD07E1">
        <w:t xml:space="preserve"> </w:t>
      </w:r>
      <w:r w:rsidRPr="007500E4">
        <w:t>assessment</w:t>
      </w:r>
      <w:r w:rsidRPr="00DD07E1">
        <w:t xml:space="preserve"> </w:t>
      </w:r>
      <w:r w:rsidRPr="007500E4">
        <w:t>matters</w:t>
      </w:r>
      <w:r w:rsidRPr="00DD07E1">
        <w:t xml:space="preserve"> </w:t>
      </w:r>
      <w:r w:rsidRPr="007500E4">
        <w:t>more</w:t>
      </w:r>
      <w:r w:rsidRPr="00DD07E1">
        <w:t xml:space="preserve"> closely related </w:t>
      </w:r>
      <w:r w:rsidRPr="007500E4">
        <w:t>to</w:t>
      </w:r>
      <w:r w:rsidRPr="00DD07E1">
        <w:t xml:space="preserve"> their own employment and circumstances, the agency should encourage them </w:t>
      </w:r>
      <w:r w:rsidRPr="007500E4">
        <w:t>to</w:t>
      </w:r>
      <w:r w:rsidRPr="00DD07E1">
        <w:t xml:space="preserve"> access the records using </w:t>
      </w:r>
      <w:r w:rsidRPr="007500E4">
        <w:t>the</w:t>
      </w:r>
      <w:r w:rsidRPr="00DD07E1">
        <w:t xml:space="preserve"> </w:t>
      </w:r>
      <w:r w:rsidRPr="007500E4">
        <w:rPr>
          <w:rFonts w:cs="Calibri"/>
        </w:rPr>
        <w:t>agency’s</w:t>
      </w:r>
      <w:r w:rsidRPr="00DD07E1">
        <w:rPr>
          <w:rFonts w:cs="Calibri"/>
        </w:rPr>
        <w:t xml:space="preserve"> </w:t>
      </w:r>
      <w:r w:rsidRPr="00DD07E1">
        <w:t xml:space="preserve">established procedures for accessing personnel records </w:t>
      </w:r>
      <w:r w:rsidRPr="007500E4">
        <w:t>in</w:t>
      </w:r>
      <w:r w:rsidRPr="00DD07E1">
        <w:t xml:space="preserve"> the </w:t>
      </w:r>
      <w:r w:rsidRPr="007500E4">
        <w:t>first</w:t>
      </w:r>
      <w:r w:rsidRPr="00DD07E1">
        <w:t xml:space="preserve"> instance</w:t>
      </w:r>
      <w:r w:rsidR="00985D28">
        <w:t xml:space="preserve"> </w:t>
      </w:r>
      <w:r w:rsidR="00985D28" w:rsidRPr="00DD07E1">
        <w:t>(</w:t>
      </w:r>
      <w:r w:rsidR="00985D28">
        <w:t xml:space="preserve">see </w:t>
      </w:r>
      <w:r w:rsidR="00985D28" w:rsidRPr="00DD07E1">
        <w:t>s 15A)</w:t>
      </w:r>
      <w:r w:rsidRPr="00DD07E1">
        <w:t>.</w:t>
      </w:r>
    </w:p>
    <w:p w14:paraId="55CE45D8" w14:textId="2A2DE9FC" w:rsidR="00C614EC" w:rsidRPr="00E33E6F" w:rsidRDefault="00C614EC" w:rsidP="00E33E6F">
      <w:pPr>
        <w:pStyle w:val="NumberedParagraphs"/>
        <w:numPr>
          <w:ilvl w:val="0"/>
          <w:numId w:val="0"/>
        </w:numPr>
        <w:ind w:left="567"/>
        <w:rPr>
          <w:i/>
          <w:iCs/>
        </w:rPr>
      </w:pPr>
      <w:r w:rsidRPr="00E33E6F">
        <w:rPr>
          <w:i/>
          <w:iCs/>
        </w:rPr>
        <w:t>Public servants and s 47E(c)</w:t>
      </w:r>
    </w:p>
    <w:p w14:paraId="34B71E0C" w14:textId="24DBAD2A" w:rsidR="00354F0B" w:rsidRDefault="00801A4F" w:rsidP="00B73860">
      <w:pPr>
        <w:pStyle w:val="NumberedParagraphs"/>
        <w:ind w:left="567"/>
      </w:pPr>
      <w:r>
        <w:t>In some circumstances i</w:t>
      </w:r>
      <w:r w:rsidR="00AB6DE8">
        <w:t>t may be appropriate to address c</w:t>
      </w:r>
      <w:r w:rsidR="00354F0B">
        <w:t>oncerns about the work health and safety impacts of disclosing</w:t>
      </w:r>
      <w:r w:rsidR="00AB6DE8">
        <w:t xml:space="preserve"> </w:t>
      </w:r>
      <w:r w:rsidR="00354F0B">
        <w:t>public servants’ personal information (</w:t>
      </w:r>
      <w:r w:rsidR="00AB6DE8">
        <w:t xml:space="preserve">such as </w:t>
      </w:r>
      <w:r w:rsidR="00354F0B">
        <w:t>names and contact details) under s</w:t>
      </w:r>
      <w:r w:rsidR="003D6A6C">
        <w:t> </w:t>
      </w:r>
      <w:r w:rsidR="00354F0B">
        <w:t>47E(c).</w:t>
      </w:r>
      <w:r w:rsidR="00B30501">
        <w:rPr>
          <w:rStyle w:val="FootnoteReference"/>
        </w:rPr>
        <w:footnoteReference w:id="98"/>
      </w:r>
      <w:r w:rsidR="00354F0B">
        <w:t xml:space="preserve"> </w:t>
      </w:r>
    </w:p>
    <w:p w14:paraId="10CC8B2A" w14:textId="658FF02D" w:rsidR="00354F0B" w:rsidRDefault="00354F0B" w:rsidP="00B73860">
      <w:pPr>
        <w:pStyle w:val="NumberedParagraphs"/>
        <w:ind w:left="567"/>
      </w:pPr>
      <w:r>
        <w:t xml:space="preserve">An assessment conducted on a case-by-case basis, based on objective evidence, is </w:t>
      </w:r>
      <w:r w:rsidR="007B5DB4">
        <w:t xml:space="preserve">required </w:t>
      </w:r>
      <w:r w:rsidR="00CC3C42">
        <w:t>when</w:t>
      </w:r>
      <w:r w:rsidR="007B5DB4">
        <w:t xml:space="preserve"> considering whether it is </w:t>
      </w:r>
      <w:r>
        <w:t>appropriate to apply s</w:t>
      </w:r>
      <w:r w:rsidR="00CC3C42">
        <w:t> </w:t>
      </w:r>
      <w:r>
        <w:t>47E(c).</w:t>
      </w:r>
      <w:r w:rsidR="00801A4F">
        <w:rPr>
          <w:rStyle w:val="FootnoteReference"/>
        </w:rPr>
        <w:footnoteReference w:id="99"/>
      </w:r>
    </w:p>
    <w:p w14:paraId="12037319" w14:textId="5DFDE808" w:rsidR="00354F0B" w:rsidRDefault="00354F0B" w:rsidP="00B73860">
      <w:pPr>
        <w:pStyle w:val="NumberedParagraphs"/>
        <w:ind w:left="567"/>
      </w:pPr>
      <w:r>
        <w:t xml:space="preserve">Relevant factors to consider when deciding whether s 47E(c) applies </w:t>
      </w:r>
      <w:r w:rsidR="0010375C">
        <w:t>to ex</w:t>
      </w:r>
      <w:r w:rsidR="00CD691E">
        <w:t>empt</w:t>
      </w:r>
      <w:r w:rsidR="0010375C">
        <w:t xml:space="preserve"> the names and contact details of public servants </w:t>
      </w:r>
      <w:r>
        <w:t>include:</w:t>
      </w:r>
    </w:p>
    <w:p w14:paraId="4EEEEDB2" w14:textId="6F09D475" w:rsidR="00354F0B" w:rsidRDefault="00354F0B" w:rsidP="002B7FC0">
      <w:pPr>
        <w:pStyle w:val="IndentBullet1"/>
        <w:ind w:left="993" w:hanging="426"/>
      </w:pPr>
      <w:r>
        <w:t>the nature of the functions discharged by the agency</w:t>
      </w:r>
      <w:r w:rsidR="004C5690">
        <w:rPr>
          <w:rStyle w:val="FootnoteReference"/>
        </w:rPr>
        <w:footnoteReference w:id="100"/>
      </w:r>
    </w:p>
    <w:p w14:paraId="57B45AAE" w14:textId="304A509B" w:rsidR="00354F0B" w:rsidRDefault="00354F0B" w:rsidP="002B7FC0">
      <w:pPr>
        <w:pStyle w:val="IndentBullet1"/>
        <w:ind w:left="993" w:hanging="426"/>
      </w:pPr>
      <w:r>
        <w:t>the relationship between the individual public servant and the exercise of powers and functions discharged by the agency (i.e., are they a decision maker?)</w:t>
      </w:r>
      <w:r w:rsidR="00517749">
        <w:rPr>
          <w:rStyle w:val="FootnoteReference"/>
        </w:rPr>
        <w:footnoteReference w:id="101"/>
      </w:r>
    </w:p>
    <w:p w14:paraId="37D6F517" w14:textId="77777777" w:rsidR="00354F0B" w:rsidRDefault="00354F0B" w:rsidP="002B7FC0">
      <w:pPr>
        <w:pStyle w:val="IndentBullet1"/>
        <w:ind w:left="993" w:hanging="426"/>
      </w:pPr>
      <w:r>
        <w:lastRenderedPageBreak/>
        <w:t>the personal circumstances of the individual public servant which may make them more vulnerable to, or at greater risk of, harm if their names and contact details are released, for example – due to family violence or mental health issues</w:t>
      </w:r>
    </w:p>
    <w:p w14:paraId="521F5F46" w14:textId="77777777" w:rsidR="00354F0B" w:rsidRDefault="00354F0B" w:rsidP="002B7FC0">
      <w:pPr>
        <w:pStyle w:val="IndentBullet1"/>
        <w:ind w:left="993" w:hanging="426"/>
      </w:pPr>
      <w:r>
        <w:t>whether the relevant information is already publicly available</w:t>
      </w:r>
    </w:p>
    <w:p w14:paraId="4777E7A0" w14:textId="77777777" w:rsidR="00306E3E" w:rsidRDefault="00354F0B" w:rsidP="002B7FC0">
      <w:pPr>
        <w:pStyle w:val="IndentBullet1"/>
        <w:ind w:left="993" w:hanging="426"/>
      </w:pPr>
      <w:r>
        <w:t>whether the FOI applicant has a history of online abuse, trolling or insults</w:t>
      </w:r>
    </w:p>
    <w:p w14:paraId="3F5496BF" w14:textId="7431B695" w:rsidR="00354F0B" w:rsidRDefault="00354F0B" w:rsidP="002B7FC0">
      <w:pPr>
        <w:pStyle w:val="IndentBullet1"/>
        <w:ind w:left="993" w:hanging="426"/>
      </w:pPr>
      <w:r>
        <w:t>whether the FOI applicant has a history of harassment or abusing staff</w:t>
      </w:r>
      <w:r w:rsidR="00197594">
        <w:t>.</w:t>
      </w:r>
      <w:r w:rsidR="00760F01">
        <w:rPr>
          <w:rStyle w:val="FootnoteReference"/>
        </w:rPr>
        <w:footnoteReference w:id="102"/>
      </w:r>
    </w:p>
    <w:p w14:paraId="18282F33" w14:textId="186ED01E" w:rsidR="00BB0A82" w:rsidRPr="003B1486" w:rsidRDefault="00BB0A82" w:rsidP="002813D6">
      <w:pPr>
        <w:pStyle w:val="Heading3"/>
      </w:pPr>
      <w:bookmarkStart w:id="155" w:name="Substantial_adverse_effect_on_an_agency’"/>
      <w:bookmarkStart w:id="156" w:name="_bookmark47"/>
      <w:bookmarkStart w:id="157" w:name="_Toc11154497"/>
      <w:bookmarkStart w:id="158" w:name="_Toc141875225"/>
      <w:bookmarkEnd w:id="155"/>
      <w:bookmarkEnd w:id="156"/>
      <w:r w:rsidRPr="003B1486">
        <w:t>Substantial adverse effect on an agency’s proper and efficient conduct of operations</w:t>
      </w:r>
      <w:bookmarkEnd w:id="157"/>
      <w:r w:rsidR="005360CF">
        <w:t xml:space="preserve"> (s 47E(d))</w:t>
      </w:r>
      <w:bookmarkEnd w:id="158"/>
    </w:p>
    <w:p w14:paraId="58A7700F" w14:textId="04B35932" w:rsidR="00BB0A82" w:rsidRPr="007500E4" w:rsidRDefault="00BB0A82" w:rsidP="00B73860">
      <w:pPr>
        <w:pStyle w:val="NumberedParagraphs"/>
        <w:ind w:left="567"/>
        <w:rPr>
          <w:sz w:val="16"/>
          <w:szCs w:val="16"/>
        </w:rPr>
      </w:pPr>
      <w:bookmarkStart w:id="159" w:name="_Ref458669010"/>
      <w:r w:rsidRPr="007500E4">
        <w:t>An</w:t>
      </w:r>
      <w:r w:rsidRPr="00DD07E1">
        <w:t xml:space="preserve"> agency’s operations </w:t>
      </w:r>
      <w:r w:rsidRPr="007500E4">
        <w:t xml:space="preserve">may </w:t>
      </w:r>
      <w:r w:rsidRPr="00DD07E1">
        <w:t xml:space="preserve">not be substantially </w:t>
      </w:r>
      <w:r w:rsidRPr="007500E4">
        <w:t xml:space="preserve">adversely </w:t>
      </w:r>
      <w:r w:rsidRPr="00DD07E1">
        <w:t>affected</w:t>
      </w:r>
      <w:r w:rsidRPr="007500E4">
        <w:t xml:space="preserve"> if</w:t>
      </w:r>
      <w:r w:rsidRPr="00DD07E1">
        <w:t xml:space="preserve"> the </w:t>
      </w:r>
      <w:r w:rsidRPr="007500E4">
        <w:t>disclosure</w:t>
      </w:r>
      <w:r w:rsidRPr="00DD07E1">
        <w:t xml:space="preserve"> would, or</w:t>
      </w:r>
      <w:r w:rsidRPr="007500E4">
        <w:t xml:space="preserve"> </w:t>
      </w:r>
      <w:r w:rsidRPr="00DD07E1">
        <w:t>could</w:t>
      </w:r>
      <w:r w:rsidRPr="007500E4">
        <w:t xml:space="preserve"> </w:t>
      </w:r>
      <w:r w:rsidRPr="00DD07E1">
        <w:t xml:space="preserve">reasonably </w:t>
      </w:r>
      <w:r w:rsidRPr="007500E4">
        <w:t>be</w:t>
      </w:r>
      <w:r w:rsidRPr="00DD07E1">
        <w:t xml:space="preserve"> expected </w:t>
      </w:r>
      <w:r w:rsidRPr="007500E4">
        <w:t>to</w:t>
      </w:r>
      <w:r w:rsidR="00546BE2">
        <w:t>,</w:t>
      </w:r>
      <w:r w:rsidRPr="00DD07E1">
        <w:t xml:space="preserve"> lead to</w:t>
      </w:r>
      <w:r w:rsidRPr="007500E4">
        <w:t xml:space="preserve"> a</w:t>
      </w:r>
      <w:r w:rsidRPr="00DD07E1">
        <w:t xml:space="preserve"> change in the</w:t>
      </w:r>
      <w:r w:rsidRPr="007500E4">
        <w:t xml:space="preserve"> </w:t>
      </w:r>
      <w:r w:rsidRPr="00DD07E1">
        <w:t xml:space="preserve">agency’s processes that would enable those processes </w:t>
      </w:r>
      <w:r w:rsidRPr="007500E4">
        <w:t>to</w:t>
      </w:r>
      <w:r w:rsidRPr="00DD07E1">
        <w:t xml:space="preserve"> </w:t>
      </w:r>
      <w:r w:rsidRPr="007500E4">
        <w:t>be</w:t>
      </w:r>
      <w:r w:rsidRPr="00DD07E1">
        <w:t xml:space="preserve"> more efficient.</w:t>
      </w:r>
      <w:r w:rsidRPr="00DD07E1">
        <w:rPr>
          <w:rStyle w:val="FootnoteReference"/>
        </w:rPr>
        <w:footnoteReference w:id="103"/>
      </w:r>
      <w:bookmarkEnd w:id="159"/>
    </w:p>
    <w:p w14:paraId="2A82DE4F" w14:textId="77CA2263" w:rsidR="00BB0A82" w:rsidRPr="007500E4" w:rsidRDefault="00BB0A82" w:rsidP="00B73860">
      <w:pPr>
        <w:pStyle w:val="NumberedParagraphs"/>
        <w:ind w:left="567"/>
      </w:pPr>
      <w:bookmarkStart w:id="160" w:name="_Hlk50032085"/>
      <w:r w:rsidRPr="007500E4">
        <w:t>Examples</w:t>
      </w:r>
      <w:r w:rsidRPr="00DD07E1">
        <w:t xml:space="preserve"> of circumstances where the AAT has upheld the exemption include where</w:t>
      </w:r>
      <w:r w:rsidRPr="00DD07E1">
        <w:rPr>
          <w:w w:val="99"/>
        </w:rPr>
        <w:t xml:space="preserve"> </w:t>
      </w:r>
      <w:r w:rsidRPr="007500E4">
        <w:t>it</w:t>
      </w:r>
      <w:r w:rsidRPr="00DD07E1">
        <w:t xml:space="preserve"> was established </w:t>
      </w:r>
      <w:r w:rsidRPr="007500E4">
        <w:t>that:</w:t>
      </w:r>
    </w:p>
    <w:p w14:paraId="7997393D" w14:textId="2E7F6D9C" w:rsidR="00BB0A82" w:rsidRPr="007500E4" w:rsidRDefault="00BB0A82" w:rsidP="00AD68FC">
      <w:pPr>
        <w:pStyle w:val="IndentBullet1"/>
        <w:ind w:left="851" w:hanging="284"/>
        <w:rPr>
          <w:sz w:val="16"/>
          <w:szCs w:val="16"/>
        </w:rPr>
      </w:pPr>
      <w:r w:rsidRPr="007500E4">
        <w:t>disclosure</w:t>
      </w:r>
      <w:r w:rsidRPr="00DD07E1">
        <w:t xml:space="preserve"> </w:t>
      </w:r>
      <w:r w:rsidRPr="007500E4">
        <w:t>of</w:t>
      </w:r>
      <w:r w:rsidRPr="00DD07E1">
        <w:t xml:space="preserve"> the Australian Electoral Commission</w:t>
      </w:r>
      <w:r w:rsidR="00FD1BA8">
        <w:t>’s</w:t>
      </w:r>
      <w:r w:rsidRPr="00DD07E1">
        <w:t xml:space="preserve"> </w:t>
      </w:r>
      <w:r w:rsidRPr="007500E4">
        <w:t>policies</w:t>
      </w:r>
      <w:r w:rsidRPr="00DD07E1">
        <w:t xml:space="preserve"> in relation </w:t>
      </w:r>
      <w:r w:rsidRPr="007500E4">
        <w:t>to</w:t>
      </w:r>
      <w:r w:rsidRPr="00DD07E1">
        <w:t xml:space="preserve"> the accepted </w:t>
      </w:r>
      <w:r w:rsidRPr="007500E4">
        <w:rPr>
          <w:rFonts w:cs="Calibri"/>
        </w:rPr>
        <w:t>reasons</w:t>
      </w:r>
      <w:r w:rsidRPr="00DD07E1">
        <w:rPr>
          <w:rFonts w:cs="Calibri"/>
        </w:rPr>
        <w:t xml:space="preserve"> </w:t>
      </w:r>
      <w:r w:rsidRPr="007500E4">
        <w:rPr>
          <w:rFonts w:cs="Calibri"/>
        </w:rPr>
        <w:t>for</w:t>
      </w:r>
      <w:r w:rsidRPr="00DD07E1">
        <w:rPr>
          <w:rFonts w:cs="Calibri"/>
        </w:rPr>
        <w:t xml:space="preserve"> </w:t>
      </w:r>
      <w:r w:rsidRPr="007500E4">
        <w:rPr>
          <w:rFonts w:cs="Calibri"/>
        </w:rPr>
        <w:t>a</w:t>
      </w:r>
      <w:r w:rsidRPr="00DD07E1">
        <w:rPr>
          <w:rFonts w:cs="Calibri"/>
        </w:rPr>
        <w:t xml:space="preserve"> person’s failure </w:t>
      </w:r>
      <w:r w:rsidRPr="007500E4">
        <w:t xml:space="preserve">to </w:t>
      </w:r>
      <w:r w:rsidRPr="00DD07E1">
        <w:t xml:space="preserve">vote </w:t>
      </w:r>
      <w:r w:rsidRPr="007500E4">
        <w:t>in</w:t>
      </w:r>
      <w:r w:rsidRPr="00DD07E1">
        <w:t xml:space="preserve"> </w:t>
      </w:r>
      <w:r w:rsidRPr="007500E4">
        <w:t>a</w:t>
      </w:r>
      <w:r w:rsidRPr="00DD07E1">
        <w:t xml:space="preserve"> Federal election</w:t>
      </w:r>
      <w:r w:rsidRPr="007500E4">
        <w:t xml:space="preserve"> </w:t>
      </w:r>
      <w:r w:rsidRPr="00DD07E1">
        <w:t xml:space="preserve">would result </w:t>
      </w:r>
      <w:r w:rsidRPr="007500E4">
        <w:t xml:space="preserve">in </w:t>
      </w:r>
      <w:r w:rsidRPr="00DD07E1">
        <w:t xml:space="preserve">substantial </w:t>
      </w:r>
      <w:r w:rsidRPr="007500E4">
        <w:t>changes</w:t>
      </w:r>
      <w:r w:rsidRPr="00DD07E1">
        <w:t xml:space="preserve"> </w:t>
      </w:r>
      <w:r w:rsidRPr="007500E4">
        <w:t>to</w:t>
      </w:r>
      <w:r w:rsidRPr="00DD07E1">
        <w:t xml:space="preserve"> their procedures </w:t>
      </w:r>
      <w:r w:rsidRPr="007500E4">
        <w:t>to</w:t>
      </w:r>
      <w:r w:rsidRPr="00DD07E1">
        <w:t xml:space="preserve"> </w:t>
      </w:r>
      <w:r w:rsidRPr="007500E4">
        <w:t>avoid</w:t>
      </w:r>
      <w:r w:rsidRPr="00DD07E1">
        <w:t xml:space="preserve"> jeopardising </w:t>
      </w:r>
      <w:r w:rsidRPr="007500E4">
        <w:t>the</w:t>
      </w:r>
      <w:r w:rsidRPr="00DD07E1">
        <w:t xml:space="preserve"> effectiveness of methods </w:t>
      </w:r>
      <w:r w:rsidRPr="007500E4">
        <w:t>and</w:t>
      </w:r>
      <w:r w:rsidRPr="00DD07E1">
        <w:t xml:space="preserve"> procedures used </w:t>
      </w:r>
      <w:r w:rsidRPr="007500E4">
        <w:t>by</w:t>
      </w:r>
      <w:r w:rsidRPr="00DD07E1">
        <w:t xml:space="preserve"> investigators</w:t>
      </w:r>
      <w:r w:rsidRPr="00DD07E1">
        <w:rPr>
          <w:rStyle w:val="FootnoteReference"/>
        </w:rPr>
        <w:footnoteReference w:id="104"/>
      </w:r>
    </w:p>
    <w:p w14:paraId="5DF5A60D" w14:textId="1A99352C" w:rsidR="00BB0A82" w:rsidRPr="00882258" w:rsidRDefault="00BB0A82" w:rsidP="00AD68FC">
      <w:pPr>
        <w:pStyle w:val="IndentBullet1"/>
        <w:ind w:left="851" w:hanging="284"/>
        <w:rPr>
          <w:sz w:val="16"/>
          <w:szCs w:val="16"/>
        </w:rPr>
      </w:pPr>
      <w:r w:rsidRPr="00DD07E1">
        <w:t xml:space="preserve">disclosure </w:t>
      </w:r>
      <w:r w:rsidRPr="007500E4">
        <w:t>of</w:t>
      </w:r>
      <w:r w:rsidRPr="00DD07E1">
        <w:t xml:space="preserve"> information provided </w:t>
      </w:r>
      <w:r w:rsidRPr="007500E4">
        <w:t>by</w:t>
      </w:r>
      <w:r w:rsidRPr="00DD07E1">
        <w:t xml:space="preserve"> industry participants could prejudice </w:t>
      </w:r>
      <w:r w:rsidRPr="007500E4">
        <w:t>the</w:t>
      </w:r>
      <w:r w:rsidRPr="00DD07E1">
        <w:rPr>
          <w:w w:val="99"/>
        </w:rPr>
        <w:t xml:space="preserve"> </w:t>
      </w:r>
      <w:r w:rsidRPr="00DD07E1">
        <w:t>Australian Competition and Consumer Commission</w:t>
      </w:r>
      <w:r w:rsidRPr="00DD07E1">
        <w:rPr>
          <w:rFonts w:cs="Calibri"/>
        </w:rPr>
        <w:t xml:space="preserve">’s </w:t>
      </w:r>
      <w:r w:rsidRPr="00DD07E1">
        <w:t xml:space="preserve">ability </w:t>
      </w:r>
      <w:r w:rsidRPr="007500E4">
        <w:t>to</w:t>
      </w:r>
      <w:r w:rsidRPr="00DD07E1">
        <w:t xml:space="preserve"> investigate</w:t>
      </w:r>
      <w:r w:rsidR="00882258">
        <w:t xml:space="preserve"> </w:t>
      </w:r>
      <w:r w:rsidRPr="00DD07E1">
        <w:t xml:space="preserve">anti-competitive behaviour and its ability </w:t>
      </w:r>
      <w:r w:rsidRPr="007500E4">
        <w:t>to</w:t>
      </w:r>
      <w:r w:rsidRPr="00DD07E1">
        <w:t xml:space="preserve"> perform </w:t>
      </w:r>
      <w:r w:rsidRPr="007500E4">
        <w:t>its</w:t>
      </w:r>
      <w:r w:rsidRPr="00DD07E1">
        <w:t xml:space="preserve"> statutory functions</w:t>
      </w:r>
      <w:r w:rsidRPr="007500E4">
        <w:rPr>
          <w:rStyle w:val="FootnoteReference"/>
        </w:rPr>
        <w:footnoteReference w:id="105"/>
      </w:r>
    </w:p>
    <w:p w14:paraId="675F9C56" w14:textId="254D621A" w:rsidR="00F34E21" w:rsidRPr="00770026" w:rsidRDefault="00BB0A82" w:rsidP="00AD68FC">
      <w:pPr>
        <w:pStyle w:val="IndentBullet1"/>
        <w:ind w:left="851" w:hanging="284"/>
        <w:rPr>
          <w:sz w:val="16"/>
          <w:szCs w:val="16"/>
        </w:rPr>
      </w:pPr>
      <w:r w:rsidRPr="00DD07E1">
        <w:t xml:space="preserve">disclosure </w:t>
      </w:r>
      <w:r w:rsidRPr="007500E4">
        <w:t>of</w:t>
      </w:r>
      <w:r w:rsidRPr="00DD07E1">
        <w:t xml:space="preserve"> the</w:t>
      </w:r>
      <w:r w:rsidRPr="007500E4">
        <w:t xml:space="preserve"> </w:t>
      </w:r>
      <w:r w:rsidRPr="00DD07E1">
        <w:t xml:space="preserve">Universal </w:t>
      </w:r>
      <w:r w:rsidRPr="007500E4">
        <w:t>Resource</w:t>
      </w:r>
      <w:r w:rsidRPr="00DD07E1">
        <w:t xml:space="preserve"> Locators </w:t>
      </w:r>
      <w:r w:rsidRPr="007500E4">
        <w:t>and</w:t>
      </w:r>
      <w:r w:rsidRPr="00DD07E1">
        <w:t xml:space="preserve"> Internet Protocols </w:t>
      </w:r>
      <w:r w:rsidRPr="007500E4">
        <w:t>of</w:t>
      </w:r>
      <w:r w:rsidRPr="00DD07E1">
        <w:t xml:space="preserve"> internet content </w:t>
      </w:r>
      <w:r w:rsidRPr="007500E4">
        <w:t>that</w:t>
      </w:r>
      <w:r w:rsidRPr="00DD07E1">
        <w:t xml:space="preserve"> </w:t>
      </w:r>
      <w:r w:rsidRPr="007500E4">
        <w:t>is</w:t>
      </w:r>
      <w:r w:rsidRPr="00DD07E1">
        <w:t xml:space="preserve"> either prohibited or potentially prohibited content under</w:t>
      </w:r>
      <w:r w:rsidRPr="00DD07E1">
        <w:rPr>
          <w:w w:val="99"/>
        </w:rPr>
        <w:t xml:space="preserve"> </w:t>
      </w:r>
      <w:r w:rsidRPr="00DD07E1">
        <w:t xml:space="preserve">Schedule </w:t>
      </w:r>
      <w:r w:rsidRPr="007500E4">
        <w:t>5</w:t>
      </w:r>
      <w:r w:rsidRPr="00DD07E1">
        <w:t xml:space="preserve"> to the</w:t>
      </w:r>
      <w:r w:rsidRPr="007500E4">
        <w:t xml:space="preserve"> </w:t>
      </w:r>
      <w:r w:rsidRPr="00DD07E1">
        <w:rPr>
          <w:rFonts w:cs="Calibri"/>
          <w:i/>
        </w:rPr>
        <w:t xml:space="preserve">Broadcasting Services Act 1992 </w:t>
      </w:r>
      <w:r w:rsidRPr="00DD07E1">
        <w:t xml:space="preserve">could reasonably </w:t>
      </w:r>
      <w:r w:rsidRPr="007500E4">
        <w:t>be</w:t>
      </w:r>
      <w:r w:rsidRPr="00DD07E1">
        <w:t xml:space="preserve"> expected </w:t>
      </w:r>
      <w:r w:rsidRPr="007500E4">
        <w:t>to</w:t>
      </w:r>
      <w:r w:rsidRPr="00DD07E1">
        <w:t xml:space="preserve"> affect the Australian Broadcasting Authority</w:t>
      </w:r>
      <w:r w:rsidRPr="00DD07E1">
        <w:rPr>
          <w:rFonts w:cs="Calibri"/>
        </w:rPr>
        <w:t>’s abilit</w:t>
      </w:r>
      <w:r w:rsidRPr="00DD07E1">
        <w:t xml:space="preserve">y </w:t>
      </w:r>
      <w:r w:rsidRPr="007500E4">
        <w:t>to</w:t>
      </w:r>
      <w:r w:rsidRPr="00DD07E1">
        <w:t xml:space="preserve"> administer </w:t>
      </w:r>
      <w:r w:rsidRPr="007500E4">
        <w:t>a</w:t>
      </w:r>
      <w:r w:rsidRPr="00DD07E1">
        <w:t xml:space="preserve"> statutory</w:t>
      </w:r>
      <w:r w:rsidRPr="00DD07E1">
        <w:rPr>
          <w:w w:val="99"/>
        </w:rPr>
        <w:t xml:space="preserve"> </w:t>
      </w:r>
      <w:r w:rsidRPr="00DD07E1">
        <w:t xml:space="preserve">regulatory scheme for internet content to </w:t>
      </w:r>
      <w:r w:rsidRPr="007500E4">
        <w:t>be</w:t>
      </w:r>
      <w:r w:rsidRPr="00DD07E1">
        <w:t xml:space="preserve"> displayed</w:t>
      </w:r>
      <w:r w:rsidRPr="00DD07E1">
        <w:rPr>
          <w:rStyle w:val="FootnoteReference"/>
        </w:rPr>
        <w:footnoteReference w:id="106"/>
      </w:r>
    </w:p>
    <w:p w14:paraId="4271E2C3" w14:textId="49398259" w:rsidR="002906BD" w:rsidRPr="00770026" w:rsidRDefault="002906BD" w:rsidP="00AD68FC">
      <w:pPr>
        <w:pStyle w:val="IndentBullet2"/>
        <w:numPr>
          <w:ilvl w:val="1"/>
          <w:numId w:val="59"/>
        </w:numPr>
        <w:ind w:left="851" w:hanging="284"/>
      </w:pPr>
      <w:r w:rsidRPr="002906BD">
        <w:t>disclosure of the details of a complaint made by a member of the public to the Civil Aviation Safety Authority could make potential informants reluctant to bring matters of unlawful and unsafe conduct to the attention of the regulator, thus undermining the agency’s ability to effectively perform its public safety functions</w:t>
      </w:r>
      <w:r w:rsidR="00DF4E73">
        <w:t>.</w:t>
      </w:r>
      <w:r w:rsidR="00DF4E73">
        <w:rPr>
          <w:rStyle w:val="FootnoteReference"/>
        </w:rPr>
        <w:footnoteReference w:id="107"/>
      </w:r>
      <w:r w:rsidRPr="002906BD">
        <w:t xml:space="preserve"> </w:t>
      </w:r>
    </w:p>
    <w:bookmarkEnd w:id="160"/>
    <w:p w14:paraId="1D90F3FA" w14:textId="4353D7AE" w:rsidR="00BB0A82" w:rsidRPr="00C23A30" w:rsidRDefault="00BB0A82" w:rsidP="00B73860">
      <w:pPr>
        <w:pStyle w:val="NumberedParagraphs"/>
        <w:ind w:left="567"/>
        <w:rPr>
          <w:sz w:val="16"/>
          <w:szCs w:val="16"/>
        </w:rPr>
      </w:pPr>
      <w:r w:rsidRPr="007500E4">
        <w:t>The</w:t>
      </w:r>
      <w:r w:rsidRPr="00DD07E1">
        <w:t xml:space="preserve"> exemption </w:t>
      </w:r>
      <w:r w:rsidRPr="007500E4">
        <w:t>may</w:t>
      </w:r>
      <w:r w:rsidRPr="00DD07E1">
        <w:t xml:space="preserve"> </w:t>
      </w:r>
      <w:r w:rsidRPr="007500E4">
        <w:t>also</w:t>
      </w:r>
      <w:r w:rsidRPr="00DD07E1">
        <w:t xml:space="preserve"> </w:t>
      </w:r>
      <w:r w:rsidRPr="007500E4">
        <w:t>apply</w:t>
      </w:r>
      <w:r w:rsidRPr="00DD07E1">
        <w:t xml:space="preserve"> </w:t>
      </w:r>
      <w:r w:rsidRPr="007500E4">
        <w:t>to</w:t>
      </w:r>
      <w:r w:rsidRPr="00DD07E1">
        <w:t xml:space="preserve"> documents that </w:t>
      </w:r>
      <w:r w:rsidRPr="007500E4">
        <w:t>relate</w:t>
      </w:r>
      <w:r w:rsidRPr="00DD07E1">
        <w:t xml:space="preserve"> </w:t>
      </w:r>
      <w:r w:rsidRPr="007500E4">
        <w:t>to</w:t>
      </w:r>
      <w:r w:rsidRPr="00DD07E1">
        <w:t xml:space="preserve"> </w:t>
      </w:r>
      <w:r w:rsidRPr="007500E4">
        <w:t>a</w:t>
      </w:r>
      <w:r w:rsidRPr="00DD07E1">
        <w:t xml:space="preserve"> complaint made </w:t>
      </w:r>
      <w:r w:rsidRPr="007500E4">
        <w:t>to</w:t>
      </w:r>
      <w:r w:rsidRPr="00DD07E1">
        <w:t xml:space="preserve"> an investigative </w:t>
      </w:r>
      <w:r w:rsidRPr="007500E4">
        <w:t>body.</w:t>
      </w:r>
      <w:r w:rsidRPr="00DD07E1">
        <w:t xml:space="preserve"> </w:t>
      </w:r>
      <w:r w:rsidR="00B23045">
        <w:t>D</w:t>
      </w:r>
      <w:r w:rsidRPr="00DD07E1">
        <w:t>isclosure</w:t>
      </w:r>
      <w:r w:rsidRPr="007500E4">
        <w:t xml:space="preserve"> </w:t>
      </w:r>
      <w:r w:rsidRPr="00DD07E1">
        <w:t xml:space="preserve">of </w:t>
      </w:r>
      <w:r w:rsidRPr="007500E4">
        <w:t>this</w:t>
      </w:r>
      <w:r w:rsidRPr="00DD07E1">
        <w:t xml:space="preserve"> </w:t>
      </w:r>
      <w:r w:rsidRPr="007500E4">
        <w:t>type</w:t>
      </w:r>
      <w:r w:rsidRPr="00DD07E1">
        <w:t xml:space="preserve"> of information could reasonably affect the</w:t>
      </w:r>
      <w:r w:rsidRPr="00DD07E1">
        <w:rPr>
          <w:w w:val="99"/>
        </w:rPr>
        <w:t xml:space="preserve"> </w:t>
      </w:r>
      <w:r w:rsidRPr="00DD07E1">
        <w:t xml:space="preserve">willingness of people </w:t>
      </w:r>
      <w:r w:rsidRPr="007500E4">
        <w:t>to</w:t>
      </w:r>
      <w:r w:rsidRPr="00DD07E1">
        <w:t xml:space="preserve"> make complaints </w:t>
      </w:r>
      <w:r w:rsidRPr="007500E4">
        <w:t>to</w:t>
      </w:r>
      <w:r w:rsidRPr="00DD07E1">
        <w:t xml:space="preserve"> the investigative body, which would </w:t>
      </w:r>
      <w:r w:rsidRPr="007500E4">
        <w:t>have</w:t>
      </w:r>
      <w:r w:rsidRPr="00DD07E1">
        <w:t xml:space="preserve"> </w:t>
      </w:r>
      <w:r w:rsidRPr="007500E4">
        <w:t>a</w:t>
      </w:r>
      <w:r w:rsidRPr="00DD07E1">
        <w:t xml:space="preserve"> </w:t>
      </w:r>
      <w:r w:rsidRPr="00DD07E1">
        <w:rPr>
          <w:rFonts w:cs="Calibri"/>
        </w:rPr>
        <w:t xml:space="preserve">substantial adverse effect on </w:t>
      </w:r>
      <w:r w:rsidRPr="007500E4">
        <w:rPr>
          <w:rFonts w:cs="Calibri"/>
        </w:rPr>
        <w:t>the</w:t>
      </w:r>
      <w:r w:rsidRPr="00DD07E1">
        <w:rPr>
          <w:rFonts w:cs="Calibri"/>
        </w:rPr>
        <w:t xml:space="preserve"> proper and efficient conduct </w:t>
      </w:r>
      <w:r w:rsidRPr="007500E4">
        <w:rPr>
          <w:rFonts w:cs="Calibri"/>
        </w:rPr>
        <w:t>of</w:t>
      </w:r>
      <w:r w:rsidRPr="00DD07E1">
        <w:rPr>
          <w:rFonts w:cs="Calibri"/>
        </w:rPr>
        <w:t xml:space="preserve"> the investigative </w:t>
      </w:r>
      <w:r w:rsidRPr="007500E4">
        <w:rPr>
          <w:rFonts w:cs="Calibri"/>
        </w:rPr>
        <w:t>body’s</w:t>
      </w:r>
      <w:r w:rsidRPr="00DD07E1">
        <w:rPr>
          <w:rFonts w:cs="Calibri"/>
        </w:rPr>
        <w:t xml:space="preserve"> </w:t>
      </w:r>
      <w:r w:rsidRPr="00DD07E1">
        <w:lastRenderedPageBreak/>
        <w:t>operations.</w:t>
      </w:r>
      <w:r w:rsidRPr="00DD07E1">
        <w:rPr>
          <w:rStyle w:val="FootnoteReference"/>
        </w:rPr>
        <w:footnoteReference w:id="108"/>
      </w:r>
      <w:r w:rsidR="00BA49D7">
        <w:t xml:space="preserve"> Further, disclosure of information provided in confidence by parties to a complaint</w:t>
      </w:r>
      <w:r w:rsidR="00B23045">
        <w:t xml:space="preserve"> or investigation</w:t>
      </w:r>
      <w:r w:rsidR="00BA49D7">
        <w:t xml:space="preserve"> may reduce the willingness of parties to provide </w:t>
      </w:r>
      <w:r w:rsidR="00BA49D7">
        <w:rPr>
          <w:rFonts w:ascii="Source Sans Pro" w:hAnsi="Source Sans Pro"/>
          <w:color w:val="333333"/>
          <w:shd w:val="clear" w:color="auto" w:fill="FFFFFF"/>
        </w:rPr>
        <w:t>information relevant to a particular complaint</w:t>
      </w:r>
      <w:r w:rsidR="00B23045">
        <w:rPr>
          <w:rFonts w:ascii="Source Sans Pro" w:hAnsi="Source Sans Pro"/>
          <w:color w:val="333333"/>
          <w:shd w:val="clear" w:color="auto" w:fill="FFFFFF"/>
        </w:rPr>
        <w:t xml:space="preserve"> and may reduce their willingness </w:t>
      </w:r>
      <w:r w:rsidR="00B23045" w:rsidRPr="00B23045">
        <w:rPr>
          <w:rFonts w:ascii="Source Sans Pro" w:hAnsi="Source Sans Pro"/>
          <w:color w:val="333333"/>
          <w:shd w:val="clear" w:color="auto" w:fill="FFFFFF"/>
        </w:rPr>
        <w:t xml:space="preserve">to </w:t>
      </w:r>
      <w:r w:rsidR="00B23045" w:rsidRPr="00C23A30">
        <w:rPr>
          <w:rFonts w:ascii="Source Sans Pro" w:hAnsi="Source Sans Pro"/>
          <w:color w:val="333333"/>
          <w:shd w:val="clear" w:color="auto" w:fill="FFFFFF"/>
        </w:rPr>
        <w:t>participate fully and frankly</w:t>
      </w:r>
      <w:r w:rsidR="00B23045">
        <w:rPr>
          <w:rFonts w:ascii="Source Sans Pro" w:hAnsi="Source Sans Pro"/>
          <w:color w:val="333333"/>
          <w:shd w:val="clear" w:color="auto" w:fill="FFFFFF"/>
        </w:rPr>
        <w:t xml:space="preserve"> with the investigative process. </w:t>
      </w:r>
      <w:r w:rsidR="00BA49D7" w:rsidRPr="00B23045">
        <w:rPr>
          <w:rFonts w:ascii="Source Sans Pro" w:hAnsi="Source Sans Pro"/>
          <w:color w:val="333333"/>
          <w:shd w:val="clear" w:color="auto" w:fill="FFFFFF"/>
        </w:rPr>
        <w:t>In such cases the investigative body’s ability to obtain all in</w:t>
      </w:r>
      <w:r w:rsidR="00BA49D7">
        <w:rPr>
          <w:rFonts w:ascii="Source Sans Pro" w:hAnsi="Source Sans Pro"/>
          <w:color w:val="333333"/>
          <w:shd w:val="clear" w:color="auto" w:fill="FFFFFF"/>
        </w:rPr>
        <w:t xml:space="preserve">formation would be undermined and this </w:t>
      </w:r>
      <w:r w:rsidR="00B23045">
        <w:rPr>
          <w:rFonts w:ascii="Source Sans Pro" w:hAnsi="Source Sans Pro"/>
          <w:color w:val="333333"/>
          <w:shd w:val="clear" w:color="auto" w:fill="FFFFFF"/>
        </w:rPr>
        <w:t>may</w:t>
      </w:r>
      <w:r w:rsidR="00BA49D7">
        <w:rPr>
          <w:rFonts w:ascii="Source Sans Pro" w:hAnsi="Source Sans Pro"/>
          <w:color w:val="333333"/>
          <w:shd w:val="clear" w:color="auto" w:fill="FFFFFF"/>
        </w:rPr>
        <w:t xml:space="preserve"> have a substantial adverse effect on the proper and efficient conduct of the investigative body’s operations.</w:t>
      </w:r>
      <w:r w:rsidR="00B23045">
        <w:rPr>
          <w:rStyle w:val="FootnoteReference"/>
          <w:rFonts w:ascii="Source Sans Pro" w:hAnsi="Source Sans Pro"/>
          <w:color w:val="333333"/>
          <w:shd w:val="clear" w:color="auto" w:fill="FFFFFF"/>
        </w:rPr>
        <w:footnoteReference w:id="109"/>
      </w:r>
    </w:p>
    <w:p w14:paraId="5CEC8A8C" w14:textId="11570983" w:rsidR="00BB0A82" w:rsidRDefault="00BB0A82" w:rsidP="00B73860">
      <w:pPr>
        <w:pStyle w:val="NumberedParagraphs"/>
        <w:ind w:left="567"/>
      </w:pPr>
      <w:bookmarkStart w:id="161" w:name="_Ref459110998"/>
      <w:r w:rsidRPr="007500E4">
        <w:t>The</w:t>
      </w:r>
      <w:r w:rsidRPr="00DD07E1">
        <w:t xml:space="preserve"> predicted effect must</w:t>
      </w:r>
      <w:r w:rsidRPr="007500E4">
        <w:t xml:space="preserve"> bear </w:t>
      </w:r>
      <w:r w:rsidRPr="00DD07E1">
        <w:rPr>
          <w:rFonts w:cs="Calibri"/>
        </w:rPr>
        <w:t>on the</w:t>
      </w:r>
      <w:r w:rsidRPr="007500E4">
        <w:rPr>
          <w:rFonts w:cs="Calibri"/>
        </w:rPr>
        <w:t xml:space="preserve"> </w:t>
      </w:r>
      <w:r w:rsidRPr="00DD07E1">
        <w:rPr>
          <w:rFonts w:cs="Calibri"/>
        </w:rPr>
        <w:t xml:space="preserve">agency’s </w:t>
      </w:r>
      <w:r w:rsidRPr="007500E4">
        <w:rPr>
          <w:rFonts w:cs="Calibri"/>
        </w:rPr>
        <w:t>‘proper</w:t>
      </w:r>
      <w:r w:rsidRPr="00DD07E1">
        <w:rPr>
          <w:rFonts w:cs="Calibri"/>
        </w:rPr>
        <w:t xml:space="preserve"> and</w:t>
      </w:r>
      <w:r w:rsidRPr="007500E4">
        <w:rPr>
          <w:rFonts w:cs="Calibri"/>
        </w:rPr>
        <w:t xml:space="preserve"> </w:t>
      </w:r>
      <w:r w:rsidRPr="00DD07E1">
        <w:rPr>
          <w:rFonts w:cs="Calibri"/>
        </w:rPr>
        <w:t xml:space="preserve">efficient’ </w:t>
      </w:r>
      <w:r w:rsidRPr="007500E4">
        <w:rPr>
          <w:rFonts w:cs="Calibri"/>
        </w:rPr>
        <w:t>operations</w:t>
      </w:r>
      <w:r w:rsidRPr="007500E4">
        <w:t>,</w:t>
      </w:r>
      <w:r w:rsidRPr="00DD07E1">
        <w:rPr>
          <w:w w:val="99"/>
        </w:rPr>
        <w:t xml:space="preserve"> </w:t>
      </w:r>
      <w:r w:rsidRPr="00DD07E1">
        <w:t xml:space="preserve">that </w:t>
      </w:r>
      <w:r w:rsidRPr="007500E4">
        <w:t>is,</w:t>
      </w:r>
      <w:r w:rsidRPr="00DD07E1">
        <w:t xml:space="preserve"> the agency </w:t>
      </w:r>
      <w:r w:rsidRPr="007500E4">
        <w:t>is</w:t>
      </w:r>
      <w:r w:rsidRPr="00DD07E1">
        <w:t xml:space="preserve"> undertaking its </w:t>
      </w:r>
      <w:r w:rsidR="003F6165">
        <w:t>operations</w:t>
      </w:r>
      <w:r w:rsidRPr="00DD07E1">
        <w:t xml:space="preserve"> </w:t>
      </w:r>
      <w:r w:rsidRPr="007500E4">
        <w:t>in</w:t>
      </w:r>
      <w:r w:rsidRPr="00DD07E1">
        <w:t xml:space="preserve"> </w:t>
      </w:r>
      <w:r w:rsidRPr="007500E4">
        <w:t>an</w:t>
      </w:r>
      <w:r w:rsidRPr="00DD07E1">
        <w:t xml:space="preserve"> expected manner. Where</w:t>
      </w:r>
      <w:r w:rsidRPr="00DD07E1">
        <w:rPr>
          <w:w w:val="99"/>
        </w:rPr>
        <w:t xml:space="preserve"> </w:t>
      </w:r>
      <w:r w:rsidRPr="00DD07E1">
        <w:t xml:space="preserve">disclosure </w:t>
      </w:r>
      <w:r w:rsidRPr="007500E4">
        <w:t>of</w:t>
      </w:r>
      <w:r w:rsidRPr="00DD07E1">
        <w:t xml:space="preserve"> the documents </w:t>
      </w:r>
      <w:r w:rsidRPr="007500E4">
        <w:t>reveals</w:t>
      </w:r>
      <w:r w:rsidRPr="00DD07E1">
        <w:t xml:space="preserve"> unlawful activities </w:t>
      </w:r>
      <w:r w:rsidRPr="007500E4">
        <w:t>or</w:t>
      </w:r>
      <w:r w:rsidRPr="00DD07E1">
        <w:t xml:space="preserve"> inefficiencies, this element of </w:t>
      </w:r>
      <w:r w:rsidRPr="007500E4">
        <w:t>the</w:t>
      </w:r>
      <w:r w:rsidRPr="00DD07E1">
        <w:rPr>
          <w:w w:val="99"/>
        </w:rPr>
        <w:t xml:space="preserve"> </w:t>
      </w:r>
      <w:r w:rsidRPr="00DD07E1">
        <w:t xml:space="preserve">conditional exemption will not </w:t>
      </w:r>
      <w:r w:rsidRPr="007500E4">
        <w:t>be</w:t>
      </w:r>
      <w:r w:rsidRPr="00DD07E1">
        <w:t xml:space="preserve"> </w:t>
      </w:r>
      <w:proofErr w:type="gramStart"/>
      <w:r w:rsidRPr="00DD07E1">
        <w:t>met</w:t>
      </w:r>
      <w:proofErr w:type="gramEnd"/>
      <w:r w:rsidRPr="00DD07E1">
        <w:t xml:space="preserve"> </w:t>
      </w:r>
      <w:r w:rsidRPr="007500E4">
        <w:t>and</w:t>
      </w:r>
      <w:r w:rsidRPr="00DD07E1">
        <w:t xml:space="preserve"> the conditional exemption will not apply.</w:t>
      </w:r>
      <w:bookmarkEnd w:id="161"/>
    </w:p>
    <w:p w14:paraId="690A9A0F" w14:textId="4040FD94" w:rsidR="00C614EC" w:rsidRPr="00E33E6F" w:rsidRDefault="00C614EC" w:rsidP="00E33E6F">
      <w:pPr>
        <w:pStyle w:val="NumberedParagraphs"/>
        <w:numPr>
          <w:ilvl w:val="0"/>
          <w:numId w:val="0"/>
        </w:numPr>
        <w:ind w:left="567"/>
        <w:rPr>
          <w:i/>
          <w:iCs/>
        </w:rPr>
      </w:pPr>
      <w:r w:rsidRPr="00E33E6F">
        <w:rPr>
          <w:i/>
          <w:iCs/>
        </w:rPr>
        <w:t>Public servants and s 47E(d)</w:t>
      </w:r>
    </w:p>
    <w:p w14:paraId="5F165A65" w14:textId="0EF15E40" w:rsidR="001C53B4" w:rsidRDefault="00306E3E" w:rsidP="00B73860">
      <w:pPr>
        <w:pStyle w:val="NumberedParagraphs"/>
        <w:ind w:left="567"/>
      </w:pPr>
      <w:r>
        <w:t>Unless an agency can establish that disclosure of public servants’ personal information (</w:t>
      </w:r>
      <w:r w:rsidR="00546BE2">
        <w:t xml:space="preserve">for example, </w:t>
      </w:r>
      <w:r>
        <w:t xml:space="preserve">names and contact details) will have a </w:t>
      </w:r>
      <w:r w:rsidRPr="00C23A30">
        <w:rPr>
          <w:i/>
          <w:iCs/>
        </w:rPr>
        <w:t>substantial adverse effect</w:t>
      </w:r>
      <w:r>
        <w:t xml:space="preserve"> on an agency’s operations, it will not be appropriate to exempt this material under s 47E(d).</w:t>
      </w:r>
      <w:r w:rsidR="001C53B4">
        <w:t xml:space="preserve"> In most cases the impact </w:t>
      </w:r>
      <w:r w:rsidR="00BE32A9">
        <w:t xml:space="preserve">may be more of </w:t>
      </w:r>
      <w:r w:rsidR="001C53B4">
        <w:t>an inconvenience or distraction for an individual officer, rather than something that impacts substantially on the operations of the agency. Should an agency have evidence that provision of such information would, or could reasonably be expected to, have a substantial adverse effect on the proper and efficient conduct of the agency’s operations, a case may be more likely to be made.</w:t>
      </w:r>
    </w:p>
    <w:p w14:paraId="35C7BE03" w14:textId="5CB9869A" w:rsidR="001C53B4" w:rsidRDefault="001C53B4" w:rsidP="00B73860">
      <w:pPr>
        <w:pStyle w:val="NumberedParagraphs"/>
        <w:ind w:left="567"/>
      </w:pPr>
      <w:r>
        <w:t xml:space="preserve">Further, for future conduct to amount to a risk that requires mitigation by </w:t>
      </w:r>
      <w:r w:rsidR="00BE32A9">
        <w:t>refusing access to</w:t>
      </w:r>
      <w:r>
        <w:t xml:space="preserve"> contact details from disclosure in response to an FOI request, that conduct must be reasonably expected to occur. </w:t>
      </w:r>
    </w:p>
    <w:p w14:paraId="243884A8" w14:textId="56C623F6" w:rsidR="00306E3E" w:rsidRPr="007500E4" w:rsidRDefault="00306E3E" w:rsidP="00B73860">
      <w:pPr>
        <w:pStyle w:val="NumberedParagraphs"/>
        <w:ind w:left="567"/>
      </w:pPr>
      <w:r>
        <w:t xml:space="preserve">As discussed </w:t>
      </w:r>
      <w:r w:rsidR="008500ED">
        <w:t xml:space="preserve">above </w:t>
      </w:r>
      <w:r w:rsidR="009031E7" w:rsidRPr="005D2BC7">
        <w:t>at [</w:t>
      </w:r>
      <w:r w:rsidR="00546BE2" w:rsidRPr="005D2BC7">
        <w:t>6.1</w:t>
      </w:r>
      <w:r w:rsidR="005D2BC7" w:rsidRPr="005D2BC7">
        <w:t>04</w:t>
      </w:r>
      <w:r w:rsidR="009031E7" w:rsidRPr="005D2BC7">
        <w:t>]</w:t>
      </w:r>
      <w:r w:rsidRPr="005D2BC7">
        <w:t>, concerns</w:t>
      </w:r>
      <w:r>
        <w:t xml:space="preserve"> about the work health and safety impacts of disclosing public servants’ personal information </w:t>
      </w:r>
      <w:r w:rsidR="00BE32A9">
        <w:t xml:space="preserve">may be </w:t>
      </w:r>
      <w:r>
        <w:t>more appropriately addressed under the conditional exemption in s 47E(c).</w:t>
      </w:r>
    </w:p>
    <w:p w14:paraId="798BF6B2" w14:textId="77777777" w:rsidR="00BB0A82" w:rsidRPr="003B1486" w:rsidRDefault="00BB0A82" w:rsidP="00BB0A82">
      <w:pPr>
        <w:pStyle w:val="Heading2"/>
      </w:pPr>
      <w:bookmarkStart w:id="162" w:name="Personal_privacy"/>
      <w:bookmarkStart w:id="163" w:name="_bookmark48"/>
      <w:bookmarkStart w:id="164" w:name="_Toc11154498"/>
      <w:bookmarkStart w:id="165" w:name="_Toc141875226"/>
      <w:bookmarkEnd w:id="162"/>
      <w:bookmarkEnd w:id="163"/>
      <w:r w:rsidRPr="003B1486">
        <w:t>Documents affecting personal privacy (s 47F)</w:t>
      </w:r>
      <w:bookmarkEnd w:id="164"/>
      <w:bookmarkEnd w:id="165"/>
    </w:p>
    <w:p w14:paraId="098402B4" w14:textId="77777777" w:rsidR="00BB0A82" w:rsidRPr="007500E4" w:rsidRDefault="00BB0A82" w:rsidP="00B73860">
      <w:pPr>
        <w:pStyle w:val="NumberedParagraphs"/>
        <w:ind w:left="567"/>
      </w:pPr>
      <w:bookmarkStart w:id="166" w:name="_Ref459111017"/>
      <w:r w:rsidRPr="00DD07E1">
        <w:t xml:space="preserve">Section </w:t>
      </w:r>
      <w:r w:rsidRPr="007500E4">
        <w:t>47F</w:t>
      </w:r>
      <w:r w:rsidRPr="00DD07E1">
        <w:t xml:space="preserve"> conditionally exempts documents where disclosure would involve the unreasonable disclosure of personal information </w:t>
      </w:r>
      <w:r w:rsidRPr="007500E4">
        <w:t>of</w:t>
      </w:r>
      <w:r w:rsidRPr="00DD07E1">
        <w:t xml:space="preserve"> any person </w:t>
      </w:r>
      <w:r w:rsidRPr="007500E4">
        <w:t>(including</w:t>
      </w:r>
      <w:r w:rsidRPr="00DD07E1">
        <w:t xml:space="preserve"> </w:t>
      </w:r>
      <w:r w:rsidRPr="007500E4">
        <w:t>a</w:t>
      </w:r>
      <w:r w:rsidRPr="00DD07E1">
        <w:t xml:space="preserve"> deceased person). This exemption is intended to protect the personal privacy of individuals.</w:t>
      </w:r>
      <w:bookmarkEnd w:id="166"/>
    </w:p>
    <w:p w14:paraId="28686692" w14:textId="5456D7CC" w:rsidR="00BB0A82" w:rsidRPr="007500E4" w:rsidRDefault="00BB0A82" w:rsidP="00B73860">
      <w:pPr>
        <w:pStyle w:val="NumberedParagraphs"/>
        <w:ind w:left="567"/>
      </w:pPr>
      <w:r w:rsidRPr="007500E4">
        <w:t>This</w:t>
      </w:r>
      <w:r w:rsidRPr="00DD07E1">
        <w:t xml:space="preserve"> exemption </w:t>
      </w:r>
      <w:r w:rsidRPr="007500E4">
        <w:t>does</w:t>
      </w:r>
      <w:r w:rsidRPr="00DD07E1">
        <w:t xml:space="preserve"> not </w:t>
      </w:r>
      <w:r w:rsidRPr="007500E4">
        <w:t>apply</w:t>
      </w:r>
      <w:r w:rsidRPr="00DD07E1">
        <w:t xml:space="preserve"> </w:t>
      </w:r>
      <w:r w:rsidRPr="007500E4">
        <w:t>if</w:t>
      </w:r>
      <w:r w:rsidRPr="00DD07E1">
        <w:t xml:space="preserve"> the personal information </w:t>
      </w:r>
      <w:r w:rsidRPr="007500E4">
        <w:t>is</w:t>
      </w:r>
      <w:r w:rsidRPr="00DD07E1">
        <w:t xml:space="preserve"> </w:t>
      </w:r>
      <w:r w:rsidRPr="007500E4">
        <w:t>only</w:t>
      </w:r>
      <w:r w:rsidRPr="00DD07E1">
        <w:t xml:space="preserve"> about the </w:t>
      </w:r>
      <w:r w:rsidR="005C18EF">
        <w:t xml:space="preserve">FOI </w:t>
      </w:r>
      <w:r w:rsidRPr="00DD07E1">
        <w:t>applicant</w:t>
      </w:r>
      <w:r w:rsidRPr="00DD07E1">
        <w:rPr>
          <w:w w:val="99"/>
        </w:rPr>
        <w:t xml:space="preserve"> </w:t>
      </w:r>
      <w:r w:rsidRPr="00DD07E1">
        <w:t>(s</w:t>
      </w:r>
      <w:r w:rsidR="00A61395">
        <w:t> </w:t>
      </w:r>
      <w:r w:rsidRPr="00DD07E1">
        <w:t xml:space="preserve">47F(3)). </w:t>
      </w:r>
      <w:r w:rsidRPr="007500E4">
        <w:t>Where</w:t>
      </w:r>
      <w:r w:rsidRPr="00DD07E1">
        <w:t xml:space="preserve"> the information </w:t>
      </w:r>
      <w:r w:rsidRPr="007500E4">
        <w:t>is</w:t>
      </w:r>
      <w:r w:rsidRPr="00DD07E1">
        <w:t xml:space="preserve"> joint personal information, however, the exemption </w:t>
      </w:r>
      <w:r w:rsidRPr="007500E4">
        <w:t>may</w:t>
      </w:r>
      <w:r w:rsidRPr="00DD07E1">
        <w:t xml:space="preserve"> </w:t>
      </w:r>
      <w:r w:rsidRPr="007500E4">
        <w:t>apply.</w:t>
      </w:r>
      <w:r w:rsidRPr="00DD07E1">
        <w:t xml:space="preserve"> For more information about joint personal </w:t>
      </w:r>
      <w:r w:rsidRPr="007500E4">
        <w:t>information</w:t>
      </w:r>
      <w:r w:rsidRPr="00DD07E1">
        <w:t xml:space="preserve"> </w:t>
      </w:r>
      <w:r w:rsidRPr="00EE4883">
        <w:t>see [</w:t>
      </w:r>
      <w:hyperlink w:anchor="_bookmark52" w:history="1">
        <w:r w:rsidRPr="00EE4883">
          <w:fldChar w:fldCharType="begin"/>
        </w:r>
        <w:r w:rsidRPr="00EE4883">
          <w:instrText xml:space="preserve"> REF _Ref458497178 \r \h  \* MERGEFORMAT </w:instrText>
        </w:r>
        <w:r w:rsidRPr="00EE4883">
          <w:fldChar w:fldCharType="separate"/>
        </w:r>
        <w:r w:rsidR="00A721BB">
          <w:t>6.139</w:t>
        </w:r>
        <w:r w:rsidRPr="00EE4883">
          <w:fldChar w:fldCharType="end"/>
        </w:r>
      </w:hyperlink>
      <w:r w:rsidRPr="00EE4883">
        <w:t>]</w:t>
      </w:r>
      <w:r w:rsidR="00EE4883" w:rsidRPr="00EE4883">
        <w:t>–6</w:t>
      </w:r>
      <w:r w:rsidR="00EE4883">
        <w:t>.141]</w:t>
      </w:r>
      <w:r w:rsidRPr="00DD07E1">
        <w:rPr>
          <w:w w:val="99"/>
        </w:rPr>
        <w:t xml:space="preserve"> </w:t>
      </w:r>
      <w:r w:rsidRPr="00DD07E1">
        <w:t>below.</w:t>
      </w:r>
    </w:p>
    <w:p w14:paraId="4833A4D6" w14:textId="2AD11DCB" w:rsidR="00BB0A82" w:rsidRDefault="00BB0A82" w:rsidP="00B73860">
      <w:pPr>
        <w:pStyle w:val="NumberedParagraphs"/>
        <w:ind w:left="567"/>
      </w:pPr>
      <w:r w:rsidRPr="007500E4">
        <w:t>In</w:t>
      </w:r>
      <w:r w:rsidRPr="00DD07E1">
        <w:t xml:space="preserve"> some cases, providing indirect access to certain personal information </w:t>
      </w:r>
      <w:r w:rsidRPr="007500E4">
        <w:t>via</w:t>
      </w:r>
      <w:r w:rsidRPr="00DD07E1">
        <w:t xml:space="preserve"> </w:t>
      </w:r>
      <w:r w:rsidRPr="007500E4">
        <w:t>a</w:t>
      </w:r>
      <w:r w:rsidRPr="00DD07E1">
        <w:t xml:space="preserve"> qualified person </w:t>
      </w:r>
      <w:r w:rsidRPr="007500E4">
        <w:t>may</w:t>
      </w:r>
      <w:r w:rsidRPr="00DD07E1">
        <w:t xml:space="preserve"> be appropriate (s 47F(5) </w:t>
      </w:r>
      <w:r w:rsidRPr="00B95C6F">
        <w:rPr>
          <w:rFonts w:cs="Calibri"/>
        </w:rPr>
        <w:t xml:space="preserve">– </w:t>
      </w:r>
      <w:r w:rsidRPr="00B95C6F">
        <w:t>see [</w:t>
      </w:r>
      <w:hyperlink w:anchor="_bookmark56" w:history="1">
        <w:r w:rsidRPr="00B95C6F">
          <w:fldChar w:fldCharType="begin"/>
        </w:r>
        <w:r w:rsidRPr="00B95C6F">
          <w:instrText xml:space="preserve"> REF _Ref457393692 \r \h  \* MERGEFORMAT </w:instrText>
        </w:r>
        <w:r w:rsidRPr="00B95C6F">
          <w:fldChar w:fldCharType="separate"/>
        </w:r>
        <w:r w:rsidR="00A721BB">
          <w:t>6.167</w:t>
        </w:r>
        <w:r w:rsidRPr="00B95C6F">
          <w:fldChar w:fldCharType="end"/>
        </w:r>
      </w:hyperlink>
      <w:r w:rsidRPr="00B95C6F">
        <w:t>]</w:t>
      </w:r>
      <w:r w:rsidR="00B95C6F" w:rsidRPr="00B95C6F">
        <w:t>–[6.169</w:t>
      </w:r>
      <w:r w:rsidR="00B95C6F">
        <w:t>]</w:t>
      </w:r>
      <w:r w:rsidRPr="00DD07E1">
        <w:t xml:space="preserve"> below).</w:t>
      </w:r>
    </w:p>
    <w:p w14:paraId="00478F9F" w14:textId="77777777" w:rsidR="00BB0A82" w:rsidRPr="007500E4" w:rsidRDefault="00BB0A82" w:rsidP="002813D6">
      <w:pPr>
        <w:pStyle w:val="Heading3"/>
        <w:rPr>
          <w:b/>
          <w:bCs w:val="0"/>
          <w:i/>
        </w:rPr>
      </w:pPr>
      <w:bookmarkStart w:id="167" w:name="Personal_information"/>
      <w:bookmarkStart w:id="168" w:name="_bookmark49"/>
      <w:bookmarkStart w:id="169" w:name="_Toc11154499"/>
      <w:bookmarkStart w:id="170" w:name="_Toc141875227"/>
      <w:bookmarkEnd w:id="167"/>
      <w:bookmarkEnd w:id="168"/>
      <w:r w:rsidRPr="00DD07E1">
        <w:t>Personal information</w:t>
      </w:r>
      <w:bookmarkEnd w:id="169"/>
      <w:bookmarkEnd w:id="170"/>
    </w:p>
    <w:p w14:paraId="545D6D20" w14:textId="4E1DB4BA" w:rsidR="00BB0A82" w:rsidRPr="00DD07E1" w:rsidRDefault="00BB0A82" w:rsidP="00B73860">
      <w:pPr>
        <w:pStyle w:val="NumberedParagraphs"/>
        <w:ind w:left="567"/>
      </w:pPr>
      <w:r w:rsidRPr="00DD07E1">
        <w:t xml:space="preserve">The FOI Act shares the same definition of 'personal information' as the </w:t>
      </w:r>
      <w:r w:rsidRPr="001A141D">
        <w:rPr>
          <w:i/>
          <w:iCs/>
        </w:rPr>
        <w:t>Privacy Act</w:t>
      </w:r>
      <w:r w:rsidR="005C18EF" w:rsidRPr="001A141D">
        <w:rPr>
          <w:i/>
          <w:iCs/>
        </w:rPr>
        <w:t xml:space="preserve"> 1988</w:t>
      </w:r>
      <w:r w:rsidR="005C18EF">
        <w:rPr>
          <w:i/>
          <w:iCs/>
        </w:rPr>
        <w:t xml:space="preserve"> </w:t>
      </w:r>
      <w:r w:rsidR="005C18EF">
        <w:t>(Privacy Act)</w:t>
      </w:r>
      <w:r w:rsidRPr="00DD07E1">
        <w:t>, which regulates the handling of personal information about individuals (s</w:t>
      </w:r>
      <w:r>
        <w:t xml:space="preserve">ee </w:t>
      </w:r>
      <w:r>
        <w:lastRenderedPageBreak/>
        <w:t>s</w:t>
      </w:r>
      <w:r w:rsidR="0039058D">
        <w:t> </w:t>
      </w:r>
      <w:r>
        <w:t>4(1) of the FOI Act and s 6</w:t>
      </w:r>
      <w:r w:rsidRPr="00DD07E1">
        <w:t xml:space="preserve"> of the Privacy Act). The cornerstone of the Privacy Act's privacy protection framework is the Australian Privacy Principles (APPs), a set of legally binding principles that apply to both Australian Government agencies and private sector organisations that are subject to the </w:t>
      </w:r>
      <w:r w:rsidR="001A141D">
        <w:t xml:space="preserve">Privacy </w:t>
      </w:r>
      <w:r w:rsidRPr="00DD07E1">
        <w:t xml:space="preserve">Act. Detailed guidance about the APPs is available in the Information Commissioner's </w:t>
      </w:r>
      <w:r>
        <w:t>APP g</w:t>
      </w:r>
      <w:r w:rsidRPr="00DD07E1">
        <w:t xml:space="preserve">uidelines, available at </w:t>
      </w:r>
      <w:hyperlink r:id="rId10" w:history="1">
        <w:r w:rsidRPr="00DD07E1">
          <w:rPr>
            <w:rStyle w:val="Hyperlink"/>
          </w:rPr>
          <w:t>www.oaic.gov.au</w:t>
        </w:r>
      </w:hyperlink>
      <w:r w:rsidRPr="00DD07E1">
        <w:t>.</w:t>
      </w:r>
    </w:p>
    <w:p w14:paraId="1F303E78" w14:textId="77777777" w:rsidR="00BB0A82" w:rsidRPr="00DD07E1" w:rsidRDefault="00BB0A82" w:rsidP="00B73860">
      <w:pPr>
        <w:pStyle w:val="NumberedParagraphs"/>
        <w:ind w:left="567"/>
      </w:pPr>
      <w:r w:rsidRPr="00DD07E1">
        <w:t>Personal information means information or an opinion about an identified individual, or an individual who is reasonably identifiable:</w:t>
      </w:r>
    </w:p>
    <w:p w14:paraId="18D93B4B" w14:textId="64AB1B9C" w:rsidR="00BB0A82" w:rsidRPr="003B1486" w:rsidRDefault="00BB0A82" w:rsidP="003704DE">
      <w:pPr>
        <w:pStyle w:val="List2"/>
        <w:numPr>
          <w:ilvl w:val="0"/>
          <w:numId w:val="53"/>
        </w:numPr>
        <w:ind w:left="993" w:hanging="426"/>
        <w:rPr>
          <w:lang w:val="en-US"/>
        </w:rPr>
      </w:pPr>
      <w:r w:rsidRPr="007500E4">
        <w:t>whether the information or opinion is true or not and</w:t>
      </w:r>
    </w:p>
    <w:p w14:paraId="60C45A7A" w14:textId="24421A7F" w:rsidR="00BB0A82" w:rsidRPr="00DD07E1" w:rsidRDefault="003B1486" w:rsidP="003704DE">
      <w:pPr>
        <w:pStyle w:val="List2"/>
        <w:numPr>
          <w:ilvl w:val="0"/>
          <w:numId w:val="53"/>
        </w:numPr>
        <w:ind w:left="993" w:hanging="426"/>
      </w:pPr>
      <w:r>
        <w:t>w</w:t>
      </w:r>
      <w:r w:rsidR="00BB0A82" w:rsidRPr="007500E4">
        <w:t>hether the information or opinion is recorded in a material form or not.</w:t>
      </w:r>
      <w:r w:rsidR="00BB0A82">
        <w:rPr>
          <w:rStyle w:val="FootnoteReference"/>
        </w:rPr>
        <w:footnoteReference w:id="110"/>
      </w:r>
    </w:p>
    <w:p w14:paraId="67CFD6EE" w14:textId="77777777" w:rsidR="00BB0A82" w:rsidRPr="007500E4" w:rsidRDefault="00BB0A82" w:rsidP="00B73860">
      <w:pPr>
        <w:pStyle w:val="NumberedParagraphs"/>
        <w:ind w:left="567"/>
      </w:pPr>
      <w:r w:rsidRPr="007500E4">
        <w:t>In</w:t>
      </w:r>
      <w:r w:rsidRPr="00DD07E1">
        <w:t xml:space="preserve"> other words, personal information:</w:t>
      </w:r>
    </w:p>
    <w:p w14:paraId="2B7555C8" w14:textId="77777777" w:rsidR="00BB0A82" w:rsidRPr="007500E4" w:rsidRDefault="00BB0A82" w:rsidP="003704DE">
      <w:pPr>
        <w:pStyle w:val="IndentBullet1"/>
        <w:ind w:left="993" w:hanging="426"/>
      </w:pPr>
      <w:r w:rsidRPr="007500E4">
        <w:t>is information about an identified individual or an individual who is reasonably identifiable</w:t>
      </w:r>
    </w:p>
    <w:p w14:paraId="4F68B405" w14:textId="77777777" w:rsidR="00BB0A82" w:rsidRPr="007500E4" w:rsidRDefault="00BB0A82" w:rsidP="003704DE">
      <w:pPr>
        <w:pStyle w:val="IndentBullet1"/>
        <w:ind w:left="993" w:hanging="426"/>
      </w:pPr>
      <w:r w:rsidRPr="00DD07E1">
        <w:t xml:space="preserve">says something about </w:t>
      </w:r>
      <w:r w:rsidRPr="007500E4">
        <w:t>a</w:t>
      </w:r>
      <w:r w:rsidRPr="00DD07E1">
        <w:t xml:space="preserve"> </w:t>
      </w:r>
      <w:r w:rsidRPr="007500E4">
        <w:t>person</w:t>
      </w:r>
    </w:p>
    <w:p w14:paraId="7ECEFFE6" w14:textId="77777777" w:rsidR="00BB0A82" w:rsidRPr="007500E4" w:rsidRDefault="00BB0A82" w:rsidP="003704DE">
      <w:pPr>
        <w:pStyle w:val="IndentBullet1"/>
        <w:ind w:left="993" w:hanging="426"/>
      </w:pPr>
      <w:r w:rsidRPr="007500E4">
        <w:t>may</w:t>
      </w:r>
      <w:r w:rsidRPr="00DD07E1">
        <w:t xml:space="preserve"> </w:t>
      </w:r>
      <w:r w:rsidRPr="007500E4">
        <w:t>be</w:t>
      </w:r>
      <w:r w:rsidRPr="00DD07E1">
        <w:t xml:space="preserve"> opinion</w:t>
      </w:r>
    </w:p>
    <w:p w14:paraId="663C23D2" w14:textId="77777777" w:rsidR="00BB0A82" w:rsidRPr="007500E4" w:rsidRDefault="00BB0A82" w:rsidP="003704DE">
      <w:pPr>
        <w:pStyle w:val="IndentBullet1"/>
        <w:ind w:left="993" w:hanging="426"/>
      </w:pPr>
      <w:r w:rsidRPr="007500E4">
        <w:t>may</w:t>
      </w:r>
      <w:r w:rsidRPr="00DD07E1">
        <w:t xml:space="preserve"> </w:t>
      </w:r>
      <w:r w:rsidRPr="007500E4">
        <w:t>be</w:t>
      </w:r>
      <w:r w:rsidRPr="00DD07E1">
        <w:t xml:space="preserve"> true or untrue</w:t>
      </w:r>
    </w:p>
    <w:p w14:paraId="2C372680" w14:textId="134F19EC" w:rsidR="00BB0A82" w:rsidRPr="007500E4" w:rsidRDefault="00BB0A82" w:rsidP="003704DE">
      <w:pPr>
        <w:pStyle w:val="IndentBullet1"/>
        <w:ind w:left="993" w:hanging="426"/>
        <w:rPr>
          <w:sz w:val="16"/>
          <w:szCs w:val="16"/>
        </w:rPr>
      </w:pPr>
      <w:r w:rsidRPr="007500E4">
        <w:t xml:space="preserve">may </w:t>
      </w:r>
      <w:r w:rsidR="00D27108">
        <w:t xml:space="preserve">or may not </w:t>
      </w:r>
      <w:r w:rsidRPr="007500E4">
        <w:t>be recorded in material form.</w:t>
      </w:r>
    </w:p>
    <w:p w14:paraId="5ACCD5F7" w14:textId="77777777" w:rsidR="00BB0A82" w:rsidRPr="007500E4" w:rsidRDefault="00BB0A82" w:rsidP="00B73860">
      <w:pPr>
        <w:pStyle w:val="NumberedParagraphs"/>
        <w:ind w:left="567"/>
      </w:pPr>
      <w:r w:rsidRPr="007500E4">
        <w:rPr>
          <w:rFonts w:cs="Calibri"/>
        </w:rPr>
        <w:t>Personal</w:t>
      </w:r>
      <w:r w:rsidRPr="00DD07E1">
        <w:rPr>
          <w:rFonts w:cs="Calibri"/>
        </w:rPr>
        <w:t xml:space="preserve"> </w:t>
      </w:r>
      <w:r w:rsidRPr="00B73860">
        <w:t>information</w:t>
      </w:r>
      <w:r w:rsidRPr="00DD07E1">
        <w:rPr>
          <w:rFonts w:cs="Calibri"/>
        </w:rPr>
        <w:t xml:space="preserve"> can include </w:t>
      </w:r>
      <w:r w:rsidRPr="007500E4">
        <w:rPr>
          <w:rFonts w:cs="Calibri"/>
        </w:rPr>
        <w:t>a</w:t>
      </w:r>
      <w:r w:rsidRPr="00DD07E1">
        <w:rPr>
          <w:rFonts w:cs="Calibri"/>
        </w:rPr>
        <w:t xml:space="preserve"> person’s name,</w:t>
      </w:r>
      <w:r w:rsidRPr="007500E4">
        <w:rPr>
          <w:rFonts w:cs="Calibri"/>
        </w:rPr>
        <w:t xml:space="preserve"> </w:t>
      </w:r>
      <w:r w:rsidRPr="00DD07E1">
        <w:rPr>
          <w:rFonts w:cs="Calibri"/>
        </w:rPr>
        <w:t>address, telephone number,</w:t>
      </w:r>
      <w:r w:rsidRPr="007500E4">
        <w:rPr>
          <w:rStyle w:val="FootnoteReference"/>
          <w:rFonts w:cs="Calibri"/>
        </w:rPr>
        <w:footnoteReference w:id="111"/>
      </w:r>
      <w:r w:rsidRPr="00DD07E1">
        <w:rPr>
          <w:position w:val="11"/>
          <w:sz w:val="16"/>
          <w:szCs w:val="16"/>
        </w:rPr>
        <w:t xml:space="preserve"> </w:t>
      </w:r>
      <w:r w:rsidRPr="007500E4">
        <w:t>date</w:t>
      </w:r>
      <w:r w:rsidRPr="00DD07E1">
        <w:t xml:space="preserve"> </w:t>
      </w:r>
      <w:r w:rsidRPr="007500E4">
        <w:t>of</w:t>
      </w:r>
      <w:r w:rsidRPr="00DD07E1">
        <w:t xml:space="preserve"> birth, medical records, bank account details, taxation information</w:t>
      </w:r>
      <w:r w:rsidRPr="007500E4">
        <w:rPr>
          <w:rStyle w:val="FootnoteReference"/>
        </w:rPr>
        <w:footnoteReference w:id="112"/>
      </w:r>
      <w:r w:rsidRPr="00DD07E1">
        <w:rPr>
          <w:position w:val="11"/>
          <w:sz w:val="16"/>
          <w:szCs w:val="16"/>
        </w:rPr>
        <w:t xml:space="preserve"> </w:t>
      </w:r>
      <w:r w:rsidRPr="007500E4">
        <w:t>and signature.</w:t>
      </w:r>
      <w:r w:rsidRPr="00DD07E1">
        <w:rPr>
          <w:rStyle w:val="FootnoteReference"/>
        </w:rPr>
        <w:footnoteReference w:id="113"/>
      </w:r>
      <w:r w:rsidRPr="00DD07E1">
        <w:rPr>
          <w:position w:val="11"/>
          <w:sz w:val="16"/>
          <w:szCs w:val="16"/>
        </w:rPr>
        <w:t xml:space="preserve"> </w:t>
      </w:r>
    </w:p>
    <w:p w14:paraId="7F3939EC" w14:textId="77777777" w:rsidR="00BB0A82" w:rsidRPr="003C51FC" w:rsidRDefault="00BB0A82" w:rsidP="002813D6">
      <w:pPr>
        <w:pStyle w:val="Heading3"/>
      </w:pPr>
      <w:bookmarkStart w:id="171" w:name="A_person’s_identity_is_apparent_or_reaso"/>
      <w:bookmarkStart w:id="172" w:name="_Toc11154500"/>
      <w:bookmarkStart w:id="173" w:name="_Toc141875228"/>
      <w:bookmarkEnd w:id="171"/>
      <w:r w:rsidRPr="003C51FC">
        <w:t>A person who is reasonably identifiable</w:t>
      </w:r>
      <w:bookmarkEnd w:id="172"/>
      <w:bookmarkEnd w:id="173"/>
    </w:p>
    <w:p w14:paraId="517000BA" w14:textId="5CA23BF0" w:rsidR="00BB0A82" w:rsidRPr="00DD07E1" w:rsidRDefault="00BB0A82" w:rsidP="00B73860">
      <w:pPr>
        <w:pStyle w:val="NumberedParagraphs"/>
        <w:ind w:left="567"/>
        <w:rPr>
          <w:rFonts w:cs="Calibri"/>
          <w:sz w:val="19"/>
          <w:szCs w:val="19"/>
        </w:rPr>
      </w:pPr>
      <w:r w:rsidRPr="00DD07E1">
        <w:t xml:space="preserve">What constitutes personal information will vary depending on whether an individual can be </w:t>
      </w:r>
      <w:r w:rsidR="00BE32A9" w:rsidRPr="00DD07E1">
        <w:t>identified</w:t>
      </w:r>
      <w:r w:rsidR="00BE32A9">
        <w:t xml:space="preserve"> or</w:t>
      </w:r>
      <w:r w:rsidRPr="00DD07E1">
        <w:t xml:space="preserve"> is reasonably identifiable in the particular circumstances. For particular information to be personal information, an individual must be identified or reasonably identifiable.</w:t>
      </w:r>
    </w:p>
    <w:p w14:paraId="50D8D249" w14:textId="77777777" w:rsidR="00BB0A82" w:rsidRPr="00DD07E1" w:rsidRDefault="00BB0A82" w:rsidP="00B73860">
      <w:pPr>
        <w:pStyle w:val="NumberedParagraphs"/>
        <w:ind w:left="567"/>
        <w:rPr>
          <w:szCs w:val="22"/>
        </w:rPr>
      </w:pPr>
      <w:r w:rsidRPr="00DD07E1">
        <w:t xml:space="preserve">Where it may be possible to identify an individual using available resources, the practicability, including the time and cost involved, will be relevant to deciding whether an </w:t>
      </w:r>
      <w:r w:rsidRPr="00837A1D">
        <w:t>individual is ‘reasonably identifiable’.</w:t>
      </w:r>
      <w:r w:rsidRPr="00837A1D">
        <w:rPr>
          <w:vertAlign w:val="superscript"/>
        </w:rPr>
        <w:footnoteReference w:id="114"/>
      </w:r>
      <w:r w:rsidRPr="00837A1D">
        <w:t xml:space="preserve"> An agency or minister </w:t>
      </w:r>
      <w:r w:rsidRPr="005449FE">
        <w:t>should</w:t>
      </w:r>
      <w:r w:rsidRPr="00837A1D">
        <w:t xml:space="preserve"> not</w:t>
      </w:r>
      <w:r w:rsidRPr="005449FE">
        <w:t>, however,</w:t>
      </w:r>
      <w:r w:rsidRPr="00837A1D">
        <w:t xml:space="preserve"> seek information from the applicant about what other information they have or could obtain.</w:t>
      </w:r>
    </w:p>
    <w:p w14:paraId="290817E2" w14:textId="6614C7DD" w:rsidR="00BB0A82" w:rsidRPr="007500E4" w:rsidRDefault="00BB0A82" w:rsidP="00B73860">
      <w:pPr>
        <w:pStyle w:val="NumberedParagraphs"/>
        <w:ind w:left="567"/>
      </w:pPr>
      <w:r w:rsidRPr="007500E4">
        <w:t xml:space="preserve">Where it may be technically possible to identify an individual from information, </w:t>
      </w:r>
      <w:r w:rsidR="00BE32A9">
        <w:t>but</w:t>
      </w:r>
      <w:r w:rsidRPr="007500E4">
        <w:t xml:space="preserve"> doing so is so impractical that there is almost no likelihood of it occurring, the information is not personal information.</w:t>
      </w:r>
      <w:r w:rsidRPr="007500E4">
        <w:rPr>
          <w:rStyle w:val="FootnoteReference"/>
        </w:rPr>
        <w:footnoteReference w:id="115"/>
      </w:r>
      <w:r w:rsidRPr="00DD07E1">
        <w:t xml:space="preserve"> In </w:t>
      </w:r>
      <w:r w:rsidRPr="00DD07E1">
        <w:rPr>
          <w:i/>
        </w:rPr>
        <w:t>Jonathan Laird and Department of Defence</w:t>
      </w:r>
      <w:r w:rsidRPr="00DD07E1">
        <w:t xml:space="preserve"> [2014] AICmr 144, the Privacy Commissioner was not satisfied that DNA analysis of human remains could reasonably identify </w:t>
      </w:r>
      <w:r w:rsidR="00BE32A9">
        <w:t>a</w:t>
      </w:r>
      <w:r w:rsidRPr="00DD07E1">
        <w:t xml:space="preserve"> World War II HMAS Sydney II crew</w:t>
      </w:r>
      <w:r w:rsidR="00BE32A9">
        <w:t xml:space="preserve"> </w:t>
      </w:r>
      <w:r w:rsidRPr="00DD07E1">
        <w:t xml:space="preserve">member. In finding that the DNA sequencing information held by the Department was not personal information, the </w:t>
      </w:r>
      <w:r w:rsidR="006D4072">
        <w:t xml:space="preserve">Privacy </w:t>
      </w:r>
      <w:r w:rsidRPr="00DD07E1">
        <w:lastRenderedPageBreak/>
        <w:t>Commissioner discussed that identifying the remains u</w:t>
      </w:r>
      <w:r w:rsidR="00845AE4">
        <w:t>sing</w:t>
      </w:r>
      <w:r w:rsidRPr="00DD07E1">
        <w:t xml:space="preserve"> DNA sequencing would be ‘impractical for a reasonable member of the public’.</w:t>
      </w:r>
      <w:r w:rsidRPr="00DD07E1">
        <w:rPr>
          <w:rStyle w:val="FootnoteReference"/>
        </w:rPr>
        <w:footnoteReference w:id="116"/>
      </w:r>
    </w:p>
    <w:p w14:paraId="3688F904" w14:textId="45C9DD89" w:rsidR="00BB0A82" w:rsidRPr="007500E4" w:rsidRDefault="00BB0A82" w:rsidP="00B73860">
      <w:pPr>
        <w:pStyle w:val="NumberedParagraphs"/>
        <w:ind w:left="567"/>
      </w:pPr>
      <w:r w:rsidRPr="007500E4">
        <w:t>Similarly, in a series of IC review cases,</w:t>
      </w:r>
      <w:r w:rsidRPr="007500E4">
        <w:rPr>
          <w:rStyle w:val="FootnoteReference"/>
        </w:rPr>
        <w:footnoteReference w:id="117"/>
      </w:r>
      <w:r w:rsidRPr="007500E4">
        <w:t xml:space="preserve"> the Information Commissioner had to decide whether or not </w:t>
      </w:r>
      <w:r>
        <w:t xml:space="preserve">aggregate </w:t>
      </w:r>
      <w:r w:rsidRPr="007500E4">
        <w:t xml:space="preserve">information relating to the nationality, language and religion of refugees resettled under Australia’s offshore processing arrangements </w:t>
      </w:r>
      <w:r w:rsidR="006D4072">
        <w:t>wa</w:t>
      </w:r>
      <w:r w:rsidRPr="007500E4">
        <w:t xml:space="preserve">s the personal information of the relevant individuals. In each case, the </w:t>
      </w:r>
      <w:r w:rsidR="00845AE4">
        <w:t xml:space="preserve">Information </w:t>
      </w:r>
      <w:r w:rsidRPr="007500E4">
        <w:t xml:space="preserve">Commissioner found that the individuals were not reasonably identifiable from the </w:t>
      </w:r>
      <w:r>
        <w:t xml:space="preserve">aggregated </w:t>
      </w:r>
      <w:r w:rsidRPr="007500E4">
        <w:t>information.</w:t>
      </w:r>
    </w:p>
    <w:p w14:paraId="3FC5E5F8" w14:textId="21CAAEEA" w:rsidR="00BB0A82" w:rsidRPr="007500E4" w:rsidRDefault="00BB0A82" w:rsidP="00B73860">
      <w:pPr>
        <w:pStyle w:val="NumberedParagraphs"/>
        <w:ind w:left="567"/>
      </w:pPr>
      <w:r w:rsidRPr="00DD07E1">
        <w:t xml:space="preserve">Therefore, whether or not </w:t>
      </w:r>
      <w:r w:rsidR="00BA448E">
        <w:t>an</w:t>
      </w:r>
      <w:r w:rsidRPr="00DD07E1">
        <w:rPr>
          <w:rFonts w:cs="Calibri"/>
        </w:rPr>
        <w:t xml:space="preserve"> individual is reasonably identifiable </w:t>
      </w:r>
      <w:r w:rsidRPr="00DD07E1">
        <w:t xml:space="preserve">depends </w:t>
      </w:r>
      <w:r w:rsidRPr="007500E4">
        <w:t>on</w:t>
      </w:r>
      <w:r w:rsidRPr="00DD07E1">
        <w:t xml:space="preserve"> </w:t>
      </w:r>
      <w:r>
        <w:t xml:space="preserve">the </w:t>
      </w:r>
      <w:r w:rsidRPr="009144F0">
        <w:rPr>
          <w:rFonts w:cs="Helvetica"/>
          <w:color w:val="050505"/>
          <w:lang w:val="en-GB"/>
        </w:rPr>
        <w:t>practicability</w:t>
      </w:r>
      <w:r>
        <w:rPr>
          <w:rFonts w:cs="Helvetica"/>
          <w:color w:val="050505"/>
          <w:lang w:val="en-GB"/>
        </w:rPr>
        <w:t xml:space="preserve"> of</w:t>
      </w:r>
      <w:r w:rsidRPr="007500E4">
        <w:t xml:space="preserve"> </w:t>
      </w:r>
      <w:r w:rsidRPr="00DD07E1">
        <w:t>link</w:t>
      </w:r>
      <w:r>
        <w:t>ing</w:t>
      </w:r>
      <w:r w:rsidRPr="00DD07E1">
        <w:rPr>
          <w:w w:val="99"/>
        </w:rPr>
        <w:t xml:space="preserve"> </w:t>
      </w:r>
      <w:r w:rsidRPr="007500E4">
        <w:t>pieces</w:t>
      </w:r>
      <w:r w:rsidRPr="00DD07E1">
        <w:t xml:space="preserve"> of information </w:t>
      </w:r>
      <w:r w:rsidRPr="007500E4">
        <w:t>to</w:t>
      </w:r>
      <w:r w:rsidRPr="00DD07E1">
        <w:t xml:space="preserve"> identify the</w:t>
      </w:r>
      <w:r w:rsidR="002A1159">
        <w:t>m</w:t>
      </w:r>
      <w:r w:rsidRPr="00DD07E1">
        <w:t>.</w:t>
      </w:r>
    </w:p>
    <w:p w14:paraId="26143AEE" w14:textId="77777777" w:rsidR="00BB0A82" w:rsidRPr="003C51FC" w:rsidRDefault="00BB0A82" w:rsidP="002813D6">
      <w:pPr>
        <w:pStyle w:val="Heading3"/>
      </w:pPr>
      <w:bookmarkStart w:id="174" w:name="Says_something_about_a_person"/>
      <w:bookmarkStart w:id="175" w:name="_Toc11154501"/>
      <w:bookmarkStart w:id="176" w:name="_Toc141875229"/>
      <w:bookmarkStart w:id="177" w:name="_Hlk50038205"/>
      <w:bookmarkEnd w:id="174"/>
      <w:r w:rsidRPr="003C51FC">
        <w:t>Says something about a person</w:t>
      </w:r>
      <w:bookmarkEnd w:id="175"/>
      <w:bookmarkEnd w:id="176"/>
    </w:p>
    <w:p w14:paraId="47E3D733" w14:textId="5236D288" w:rsidR="008A29C6" w:rsidRPr="00F45F5C" w:rsidRDefault="008A29C6" w:rsidP="00B73860">
      <w:pPr>
        <w:pStyle w:val="NumberedParagraphs"/>
        <w:ind w:left="567"/>
        <w:rPr>
          <w:rFonts w:asciiTheme="majorHAnsi" w:eastAsia="Calibri" w:hAnsiTheme="majorHAnsi" w:cs="Calibri"/>
          <w:szCs w:val="22"/>
        </w:rPr>
      </w:pPr>
      <w:r w:rsidRPr="00F45F5C">
        <w:rPr>
          <w:rFonts w:asciiTheme="majorHAnsi" w:eastAsia="Calibri" w:hAnsiTheme="majorHAnsi" w:cs="Calibri"/>
          <w:szCs w:val="22"/>
        </w:rPr>
        <w:t>The information needs to be ‘about’ an individual –</w:t>
      </w:r>
      <w:r>
        <w:rPr>
          <w:rFonts w:asciiTheme="majorHAnsi" w:eastAsia="Calibri" w:hAnsiTheme="majorHAnsi" w:cs="Calibri"/>
          <w:szCs w:val="22"/>
        </w:rPr>
        <w:t xml:space="preserve"> </w:t>
      </w:r>
      <w:r w:rsidRPr="00F45F5C">
        <w:rPr>
          <w:rFonts w:asciiTheme="majorHAnsi" w:eastAsia="Calibri" w:hAnsiTheme="majorHAnsi" w:cs="Calibri"/>
          <w:szCs w:val="22"/>
        </w:rPr>
        <w:t xml:space="preserve">there must be a connection </w:t>
      </w:r>
      <w:r w:rsidRPr="00B73860">
        <w:t>between</w:t>
      </w:r>
      <w:r w:rsidRPr="00F45F5C">
        <w:rPr>
          <w:rFonts w:asciiTheme="majorHAnsi" w:eastAsia="Calibri" w:hAnsiTheme="majorHAnsi" w:cs="Calibri"/>
          <w:szCs w:val="22"/>
        </w:rPr>
        <w:t xml:space="preserve"> the information and the person.</w:t>
      </w:r>
      <w:r w:rsidR="00532003">
        <w:rPr>
          <w:rStyle w:val="FootnoteReference"/>
          <w:rFonts w:asciiTheme="majorHAnsi" w:eastAsia="Calibri" w:hAnsiTheme="majorHAnsi" w:cs="Calibri"/>
          <w:szCs w:val="22"/>
        </w:rPr>
        <w:footnoteReference w:id="118"/>
      </w:r>
      <w:r w:rsidRPr="00F45F5C">
        <w:rPr>
          <w:rFonts w:asciiTheme="majorHAnsi" w:eastAsia="Calibri" w:hAnsiTheme="majorHAnsi" w:cs="Calibri"/>
          <w:szCs w:val="22"/>
        </w:rPr>
        <w:t xml:space="preserve"> This is a question of fact and depends on the context and circumstances. Some information is clearly about an individual – for example, name, date of birth, occupation details</w:t>
      </w:r>
      <w:r w:rsidR="00101055">
        <w:rPr>
          <w:rFonts w:asciiTheme="majorHAnsi" w:eastAsia="Calibri" w:hAnsiTheme="majorHAnsi" w:cs="Calibri"/>
          <w:szCs w:val="22"/>
        </w:rPr>
        <w:t xml:space="preserve"> and </w:t>
      </w:r>
      <w:r w:rsidRPr="00F45F5C">
        <w:rPr>
          <w:rFonts w:asciiTheme="majorHAnsi" w:eastAsia="Calibri" w:hAnsiTheme="majorHAnsi" w:cs="Calibri"/>
          <w:szCs w:val="22"/>
        </w:rPr>
        <w:t>medical records. A person’s signature, home address, email address, telephone number, bank account details and employment details will also generally constitute personal information. Other information may be personal information if it reveals a fact or opinion about the person in a way that is not too tenuous or remote. Invoices related to the purchase of alcohol for Prime Ministerial functions do not disclose personal information about the Prime Minister if it is possible that a staff member made the purchases based on something other than the Prime Minister’s preferences.</w:t>
      </w:r>
      <w:r w:rsidRPr="00DD07E1">
        <w:rPr>
          <w:rStyle w:val="FootnoteReference"/>
        </w:rPr>
        <w:footnoteReference w:id="119"/>
      </w:r>
      <w:r w:rsidR="00532003">
        <w:t xml:space="preserve"> Examples of when information is not ‘about’ a person and therefore the information is not personal information for the purposes of s 6 of the Privacy Act include the colour of a person’s mobile phone or their </w:t>
      </w:r>
      <w:r w:rsidR="0084290D">
        <w:t xml:space="preserve">network </w:t>
      </w:r>
      <w:r w:rsidR="00532003">
        <w:t>type</w:t>
      </w:r>
      <w:r w:rsidR="0084290D">
        <w:t xml:space="preserve"> (e.g., 5G)</w:t>
      </w:r>
      <w:r w:rsidR="00532003">
        <w:t>.</w:t>
      </w:r>
      <w:r w:rsidR="00532003">
        <w:rPr>
          <w:rStyle w:val="FootnoteReference"/>
        </w:rPr>
        <w:footnoteReference w:id="120"/>
      </w:r>
    </w:p>
    <w:p w14:paraId="67C5DC35" w14:textId="77777777" w:rsidR="00BB0A82" w:rsidRPr="003C51FC" w:rsidRDefault="00BB0A82" w:rsidP="002813D6">
      <w:pPr>
        <w:pStyle w:val="Heading3"/>
      </w:pPr>
      <w:bookmarkStart w:id="178" w:name="Natural_person"/>
      <w:bookmarkStart w:id="179" w:name="_Toc11154502"/>
      <w:bookmarkStart w:id="180" w:name="_Toc141875230"/>
      <w:bookmarkEnd w:id="177"/>
      <w:bookmarkEnd w:id="178"/>
      <w:r w:rsidRPr="003C51FC">
        <w:t>Natural person</w:t>
      </w:r>
      <w:bookmarkEnd w:id="179"/>
      <w:bookmarkEnd w:id="180"/>
    </w:p>
    <w:p w14:paraId="2C9DCCAC" w14:textId="2DB907AC" w:rsidR="00BB0A82" w:rsidRPr="007500E4" w:rsidRDefault="00BB0A82" w:rsidP="00B73860">
      <w:pPr>
        <w:pStyle w:val="NumberedParagraphs"/>
        <w:ind w:left="567"/>
      </w:pPr>
      <w:r w:rsidRPr="007500E4">
        <w:t>An</w:t>
      </w:r>
      <w:r w:rsidRPr="00DD07E1">
        <w:t xml:space="preserve"> individual </w:t>
      </w:r>
      <w:r w:rsidRPr="007500E4">
        <w:t>is</w:t>
      </w:r>
      <w:r w:rsidRPr="00DD07E1">
        <w:t xml:space="preserve"> </w:t>
      </w:r>
      <w:r w:rsidRPr="007500E4">
        <w:t>a</w:t>
      </w:r>
      <w:r w:rsidRPr="00DD07E1">
        <w:t xml:space="preserve"> natural </w:t>
      </w:r>
      <w:r w:rsidRPr="007500E4">
        <w:t>person</w:t>
      </w:r>
      <w:r w:rsidRPr="00DD07E1">
        <w:t xml:space="preserve"> and </w:t>
      </w:r>
      <w:r w:rsidRPr="007500E4">
        <w:t>does</w:t>
      </w:r>
      <w:r w:rsidRPr="00DD07E1">
        <w:t xml:space="preserve"> not</w:t>
      </w:r>
      <w:r w:rsidRPr="007500E4">
        <w:t xml:space="preserve"> </w:t>
      </w:r>
      <w:r w:rsidRPr="00DD07E1">
        <w:t xml:space="preserve">include </w:t>
      </w:r>
      <w:r w:rsidRPr="007500E4">
        <w:t>a</w:t>
      </w:r>
      <w:r w:rsidRPr="00DD07E1">
        <w:t xml:space="preserve"> corporation, trust, </w:t>
      </w:r>
      <w:r w:rsidRPr="007500E4">
        <w:t>body</w:t>
      </w:r>
      <w:r w:rsidRPr="00DD07E1">
        <w:rPr>
          <w:w w:val="99"/>
        </w:rPr>
        <w:t xml:space="preserve"> </w:t>
      </w:r>
      <w:r w:rsidRPr="007500E4">
        <w:t>politic</w:t>
      </w:r>
      <w:r w:rsidRPr="00DD07E1">
        <w:t xml:space="preserve"> </w:t>
      </w:r>
      <w:r w:rsidRPr="007500E4">
        <w:t>or</w:t>
      </w:r>
      <w:r w:rsidRPr="00DD07E1">
        <w:t xml:space="preserve"> incorporated association.</w:t>
      </w:r>
      <w:r w:rsidRPr="007500E4">
        <w:rPr>
          <w:rStyle w:val="FootnoteReference"/>
        </w:rPr>
        <w:footnoteReference w:id="121"/>
      </w:r>
      <w:r w:rsidRPr="00906572">
        <w:rPr>
          <w:position w:val="11"/>
          <w:sz w:val="16"/>
          <w:szCs w:val="16"/>
          <w:vertAlign w:val="superscript"/>
        </w:rPr>
        <w:t xml:space="preserve"> </w:t>
      </w:r>
      <w:r w:rsidR="00BA448E">
        <w:t xml:space="preserve"> </w:t>
      </w:r>
      <w:r w:rsidRPr="007500E4">
        <w:t xml:space="preserve">Section 47F(1) specifically extends to the personal information of deceased persons. </w:t>
      </w:r>
    </w:p>
    <w:p w14:paraId="3CC1C025" w14:textId="77777777" w:rsidR="00BB0A82" w:rsidRPr="003C51FC" w:rsidRDefault="00BB0A82" w:rsidP="002813D6">
      <w:pPr>
        <w:pStyle w:val="Heading3"/>
      </w:pPr>
      <w:bookmarkStart w:id="181" w:name="Unreasonable_disclosure"/>
      <w:bookmarkStart w:id="182" w:name="_bookmark50"/>
      <w:bookmarkStart w:id="183" w:name="_Toc11154503"/>
      <w:bookmarkStart w:id="184" w:name="_Toc141875231"/>
      <w:bookmarkStart w:id="185" w:name="_Hlk50041228"/>
      <w:bookmarkEnd w:id="181"/>
      <w:bookmarkEnd w:id="182"/>
      <w:r w:rsidRPr="003C51FC">
        <w:lastRenderedPageBreak/>
        <w:t>Unreasonable disclosure</w:t>
      </w:r>
      <w:bookmarkEnd w:id="183"/>
      <w:bookmarkEnd w:id="184"/>
    </w:p>
    <w:p w14:paraId="6FF5273A" w14:textId="6B0AE9A9" w:rsidR="00BB0A82" w:rsidRPr="007500E4" w:rsidRDefault="00BB0A82" w:rsidP="00B73860">
      <w:pPr>
        <w:pStyle w:val="NumberedParagraphs"/>
        <w:ind w:left="567"/>
      </w:pPr>
      <w:bookmarkStart w:id="186" w:name="_bookmark51"/>
      <w:bookmarkEnd w:id="186"/>
      <w:r w:rsidRPr="007500E4">
        <w:t>The</w:t>
      </w:r>
      <w:r w:rsidRPr="00DD07E1">
        <w:t xml:space="preserve"> personal privacy exemption </w:t>
      </w:r>
      <w:r w:rsidRPr="007500E4">
        <w:t>is</w:t>
      </w:r>
      <w:r w:rsidRPr="00DD07E1">
        <w:t xml:space="preserve"> designed </w:t>
      </w:r>
      <w:r w:rsidRPr="007500E4">
        <w:t>to</w:t>
      </w:r>
      <w:r w:rsidRPr="00DD07E1">
        <w:t xml:space="preserve"> prevent the unreasonable invasion </w:t>
      </w:r>
      <w:r w:rsidRPr="007500E4">
        <w:t>of</w:t>
      </w:r>
      <w:r w:rsidRPr="00DD07E1">
        <w:t xml:space="preserve"> </w:t>
      </w:r>
      <w:r w:rsidRPr="00DD07E1">
        <w:rPr>
          <w:rFonts w:cs="Calibri"/>
        </w:rPr>
        <w:t>third parties’ privacy.</w:t>
      </w:r>
      <w:r w:rsidRPr="00DD07E1">
        <w:rPr>
          <w:rStyle w:val="FootnoteReference"/>
          <w:rFonts w:cs="Calibri"/>
        </w:rPr>
        <w:footnoteReference w:id="122"/>
      </w:r>
      <w:r w:rsidR="00525075">
        <w:rPr>
          <w:rFonts w:cs="Calibri"/>
        </w:rPr>
        <w:t xml:space="preserve"> T</w:t>
      </w:r>
      <w:r w:rsidRPr="00DD07E1">
        <w:rPr>
          <w:rFonts w:cs="Calibri"/>
        </w:rPr>
        <w:t>he test of ‘unreasonableness’</w:t>
      </w:r>
      <w:r w:rsidRPr="007500E4">
        <w:rPr>
          <w:rFonts w:cs="Calibri"/>
        </w:rPr>
        <w:t xml:space="preserve"> implies</w:t>
      </w:r>
      <w:r w:rsidRPr="00DD07E1">
        <w:rPr>
          <w:rFonts w:cs="Calibri"/>
        </w:rPr>
        <w:t xml:space="preserve"> </w:t>
      </w:r>
      <w:r w:rsidRPr="007500E4">
        <w:rPr>
          <w:rFonts w:cs="Calibri"/>
        </w:rPr>
        <w:t>a</w:t>
      </w:r>
      <w:r w:rsidRPr="00DD07E1">
        <w:rPr>
          <w:rFonts w:cs="Calibri"/>
        </w:rPr>
        <w:t xml:space="preserve"> need to balance the public </w:t>
      </w:r>
      <w:r w:rsidRPr="00DD07E1">
        <w:t xml:space="preserve">interest in disclosure of government-held information and </w:t>
      </w:r>
      <w:r w:rsidRPr="007500E4">
        <w:t>the</w:t>
      </w:r>
      <w:r w:rsidRPr="00DD07E1">
        <w:t xml:space="preserve"> private interest in the privacy</w:t>
      </w:r>
      <w:r w:rsidRPr="00DD07E1">
        <w:rPr>
          <w:w w:val="99"/>
        </w:rPr>
        <w:t xml:space="preserve"> </w:t>
      </w:r>
      <w:r w:rsidRPr="007500E4">
        <w:t>of</w:t>
      </w:r>
      <w:r w:rsidRPr="00DD07E1">
        <w:t xml:space="preserve"> individuals. The test does not</w:t>
      </w:r>
      <w:r>
        <w:t>,</w:t>
      </w:r>
      <w:r w:rsidRPr="00DD07E1">
        <w:t xml:space="preserve"> however</w:t>
      </w:r>
      <w:r>
        <w:t>,</w:t>
      </w:r>
      <w:r w:rsidRPr="00DD07E1">
        <w:t xml:space="preserve"> amount to </w:t>
      </w:r>
      <w:r w:rsidRPr="007500E4">
        <w:t>the</w:t>
      </w:r>
      <w:r w:rsidRPr="00DD07E1">
        <w:t xml:space="preserve"> public interest test of</w:t>
      </w:r>
      <w:r w:rsidRPr="007500E4">
        <w:t xml:space="preserve"> s</w:t>
      </w:r>
      <w:r>
        <w:t> </w:t>
      </w:r>
      <w:r w:rsidRPr="00DD07E1">
        <w:t>11A(5),</w:t>
      </w:r>
      <w:r w:rsidRPr="00DD07E1">
        <w:rPr>
          <w:w w:val="99"/>
        </w:rPr>
        <w:t xml:space="preserve"> </w:t>
      </w:r>
      <w:r w:rsidRPr="00DD07E1">
        <w:t xml:space="preserve">which follows </w:t>
      </w:r>
      <w:r w:rsidRPr="007500E4">
        <w:t>later</w:t>
      </w:r>
      <w:r w:rsidRPr="00DD07E1">
        <w:t xml:space="preserve"> </w:t>
      </w:r>
      <w:r w:rsidRPr="007500E4">
        <w:t>in</w:t>
      </w:r>
      <w:r w:rsidRPr="00DD07E1">
        <w:t xml:space="preserve"> the decision</w:t>
      </w:r>
      <w:r w:rsidR="00BA448E">
        <w:t>-</w:t>
      </w:r>
      <w:r w:rsidRPr="00DD07E1">
        <w:t xml:space="preserve">making process. </w:t>
      </w:r>
      <w:r w:rsidRPr="007500E4">
        <w:t>It</w:t>
      </w:r>
      <w:r w:rsidRPr="00DD07E1">
        <w:t xml:space="preserve"> </w:t>
      </w:r>
      <w:r w:rsidRPr="007500E4">
        <w:t>is</w:t>
      </w:r>
      <w:r w:rsidRPr="00DD07E1">
        <w:t xml:space="preserve"> possible that the decision maker </w:t>
      </w:r>
      <w:r w:rsidRPr="007500E4">
        <w:t>may</w:t>
      </w:r>
      <w:r w:rsidRPr="00DD07E1">
        <w:t xml:space="preserve"> need </w:t>
      </w:r>
      <w:r w:rsidRPr="007500E4">
        <w:t>to</w:t>
      </w:r>
      <w:r w:rsidRPr="00DD07E1">
        <w:t xml:space="preserve"> consider one </w:t>
      </w:r>
      <w:r w:rsidRPr="007500E4">
        <w:t>or</w:t>
      </w:r>
      <w:r w:rsidRPr="00DD07E1">
        <w:t xml:space="preserve"> </w:t>
      </w:r>
      <w:r w:rsidRPr="007500E4">
        <w:t>more</w:t>
      </w:r>
      <w:r w:rsidRPr="00DD07E1">
        <w:t xml:space="preserve"> factors twice, once </w:t>
      </w:r>
      <w:r w:rsidRPr="007500E4">
        <w:t>to</w:t>
      </w:r>
      <w:r w:rsidRPr="00DD07E1">
        <w:t xml:space="preserve"> determine if </w:t>
      </w:r>
      <w:r w:rsidRPr="007500E4">
        <w:t>a</w:t>
      </w:r>
      <w:r w:rsidRPr="00DD07E1">
        <w:t xml:space="preserve"> projected effect </w:t>
      </w:r>
      <w:r w:rsidRPr="007500E4">
        <w:t>is</w:t>
      </w:r>
      <w:r w:rsidRPr="00DD07E1">
        <w:t xml:space="preserve"> unreasonable and </w:t>
      </w:r>
      <w:r w:rsidRPr="007500E4">
        <w:t>again</w:t>
      </w:r>
      <w:r w:rsidRPr="00DD07E1">
        <w:t xml:space="preserve"> when</w:t>
      </w:r>
      <w:r w:rsidRPr="007500E4">
        <w:t xml:space="preserve"> assessing</w:t>
      </w:r>
      <w:r w:rsidRPr="00DD07E1">
        <w:t xml:space="preserve"> the public interest balance.</w:t>
      </w:r>
    </w:p>
    <w:p w14:paraId="2AEEC978" w14:textId="77777777" w:rsidR="00BB0A82" w:rsidRPr="00DD07E1" w:rsidRDefault="00BB0A82" w:rsidP="00B73860">
      <w:pPr>
        <w:pStyle w:val="NumberedParagraphs"/>
        <w:ind w:left="567"/>
        <w:rPr>
          <w:rFonts w:cs="Calibri"/>
        </w:rPr>
      </w:pPr>
      <w:r w:rsidRPr="00DD07E1">
        <w:t xml:space="preserve">In considering what is unreasonable, the AAT in </w:t>
      </w:r>
      <w:r w:rsidRPr="00DD07E1">
        <w:rPr>
          <w:i/>
        </w:rPr>
        <w:t>Re Chandra and Minister for</w:t>
      </w:r>
      <w:r w:rsidRPr="00DD07E1">
        <w:rPr>
          <w:i/>
          <w:w w:val="99"/>
        </w:rPr>
        <w:t xml:space="preserve"> </w:t>
      </w:r>
      <w:r w:rsidRPr="00DD07E1">
        <w:rPr>
          <w:i/>
        </w:rPr>
        <w:t xml:space="preserve">Immigration and Ethnic Affairs </w:t>
      </w:r>
      <w:r w:rsidRPr="00DD07E1">
        <w:t>stated that:</w:t>
      </w:r>
    </w:p>
    <w:p w14:paraId="25B3BB90" w14:textId="77777777" w:rsidR="00BB0A82" w:rsidRPr="00DD07E1" w:rsidRDefault="00BB0A82" w:rsidP="003704DE">
      <w:pPr>
        <w:pStyle w:val="BlockText"/>
        <w:ind w:left="851"/>
      </w:pPr>
      <w:r w:rsidRPr="00DD07E1">
        <w:t xml:space="preserve">... whether a disclosure is </w:t>
      </w:r>
      <w:r w:rsidRPr="00DD07E1">
        <w:rPr>
          <w:rFonts w:cs="Calibri"/>
        </w:rPr>
        <w:t xml:space="preserve">‘unreasonable’ requires … a consideration of all the </w:t>
      </w:r>
      <w:r w:rsidRPr="00DD07E1">
        <w:t>circumstances, including the nature of the information that would be disclosed, the</w:t>
      </w:r>
      <w:r w:rsidRPr="00DD07E1">
        <w:rPr>
          <w:w w:val="99"/>
        </w:rPr>
        <w:t xml:space="preserve"> </w:t>
      </w:r>
      <w:r w:rsidRPr="00DD07E1">
        <w:t>circumstances in which the information was obtained, the likelihood of the</w:t>
      </w:r>
      <w:r w:rsidRPr="00DD07E1">
        <w:rPr>
          <w:w w:val="99"/>
        </w:rPr>
        <w:t xml:space="preserve"> </w:t>
      </w:r>
      <w:r w:rsidRPr="00DD07E1">
        <w:t>information being information that the person concerned would not wish to have</w:t>
      </w:r>
      <w:r w:rsidRPr="00DD07E1">
        <w:rPr>
          <w:rFonts w:cs="Calibri"/>
        </w:rPr>
        <w:t xml:space="preserve"> disclosed without consent, and whether the information has any current relevance … </w:t>
      </w:r>
      <w:r w:rsidRPr="00DD07E1">
        <w:t>it is also necessary in my view to take into consideration the public interest</w:t>
      </w:r>
      <w:r w:rsidRPr="00DD07E1">
        <w:rPr>
          <w:w w:val="99"/>
        </w:rPr>
        <w:t xml:space="preserve"> </w:t>
      </w:r>
      <w:r w:rsidRPr="00DD07E1">
        <w:t>recognis</w:t>
      </w:r>
      <w:r w:rsidRPr="00DD07E1">
        <w:rPr>
          <w:rFonts w:cs="Calibri"/>
        </w:rPr>
        <w:t xml:space="preserve">ed by the Act in the disclosure of information … and to weigh that interest in </w:t>
      </w:r>
      <w:r w:rsidRPr="00DD07E1">
        <w:t>the balance against the public interest in protecting the personal privacy of a third party ...</w:t>
      </w:r>
      <w:r w:rsidRPr="00DD07E1">
        <w:rPr>
          <w:rStyle w:val="FootnoteReference"/>
          <w:szCs w:val="22"/>
        </w:rPr>
        <w:footnoteReference w:id="123"/>
      </w:r>
    </w:p>
    <w:p w14:paraId="7B2F5B46" w14:textId="77777777" w:rsidR="00BB0A82" w:rsidRPr="007500E4" w:rsidRDefault="00BB0A82" w:rsidP="00B73860">
      <w:pPr>
        <w:pStyle w:val="NumberedParagraphs"/>
        <w:ind w:left="567"/>
      </w:pPr>
      <w:r w:rsidRPr="007500E4">
        <w:t>An</w:t>
      </w:r>
      <w:r w:rsidRPr="00DD07E1">
        <w:t xml:space="preserve"> agency </w:t>
      </w:r>
      <w:r w:rsidRPr="007500E4">
        <w:t>or</w:t>
      </w:r>
      <w:r w:rsidRPr="00DD07E1">
        <w:t xml:space="preserve"> minister must </w:t>
      </w:r>
      <w:r w:rsidRPr="007500E4">
        <w:t>have</w:t>
      </w:r>
      <w:r w:rsidRPr="00DD07E1">
        <w:t xml:space="preserve"> regard </w:t>
      </w:r>
      <w:r w:rsidRPr="007500E4">
        <w:t>to</w:t>
      </w:r>
      <w:r w:rsidRPr="00DD07E1">
        <w:t xml:space="preserve"> the following matters </w:t>
      </w:r>
      <w:r w:rsidRPr="007500E4">
        <w:t>in</w:t>
      </w:r>
      <w:r w:rsidRPr="00DD07E1">
        <w:t xml:space="preserve"> determining</w:t>
      </w:r>
      <w:r w:rsidRPr="00DD07E1">
        <w:rPr>
          <w:w w:val="99"/>
        </w:rPr>
        <w:t xml:space="preserve"> </w:t>
      </w:r>
      <w:r w:rsidRPr="00DD07E1">
        <w:t xml:space="preserve">whether disclosure </w:t>
      </w:r>
      <w:r w:rsidRPr="007500E4">
        <w:t>of</w:t>
      </w:r>
      <w:r w:rsidRPr="00DD07E1">
        <w:t xml:space="preserve"> the document would involve </w:t>
      </w:r>
      <w:r w:rsidRPr="007500E4">
        <w:t>an</w:t>
      </w:r>
      <w:r w:rsidRPr="00DD07E1">
        <w:t xml:space="preserve"> unreasonable disclosure </w:t>
      </w:r>
      <w:r w:rsidRPr="007500E4">
        <w:t>of</w:t>
      </w:r>
      <w:r w:rsidRPr="00DD07E1">
        <w:t xml:space="preserve"> personal information:</w:t>
      </w:r>
    </w:p>
    <w:p w14:paraId="19361E5A" w14:textId="77777777" w:rsidR="00E44CBF" w:rsidRPr="00E44CBF" w:rsidRDefault="00BB0A82" w:rsidP="003704DE">
      <w:pPr>
        <w:pStyle w:val="List"/>
        <w:numPr>
          <w:ilvl w:val="0"/>
          <w:numId w:val="40"/>
        </w:numPr>
        <w:ind w:left="851" w:hanging="284"/>
        <w:rPr>
          <w:sz w:val="16"/>
          <w:szCs w:val="16"/>
        </w:rPr>
      </w:pPr>
      <w:r w:rsidRPr="007500E4">
        <w:t>the</w:t>
      </w:r>
      <w:r w:rsidRPr="00DD07E1">
        <w:t xml:space="preserve"> extent </w:t>
      </w:r>
      <w:r w:rsidRPr="007500E4">
        <w:t>to</w:t>
      </w:r>
      <w:r w:rsidRPr="00DD07E1">
        <w:t xml:space="preserve"> which the information </w:t>
      </w:r>
      <w:r w:rsidRPr="007500E4">
        <w:t>is</w:t>
      </w:r>
      <w:r w:rsidRPr="00DD07E1">
        <w:t xml:space="preserve"> well known</w:t>
      </w:r>
    </w:p>
    <w:p w14:paraId="792C3E36" w14:textId="77777777" w:rsidR="00E44CBF" w:rsidRPr="00E44CBF" w:rsidRDefault="00BB0A82" w:rsidP="003704DE">
      <w:pPr>
        <w:pStyle w:val="List"/>
        <w:numPr>
          <w:ilvl w:val="0"/>
          <w:numId w:val="40"/>
        </w:numPr>
        <w:ind w:left="851" w:hanging="284"/>
        <w:rPr>
          <w:sz w:val="16"/>
          <w:szCs w:val="16"/>
        </w:rPr>
      </w:pPr>
      <w:r w:rsidRPr="00DD07E1">
        <w:t xml:space="preserve">whether the person </w:t>
      </w:r>
      <w:r w:rsidRPr="007500E4">
        <w:t>to</w:t>
      </w:r>
      <w:r w:rsidRPr="00DD07E1">
        <w:t xml:space="preserve"> whom </w:t>
      </w:r>
      <w:r w:rsidRPr="007500E4">
        <w:t>the</w:t>
      </w:r>
      <w:r w:rsidRPr="00DD07E1">
        <w:t xml:space="preserve"> information relates </w:t>
      </w:r>
      <w:r w:rsidRPr="007500E4">
        <w:t>is</w:t>
      </w:r>
      <w:r w:rsidRPr="00DD07E1">
        <w:t xml:space="preserve"> known </w:t>
      </w:r>
      <w:r w:rsidRPr="007500E4">
        <w:t>to</w:t>
      </w:r>
      <w:r w:rsidRPr="00DD07E1">
        <w:t xml:space="preserve"> </w:t>
      </w:r>
      <w:r w:rsidRPr="007500E4">
        <w:t>be</w:t>
      </w:r>
      <w:r w:rsidRPr="00DD07E1">
        <w:t xml:space="preserve"> (or to </w:t>
      </w:r>
      <w:r w:rsidRPr="007500E4">
        <w:t>have</w:t>
      </w:r>
      <w:r w:rsidRPr="00E44CBF">
        <w:rPr>
          <w:w w:val="99"/>
        </w:rPr>
        <w:t xml:space="preserve"> </w:t>
      </w:r>
      <w:r w:rsidRPr="007500E4">
        <w:t>been)</w:t>
      </w:r>
      <w:r w:rsidRPr="00DD07E1">
        <w:t xml:space="preserve"> associated with the matters dealt with in the document</w:t>
      </w:r>
    </w:p>
    <w:p w14:paraId="2399E96A" w14:textId="77777777" w:rsidR="00E44CBF" w:rsidRPr="00E44CBF" w:rsidRDefault="00BB0A82" w:rsidP="003704DE">
      <w:pPr>
        <w:pStyle w:val="List"/>
        <w:numPr>
          <w:ilvl w:val="0"/>
          <w:numId w:val="40"/>
        </w:numPr>
        <w:ind w:left="851" w:hanging="284"/>
        <w:rPr>
          <w:sz w:val="16"/>
          <w:szCs w:val="16"/>
        </w:rPr>
      </w:pPr>
      <w:r w:rsidRPr="007500E4">
        <w:t>the</w:t>
      </w:r>
      <w:r w:rsidRPr="00DD07E1">
        <w:t xml:space="preserve"> availability of </w:t>
      </w:r>
      <w:r w:rsidRPr="007500E4">
        <w:t>the</w:t>
      </w:r>
      <w:r w:rsidRPr="00DD07E1">
        <w:t xml:space="preserve"> information </w:t>
      </w:r>
      <w:r w:rsidRPr="007500E4">
        <w:t>from</w:t>
      </w:r>
      <w:r w:rsidRPr="00DD07E1">
        <w:t xml:space="preserve"> publicly accessible sources</w:t>
      </w:r>
      <w:r w:rsidRPr="007500E4">
        <w:rPr>
          <w:rStyle w:val="FootnoteReference"/>
        </w:rPr>
        <w:footnoteReference w:id="124"/>
      </w:r>
    </w:p>
    <w:p w14:paraId="14465AED" w14:textId="315BA371" w:rsidR="00E44CBF" w:rsidRPr="00E44CBF" w:rsidRDefault="00BB0A82" w:rsidP="003704DE">
      <w:pPr>
        <w:pStyle w:val="List"/>
        <w:numPr>
          <w:ilvl w:val="0"/>
          <w:numId w:val="40"/>
        </w:numPr>
        <w:ind w:left="851" w:hanging="284"/>
        <w:rPr>
          <w:sz w:val="16"/>
          <w:szCs w:val="16"/>
        </w:rPr>
      </w:pPr>
      <w:r w:rsidRPr="007500E4">
        <w:t>any</w:t>
      </w:r>
      <w:r w:rsidRPr="00DD07E1">
        <w:t xml:space="preserve"> other matters that the agency </w:t>
      </w:r>
      <w:r w:rsidRPr="007500E4">
        <w:t>or</w:t>
      </w:r>
      <w:r w:rsidRPr="00DD07E1">
        <w:t xml:space="preserve"> minister considers relevant (s 47F(2)).</w:t>
      </w:r>
      <w:r w:rsidRPr="007500E4">
        <w:rPr>
          <w:rStyle w:val="FootnoteReference"/>
        </w:rPr>
        <w:footnoteReference w:id="125"/>
      </w:r>
    </w:p>
    <w:p w14:paraId="596F9DA7" w14:textId="77777777" w:rsidR="00BB0A82" w:rsidRPr="007500E4" w:rsidRDefault="00BB0A82" w:rsidP="00B73860">
      <w:pPr>
        <w:pStyle w:val="NumberedParagraphs"/>
        <w:ind w:left="567"/>
      </w:pPr>
      <w:r w:rsidRPr="007500E4">
        <w:t>These</w:t>
      </w:r>
      <w:r w:rsidRPr="00DD07E1">
        <w:t xml:space="preserve"> </w:t>
      </w:r>
      <w:r w:rsidRPr="007500E4">
        <w:t>are</w:t>
      </w:r>
      <w:r w:rsidRPr="00DD07E1">
        <w:t xml:space="preserve"> the same matters that must be taken into account for </w:t>
      </w:r>
      <w:r w:rsidRPr="007500E4">
        <w:t>the</w:t>
      </w:r>
      <w:r w:rsidRPr="00DD07E1">
        <w:t xml:space="preserve"> purposes </w:t>
      </w:r>
      <w:r w:rsidRPr="007500E4">
        <w:t>of</w:t>
      </w:r>
      <w:r w:rsidRPr="00DD07E1">
        <w:t xml:space="preserve"> consulting an affected third party under </w:t>
      </w:r>
      <w:r w:rsidRPr="007500E4">
        <w:t>s</w:t>
      </w:r>
      <w:r w:rsidRPr="00DD07E1">
        <w:t xml:space="preserve"> 27</w:t>
      </w:r>
      <w:proofErr w:type="gramStart"/>
      <w:r w:rsidRPr="00DD07E1">
        <w:t>A(</w:t>
      </w:r>
      <w:proofErr w:type="gramEnd"/>
      <w:r w:rsidRPr="00DD07E1">
        <w:t>2).</w:t>
      </w:r>
    </w:p>
    <w:p w14:paraId="29FFE490" w14:textId="77777777" w:rsidR="00BB0A82" w:rsidRPr="00F25E99" w:rsidRDefault="00BB0A82" w:rsidP="00B73860">
      <w:pPr>
        <w:pStyle w:val="NumberedParagraphs"/>
        <w:ind w:left="567"/>
      </w:pPr>
      <w:r w:rsidRPr="00F25E99">
        <w:t>Key factors for determining whether disclosure is unreasonable include:</w:t>
      </w:r>
    </w:p>
    <w:p w14:paraId="72633777" w14:textId="77777777" w:rsidR="00E44CBF" w:rsidRPr="00E44CBF" w:rsidRDefault="00BB0A82" w:rsidP="003704DE">
      <w:pPr>
        <w:pStyle w:val="List"/>
        <w:numPr>
          <w:ilvl w:val="0"/>
          <w:numId w:val="44"/>
        </w:numPr>
        <w:ind w:left="993" w:hanging="426"/>
        <w:rPr>
          <w:sz w:val="16"/>
          <w:szCs w:val="16"/>
        </w:rPr>
      </w:pPr>
      <w:r w:rsidRPr="00F25E99">
        <w:t>the author of the document is identifiable</w:t>
      </w:r>
      <w:r w:rsidRPr="00F25E99">
        <w:rPr>
          <w:rStyle w:val="FootnoteReference"/>
        </w:rPr>
        <w:footnoteReference w:id="126"/>
      </w:r>
    </w:p>
    <w:p w14:paraId="2C9F1D6F" w14:textId="77777777" w:rsidR="00E44CBF" w:rsidRPr="00E44CBF" w:rsidRDefault="00BB0A82" w:rsidP="003704DE">
      <w:pPr>
        <w:pStyle w:val="List"/>
        <w:numPr>
          <w:ilvl w:val="0"/>
          <w:numId w:val="44"/>
        </w:numPr>
        <w:ind w:left="993" w:hanging="426"/>
        <w:rPr>
          <w:sz w:val="16"/>
          <w:szCs w:val="16"/>
        </w:rPr>
      </w:pPr>
      <w:r w:rsidRPr="00F25E99">
        <w:lastRenderedPageBreak/>
        <w:t>the documents contain third party personal information</w:t>
      </w:r>
    </w:p>
    <w:p w14:paraId="779F43E9" w14:textId="77777777" w:rsidR="00E44CBF" w:rsidRPr="00E44CBF" w:rsidRDefault="00BB0A82" w:rsidP="003704DE">
      <w:pPr>
        <w:pStyle w:val="List"/>
        <w:numPr>
          <w:ilvl w:val="0"/>
          <w:numId w:val="44"/>
        </w:numPr>
        <w:ind w:left="993" w:hanging="426"/>
        <w:rPr>
          <w:sz w:val="16"/>
          <w:szCs w:val="16"/>
        </w:rPr>
      </w:pPr>
      <w:r w:rsidRPr="00F25E99">
        <w:t>release of the documents would cause stress on the third party</w:t>
      </w:r>
    </w:p>
    <w:p w14:paraId="4CFDB97A" w14:textId="6F38F86C" w:rsidR="00BB0A82" w:rsidRPr="00E44CBF" w:rsidRDefault="00BB0A82" w:rsidP="003704DE">
      <w:pPr>
        <w:pStyle w:val="List"/>
        <w:numPr>
          <w:ilvl w:val="0"/>
          <w:numId w:val="44"/>
        </w:numPr>
        <w:ind w:left="993" w:hanging="426"/>
        <w:rPr>
          <w:sz w:val="16"/>
          <w:szCs w:val="16"/>
        </w:rPr>
      </w:pPr>
      <w:r w:rsidRPr="00F25E99">
        <w:t>no public purpose would be achieved through release.</w:t>
      </w:r>
      <w:r w:rsidRPr="00F25E99">
        <w:rPr>
          <w:rStyle w:val="FootnoteReference"/>
        </w:rPr>
        <w:footnoteReference w:id="127"/>
      </w:r>
    </w:p>
    <w:p w14:paraId="3CC15A88" w14:textId="77777777" w:rsidR="00BB0A82" w:rsidRPr="00EB5DBF" w:rsidRDefault="00BB0A82" w:rsidP="00B73860">
      <w:pPr>
        <w:pStyle w:val="NumberedParagraphs"/>
        <w:ind w:left="567"/>
      </w:pPr>
      <w:r w:rsidRPr="00EB5DBF">
        <w:t>As discussed in the lead</w:t>
      </w:r>
      <w:r>
        <w:t>ing</w:t>
      </w:r>
      <w:r w:rsidRPr="00EB5DBF">
        <w:t xml:space="preserve"> s 47F IC review </w:t>
      </w:r>
      <w:r>
        <w:t>decision</w:t>
      </w:r>
      <w:r w:rsidRPr="00EB5DBF">
        <w:t xml:space="preserve"> of </w:t>
      </w:r>
      <w:r w:rsidRPr="00EB5DBF">
        <w:rPr>
          <w:i/>
        </w:rPr>
        <w:t>‘FG’ and National Archives of Australia</w:t>
      </w:r>
      <w:r w:rsidRPr="00EB5DBF">
        <w:t xml:space="preserve"> [2015] AICmr 26, </w:t>
      </w:r>
      <w:r w:rsidRPr="00F25E99">
        <w:t>other factors considered to be relevant include:</w:t>
      </w:r>
    </w:p>
    <w:p w14:paraId="60BAEBBF" w14:textId="24001E71" w:rsidR="00BB0A82" w:rsidRPr="00F25E99" w:rsidRDefault="00BB0A82" w:rsidP="003704DE">
      <w:pPr>
        <w:pStyle w:val="IndentBullet1"/>
        <w:ind w:left="993" w:hanging="426"/>
      </w:pPr>
      <w:r w:rsidRPr="00F25E99">
        <w:t>the nature, age and current relevance of the information</w:t>
      </w:r>
    </w:p>
    <w:p w14:paraId="7DF2DE24" w14:textId="77777777" w:rsidR="00BB0A82" w:rsidRPr="00F25E99" w:rsidRDefault="00BB0A82" w:rsidP="003704DE">
      <w:pPr>
        <w:pStyle w:val="IndentBullet1"/>
        <w:ind w:left="993" w:hanging="426"/>
      </w:pPr>
      <w:r w:rsidRPr="00F25E99">
        <w:t>any detriment that disclosure may cause to the person to whom the information relates</w:t>
      </w:r>
    </w:p>
    <w:p w14:paraId="69411086" w14:textId="77777777" w:rsidR="00BB0A82" w:rsidRPr="00F25E99" w:rsidRDefault="00BB0A82" w:rsidP="003704DE">
      <w:pPr>
        <w:pStyle w:val="IndentBullet1"/>
        <w:ind w:left="993" w:hanging="426"/>
      </w:pPr>
      <w:r w:rsidRPr="00F25E99">
        <w:t>any opposition to disclosure expressed or likely to be held by that person</w:t>
      </w:r>
    </w:p>
    <w:p w14:paraId="0023D1DB" w14:textId="77777777" w:rsidR="00BB0A82" w:rsidRPr="00F25E99" w:rsidRDefault="00BB0A82" w:rsidP="003704DE">
      <w:pPr>
        <w:pStyle w:val="IndentBullet1"/>
        <w:ind w:left="993" w:hanging="426"/>
      </w:pPr>
      <w:r w:rsidRPr="00F25E99">
        <w:t>the circumstances of an agency’s collection and use of the information</w:t>
      </w:r>
    </w:p>
    <w:p w14:paraId="7936649E" w14:textId="77777777" w:rsidR="00BB0A82" w:rsidRPr="006F6D6E" w:rsidRDefault="00BB0A82" w:rsidP="003704DE">
      <w:pPr>
        <w:pStyle w:val="IndentBullet1"/>
        <w:ind w:left="993" w:hanging="426"/>
        <w:rPr>
          <w:sz w:val="16"/>
          <w:szCs w:val="16"/>
        </w:rPr>
      </w:pPr>
      <w:r w:rsidRPr="006F6D6E">
        <w:t>the fact that the FOI Act does not control or restrict any subsequent use or dissemination of information</w:t>
      </w:r>
      <w:r>
        <w:t xml:space="preserve"> released under the FOI Act</w:t>
      </w:r>
    </w:p>
    <w:p w14:paraId="36BF0C18" w14:textId="1CB2DAED" w:rsidR="00BB0A82" w:rsidRPr="00F25E99" w:rsidRDefault="00BB0A82" w:rsidP="003704DE">
      <w:pPr>
        <w:pStyle w:val="IndentBullet1"/>
        <w:ind w:left="993" w:hanging="426"/>
      </w:pPr>
      <w:r w:rsidRPr="00670843">
        <w:t>any submission an FOI applicant chooses to make in support of their application as to their reasons for seeking access and their intended or likely use or dissemination of the information</w:t>
      </w:r>
      <w:r>
        <w:t xml:space="preserve"> and</w:t>
      </w:r>
    </w:p>
    <w:p w14:paraId="5A3FBEF9" w14:textId="77777777" w:rsidR="00BB0A82" w:rsidRPr="00EB5DBF" w:rsidRDefault="00BB0A82" w:rsidP="003704DE">
      <w:pPr>
        <w:pStyle w:val="IndentBullet1"/>
        <w:ind w:left="993" w:hanging="426"/>
      </w:pPr>
      <w:r w:rsidRPr="00A54A58">
        <w:t>whether disclosure of the information might advance the public interest in government transparency and integrity</w:t>
      </w:r>
      <w:r w:rsidRPr="00EB5DBF">
        <w:t>.</w:t>
      </w:r>
      <w:r w:rsidRPr="00EB5DBF">
        <w:rPr>
          <w:rStyle w:val="FootnoteReference"/>
        </w:rPr>
        <w:footnoteReference w:id="128"/>
      </w:r>
    </w:p>
    <w:p w14:paraId="5A8E3085" w14:textId="7E4A9AA1" w:rsidR="00BB0A82" w:rsidRPr="007500E4" w:rsidRDefault="00A653E4" w:rsidP="00B73860">
      <w:pPr>
        <w:pStyle w:val="NumberedParagraphs"/>
        <w:ind w:left="567"/>
        <w:rPr>
          <w:sz w:val="16"/>
          <w:szCs w:val="16"/>
        </w:rPr>
      </w:pPr>
      <w:r>
        <w:t>The former Australian Information Commissioner</w:t>
      </w:r>
      <w:r w:rsidR="0070676B">
        <w:t>, Professor John Mc</w:t>
      </w:r>
      <w:r w:rsidR="001C1681">
        <w:t>M</w:t>
      </w:r>
      <w:r w:rsidR="0070676B">
        <w:t>illan,</w:t>
      </w:r>
      <w:r>
        <w:t xml:space="preserve"> </w:t>
      </w:r>
      <w:r w:rsidR="0070676B">
        <w:t xml:space="preserve">in the leading </w:t>
      </w:r>
      <w:r w:rsidR="001C1681">
        <w:t xml:space="preserve">IC review decision </w:t>
      </w:r>
      <w:r w:rsidR="0070676B">
        <w:t>on s 47F</w:t>
      </w:r>
      <w:r w:rsidR="00D97E81">
        <w:t>,</w:t>
      </w:r>
      <w:r w:rsidR="00EC614E">
        <w:t xml:space="preserve"> </w:t>
      </w:r>
      <w:r w:rsidR="0014772F" w:rsidRPr="000B324A">
        <w:rPr>
          <w:i/>
          <w:iCs/>
        </w:rPr>
        <w:t>‘BA’ and Merit Protection Commissioner</w:t>
      </w:r>
      <w:r w:rsidR="0014772F" w:rsidRPr="0043786E">
        <w:t xml:space="preserve"> </w:t>
      </w:r>
      <w:hyperlink r:id="rId11" w:history="1">
        <w:r w:rsidR="0014772F" w:rsidRPr="00FD6609">
          <w:rPr>
            <w:rStyle w:val="Hyperlink"/>
            <w:color w:val="007BAB" w:themeColor="text2" w:themeTint="BF"/>
          </w:rPr>
          <w:t>[2014] AICmr 9</w:t>
        </w:r>
      </w:hyperlink>
      <w:r w:rsidR="0070676B">
        <w:t>,</w:t>
      </w:r>
      <w:r w:rsidR="0014772F">
        <w:rPr>
          <w:rStyle w:val="FootnoteReference"/>
        </w:rPr>
        <w:footnoteReference w:id="129"/>
      </w:r>
      <w:r w:rsidR="0070676B">
        <w:t xml:space="preserve"> cited</w:t>
      </w:r>
      <w:r w:rsidR="00EC614E">
        <w:t xml:space="preserve"> He</w:t>
      </w:r>
      <w:r w:rsidR="00D97E81">
        <w:t>e</w:t>
      </w:r>
      <w:r w:rsidR="00EC614E">
        <w:t>r</w:t>
      </w:r>
      <w:r w:rsidR="00D97E81">
        <w:t>e</w:t>
      </w:r>
      <w:r w:rsidR="00EC614E">
        <w:t xml:space="preserve">y J in </w:t>
      </w:r>
      <w:r w:rsidR="00BB0A82" w:rsidRPr="00DD07E1">
        <w:rPr>
          <w:rFonts w:cs="Calibri"/>
          <w:i/>
        </w:rPr>
        <w:t>Colakovski v Australian Telecommunications Corp</w:t>
      </w:r>
      <w:r w:rsidR="00D97E81">
        <w:rPr>
          <w:rFonts w:cs="Calibri"/>
          <w:i/>
        </w:rPr>
        <w:t>oration</w:t>
      </w:r>
      <w:r w:rsidR="00BB0A82" w:rsidRPr="00DD07E1">
        <w:rPr>
          <w:rFonts w:cs="Calibri"/>
        </w:rPr>
        <w:t xml:space="preserve"> </w:t>
      </w:r>
      <w:r w:rsidR="00DB32FE">
        <w:rPr>
          <w:rFonts w:cs="Calibri"/>
        </w:rPr>
        <w:t xml:space="preserve">who considered </w:t>
      </w:r>
      <w:r w:rsidR="00BB0A82" w:rsidRPr="00DD07E1">
        <w:rPr>
          <w:rFonts w:cs="Calibri"/>
        </w:rPr>
        <w:t>that ‘</w:t>
      </w:r>
      <w:r w:rsidR="00AD360F">
        <w:rPr>
          <w:rFonts w:cs="Calibri"/>
        </w:rPr>
        <w:t>…</w:t>
      </w:r>
      <w:r w:rsidR="00BB0A82" w:rsidRPr="00DD07E1">
        <w:rPr>
          <w:rFonts w:cs="Calibri"/>
        </w:rPr>
        <w:t xml:space="preserve"> </w:t>
      </w:r>
      <w:r w:rsidR="00BB0A82" w:rsidRPr="00DD07E1">
        <w:t>if the information disclos</w:t>
      </w:r>
      <w:r w:rsidR="00D97E81">
        <w:t>ed</w:t>
      </w:r>
      <w:r w:rsidR="00BB0A82" w:rsidRPr="00DD07E1">
        <w:t xml:space="preserve"> were of no demonstrable relevance to the</w:t>
      </w:r>
      <w:r w:rsidR="00BB0A82" w:rsidRPr="00DD07E1">
        <w:rPr>
          <w:w w:val="99"/>
        </w:rPr>
        <w:t xml:space="preserve"> </w:t>
      </w:r>
      <w:r w:rsidR="00BB0A82" w:rsidRPr="00DD07E1">
        <w:t>affairs of government and was likely to do no more than excite or satisfy the curiosity of people about the person</w:t>
      </w:r>
      <w:r w:rsidR="0082628D">
        <w:t>al affairs of the person</w:t>
      </w:r>
      <w:r w:rsidR="00BB0A82" w:rsidRPr="00DD07E1">
        <w:t xml:space="preserve"> whose personal affairs were disclosed ... disclosure would be</w:t>
      </w:r>
      <w:r w:rsidR="00BB0A82" w:rsidRPr="00DD07E1">
        <w:rPr>
          <w:w w:val="99"/>
        </w:rPr>
        <w:t xml:space="preserve"> </w:t>
      </w:r>
      <w:r w:rsidR="00BB0A82" w:rsidRPr="00DD07E1">
        <w:rPr>
          <w:rFonts w:cs="Calibri"/>
        </w:rPr>
        <w:t>unreasonable’</w:t>
      </w:r>
      <w:r w:rsidR="00BB0A82" w:rsidRPr="00DD07E1">
        <w:t>.</w:t>
      </w:r>
      <w:r w:rsidR="00BB0A82" w:rsidRPr="00DD07E1">
        <w:rPr>
          <w:rStyle w:val="FootnoteReference"/>
        </w:rPr>
        <w:footnoteReference w:id="130"/>
      </w:r>
      <w:r w:rsidR="00BB0A82" w:rsidRPr="00DD07E1">
        <w:t xml:space="preserve"> </w:t>
      </w:r>
      <w:r w:rsidR="00AD360F">
        <w:t xml:space="preserve">Professor McMillan explained that this </w:t>
      </w:r>
      <w:r w:rsidR="00BB0A82" w:rsidRPr="00DD07E1">
        <w:t xml:space="preserve">illustrates how the object of the FOI Act </w:t>
      </w:r>
      <w:r w:rsidR="00AC23C5">
        <w:t>to</w:t>
      </w:r>
      <w:r w:rsidR="00BB0A82" w:rsidRPr="00DD07E1">
        <w:t xml:space="preserve"> promot</w:t>
      </w:r>
      <w:r w:rsidR="00AC23C5">
        <w:t>e</w:t>
      </w:r>
      <w:r w:rsidR="00BB0A82" w:rsidRPr="00DD07E1">
        <w:t xml:space="preserve"> transparency in government processes and activities needs to be balanced with the purpose of s 47F to protect personal privacy, although care is needed to ensure that an FOI applicant is not expected to explain their reason for access contrary to s 11(2).</w:t>
      </w:r>
      <w:r w:rsidR="00BB0A82" w:rsidRPr="00DD07E1">
        <w:rPr>
          <w:rStyle w:val="FootnoteReference"/>
        </w:rPr>
        <w:footnoteReference w:id="131"/>
      </w:r>
    </w:p>
    <w:p w14:paraId="1BE844E5" w14:textId="7CD683AF" w:rsidR="00BB0A82" w:rsidRPr="00DD07E1" w:rsidRDefault="00BB0A82" w:rsidP="00B73860">
      <w:pPr>
        <w:pStyle w:val="NumberedParagraphs"/>
        <w:ind w:left="567"/>
      </w:pPr>
      <w:r w:rsidRPr="00DD07E1">
        <w:t>Disclosure that supports effective oversight of government expenditure may not be unreasonable, particularly if the person to whom the personal information relates may have reasonably expected that the information would be open to public scrutiny in future.</w:t>
      </w:r>
      <w:r w:rsidRPr="00DD07E1">
        <w:rPr>
          <w:rStyle w:val="FootnoteReference"/>
        </w:rPr>
        <w:footnoteReference w:id="132"/>
      </w:r>
      <w:r w:rsidRPr="00DD07E1">
        <w:t xml:space="preserve"> </w:t>
      </w:r>
      <w:r w:rsidR="007025F2" w:rsidRPr="00ED6DED">
        <w:t xml:space="preserve">It may not be unreasonable to disclose work related travel expense claims for a named government employee if this would advance the public interest in government transparency and integrity around the use of </w:t>
      </w:r>
      <w:r w:rsidR="00767C98">
        <w:t>Australian Government</w:t>
      </w:r>
      <w:r w:rsidR="007025F2" w:rsidRPr="00ED6DED">
        <w:t xml:space="preserve"> resources</w:t>
      </w:r>
      <w:r w:rsidR="007025F2">
        <w:t>.</w:t>
      </w:r>
      <w:r w:rsidR="007025F2">
        <w:rPr>
          <w:rStyle w:val="FootnoteReference"/>
        </w:rPr>
        <w:footnoteReference w:id="133"/>
      </w:r>
      <w:r w:rsidR="007025F2">
        <w:t xml:space="preserve"> </w:t>
      </w:r>
      <w:r w:rsidRPr="00DD07E1">
        <w:t xml:space="preserve">On the other hand, disclosure may be unreasonable if the person provided the information to Government on </w:t>
      </w:r>
      <w:r w:rsidRPr="00DD07E1">
        <w:lastRenderedPageBreak/>
        <w:t>the understanding that it would not be made publicly available, and there are no other statutory disclosure frameworks that would require release of the information.</w:t>
      </w:r>
      <w:r w:rsidRPr="00DD07E1">
        <w:rPr>
          <w:rStyle w:val="FootnoteReference"/>
        </w:rPr>
        <w:footnoteReference w:id="134"/>
      </w:r>
    </w:p>
    <w:p w14:paraId="38A7D238" w14:textId="224DAE68" w:rsidR="00BB0A82" w:rsidRPr="00DD07E1" w:rsidRDefault="00D033A7" w:rsidP="00B73860">
      <w:pPr>
        <w:pStyle w:val="NumberedParagraphs"/>
        <w:ind w:left="567"/>
      </w:pPr>
      <w:r>
        <w:t>The</w:t>
      </w:r>
      <w:r w:rsidR="00BB0A82" w:rsidRPr="00DD07E1">
        <w:t xml:space="preserve"> motives and identity of the applicant </w:t>
      </w:r>
      <w:r>
        <w:t>may be</w:t>
      </w:r>
      <w:r w:rsidR="00BB0A82" w:rsidRPr="00DD07E1">
        <w:t xml:space="preserve"> relevant when considering</w:t>
      </w:r>
      <w:r w:rsidR="00BB0A82" w:rsidRPr="00DD07E1">
        <w:rPr>
          <w:w w:val="99"/>
        </w:rPr>
        <w:t xml:space="preserve"> </w:t>
      </w:r>
      <w:r w:rsidR="00BB0A82" w:rsidRPr="00DD07E1">
        <w:t>unreasonableness.</w:t>
      </w:r>
      <w:r w:rsidR="00BB0A82" w:rsidRPr="00DD07E1">
        <w:rPr>
          <w:rStyle w:val="FootnoteReference"/>
        </w:rPr>
        <w:footnoteReference w:id="135"/>
      </w:r>
      <w:r w:rsidR="00906572">
        <w:t xml:space="preserve"> </w:t>
      </w:r>
      <w:r w:rsidR="00BB0A82" w:rsidRPr="00DD07E1">
        <w:t>The FOI Act provides that a person’s right of access is not</w:t>
      </w:r>
      <w:r w:rsidR="00BB0A82" w:rsidRPr="00DD07E1">
        <w:rPr>
          <w:w w:val="99"/>
        </w:rPr>
        <w:t xml:space="preserve"> </w:t>
      </w:r>
      <w:r w:rsidR="00BB0A82" w:rsidRPr="00DD07E1">
        <w:t>affected by any reasons they give for seeking access, or what beliefs the agency or minister has about the person’s reasons for seeking access (s 11(2)). This leads to the position that an objective test of balancing public interests should be taken.</w:t>
      </w:r>
    </w:p>
    <w:p w14:paraId="19387DB2" w14:textId="703A7BA9" w:rsidR="00BB0A82" w:rsidRPr="007500E4" w:rsidRDefault="00BB0A82" w:rsidP="00B73860">
      <w:pPr>
        <w:pStyle w:val="NumberedParagraphs"/>
        <w:ind w:left="567"/>
      </w:pPr>
      <w:r w:rsidRPr="007500E4">
        <w:t xml:space="preserve">Deciding whether disclosure of personal information would be unreasonable should not be uniformly approached on the basis that the disclosure </w:t>
      </w:r>
      <w:r w:rsidR="00767C98">
        <w:t xml:space="preserve">will </w:t>
      </w:r>
      <w:r w:rsidRPr="007500E4">
        <w:t>be to the ‘world at large’.</w:t>
      </w:r>
      <w:r w:rsidRPr="007500E4">
        <w:rPr>
          <w:rStyle w:val="FootnoteReference"/>
        </w:rPr>
        <w:footnoteReference w:id="136"/>
      </w:r>
      <w:r w:rsidRPr="00146B0D">
        <w:t xml:space="preserve"> </w:t>
      </w:r>
      <w:r w:rsidRPr="007500E4">
        <w:t>Examples of situations in which applicants assert an interest in obtaining access that would not be available generally to any member of the public include:</w:t>
      </w:r>
    </w:p>
    <w:p w14:paraId="273AD6DB" w14:textId="192893A4" w:rsidR="00BB0A82" w:rsidRPr="007500E4" w:rsidRDefault="00BB0A82" w:rsidP="003704DE">
      <w:pPr>
        <w:pStyle w:val="IndentBullet1"/>
        <w:ind w:left="993" w:hanging="426"/>
      </w:pPr>
      <w:r w:rsidRPr="007500E4">
        <w:t>an applicant who is seeking access to correspondence they have sent to an agency that contains personal information of other people – that is, personal information provided by the applicant to the agency</w:t>
      </w:r>
    </w:p>
    <w:p w14:paraId="17514416" w14:textId="108E9A5E" w:rsidR="00BB0A82" w:rsidRPr="007500E4" w:rsidRDefault="00BB0A82" w:rsidP="003704DE">
      <w:pPr>
        <w:pStyle w:val="IndentBullet1"/>
        <w:ind w:left="993" w:hanging="426"/>
      </w:pPr>
      <w:r w:rsidRPr="007500E4">
        <w:t xml:space="preserve">an applicant who is seeking access to </w:t>
      </w:r>
      <w:r w:rsidR="00767C98">
        <w:t xml:space="preserve">the </w:t>
      </w:r>
      <w:r w:rsidRPr="007500E4">
        <w:t>medical records of a deceased parent to learn if the parent had a particular genetic disorder that may have been transmitted to the applicant</w:t>
      </w:r>
    </w:p>
    <w:p w14:paraId="23ADC022" w14:textId="77777777" w:rsidR="00BB0A82" w:rsidRPr="007500E4" w:rsidRDefault="00BB0A82" w:rsidP="003704DE">
      <w:pPr>
        <w:pStyle w:val="IndentBullet1"/>
        <w:ind w:left="993" w:hanging="426"/>
      </w:pPr>
      <w:r w:rsidRPr="007500E4">
        <w:t>an applicant who is seeking access to their own personal information, which is intertwined with the personal information of other people who may be known to the applicant (such as family members, or co-signees of a letter or application)</w:t>
      </w:r>
    </w:p>
    <w:p w14:paraId="5BB09E68" w14:textId="77777777" w:rsidR="00BB0A82" w:rsidRPr="007500E4" w:rsidRDefault="00BB0A82" w:rsidP="003704DE">
      <w:pPr>
        <w:pStyle w:val="IndentBullet1"/>
        <w:ind w:left="993" w:hanging="426"/>
      </w:pPr>
      <w:r w:rsidRPr="007500E4">
        <w:t>a professional who is seeking access to records that include client information, and who gives a professional undertaking not to disclose the information to others (for example, a doctor who seeks patient consultation records in connection with a Medicare audit, or a lawyer who seeks case records of a client to whom legal advice is being provided)</w:t>
      </w:r>
    </w:p>
    <w:p w14:paraId="21B9F59E" w14:textId="77777777" w:rsidR="00BB0A82" w:rsidRPr="007500E4" w:rsidRDefault="00BB0A82" w:rsidP="003704DE">
      <w:pPr>
        <w:pStyle w:val="IndentBullet1"/>
        <w:ind w:left="993" w:hanging="426"/>
        <w:rPr>
          <w:rFonts w:cs="Calibri"/>
        </w:rPr>
      </w:pPr>
      <w:r w:rsidRPr="007500E4">
        <w:t>a ‘care leaver’ (meaning a child who was brought up in care as a state ward, foster child or in an orphanage) who is seeking access to third party personal information.</w:t>
      </w:r>
      <w:r w:rsidRPr="007500E4">
        <w:rPr>
          <w:rStyle w:val="FootnoteReference"/>
        </w:rPr>
        <w:footnoteReference w:id="137"/>
      </w:r>
    </w:p>
    <w:p w14:paraId="76106F35" w14:textId="73DE7F0A" w:rsidR="00BB0A82" w:rsidRPr="007500E4" w:rsidRDefault="00BB0A82" w:rsidP="00B73860">
      <w:pPr>
        <w:pStyle w:val="NumberedParagraphs"/>
        <w:ind w:left="567"/>
        <w:rPr>
          <w:rFonts w:cs="Calibri"/>
        </w:rPr>
      </w:pPr>
      <w:r w:rsidRPr="007500E4">
        <w:t>It would be problematic in each of those instances for an agency to grant access under the FOI Act if it proceeded from the premise that ‘if one person can be granted access to a particular document under the FOI Act, any other person who cares to request it and to pay the relevant fees, can be granted access to it’.</w:t>
      </w:r>
      <w:r w:rsidRPr="007500E4">
        <w:rPr>
          <w:rStyle w:val="FootnoteReference"/>
        </w:rPr>
        <w:footnoteReference w:id="138"/>
      </w:r>
      <w:r w:rsidRPr="007500E4">
        <w:t xml:space="preserve"> I</w:t>
      </w:r>
      <w:r w:rsidR="00E234A4">
        <w:t>n</w:t>
      </w:r>
      <w:r w:rsidRPr="007500E4">
        <w:t xml:space="preserve"> instances such as these, an agency can make a practical and risk-based assessment </w:t>
      </w:r>
      <w:r w:rsidR="0052428C">
        <w:t>about</w:t>
      </w:r>
      <w:r w:rsidRPr="007500E4">
        <w:t xml:space="preserve"> whether to provide access to a particular applicant.</w:t>
      </w:r>
    </w:p>
    <w:p w14:paraId="6F874906" w14:textId="77777777" w:rsidR="00BB0A82" w:rsidRPr="00693BDA" w:rsidRDefault="00BB0A82" w:rsidP="002813D6">
      <w:pPr>
        <w:pStyle w:val="Heading3"/>
      </w:pPr>
      <w:bookmarkStart w:id="187" w:name="Joint_personal_information"/>
      <w:bookmarkStart w:id="188" w:name="_Toc11154504"/>
      <w:bookmarkStart w:id="189" w:name="_Toc141875232"/>
      <w:bookmarkStart w:id="190" w:name="_Hlk50042981"/>
      <w:bookmarkEnd w:id="185"/>
      <w:bookmarkEnd w:id="187"/>
      <w:r w:rsidRPr="00693BDA">
        <w:t>Joint personal information</w:t>
      </w:r>
      <w:bookmarkEnd w:id="188"/>
      <w:bookmarkEnd w:id="189"/>
    </w:p>
    <w:p w14:paraId="3409664A" w14:textId="39BC95F3" w:rsidR="00BB0A82" w:rsidRPr="007500E4" w:rsidRDefault="00BB0A82" w:rsidP="00B73860">
      <w:pPr>
        <w:pStyle w:val="NumberedParagraphs"/>
        <w:ind w:left="567"/>
      </w:pPr>
      <w:bookmarkStart w:id="191" w:name="_bookmark52"/>
      <w:bookmarkStart w:id="192" w:name="_Ref458497178"/>
      <w:bookmarkEnd w:id="191"/>
      <w:r w:rsidRPr="00DD07E1">
        <w:t xml:space="preserve">Documents often contain personal information about more than one individual. </w:t>
      </w:r>
      <w:r w:rsidRPr="007500E4">
        <w:t>Where</w:t>
      </w:r>
      <w:r w:rsidRPr="00DD07E1">
        <w:t xml:space="preserve"> possible, personal information should </w:t>
      </w:r>
      <w:r w:rsidRPr="007500E4">
        <w:t>be</w:t>
      </w:r>
      <w:r w:rsidRPr="00DD07E1">
        <w:t xml:space="preserve"> </w:t>
      </w:r>
      <w:r w:rsidRPr="007500E4">
        <w:t>dealt</w:t>
      </w:r>
      <w:r w:rsidRPr="00DD07E1">
        <w:t xml:space="preserve"> with separately under </w:t>
      </w:r>
      <w:r w:rsidRPr="007500E4">
        <w:t>the</w:t>
      </w:r>
      <w:r w:rsidRPr="00DD07E1">
        <w:t xml:space="preserve"> exemption. </w:t>
      </w:r>
      <w:r w:rsidRPr="007500E4">
        <w:t>An</w:t>
      </w:r>
      <w:r w:rsidRPr="00DD07E1">
        <w:t xml:space="preserve"> individu</w:t>
      </w:r>
      <w:r w:rsidRPr="00DD07E1">
        <w:rPr>
          <w:rFonts w:cs="Calibri"/>
        </w:rPr>
        <w:t>al’s personal</w:t>
      </w:r>
      <w:r w:rsidRPr="007500E4">
        <w:rPr>
          <w:rFonts w:cs="Calibri"/>
        </w:rPr>
        <w:t xml:space="preserve"> </w:t>
      </w:r>
      <w:r w:rsidRPr="00DD07E1">
        <w:rPr>
          <w:rFonts w:cs="Calibri"/>
        </w:rPr>
        <w:t xml:space="preserve">information </w:t>
      </w:r>
      <w:r w:rsidRPr="007500E4">
        <w:rPr>
          <w:rFonts w:cs="Calibri"/>
        </w:rPr>
        <w:t>may</w:t>
      </w:r>
      <w:r>
        <w:rPr>
          <w:rFonts w:cs="Calibri"/>
        </w:rPr>
        <w:t>,</w:t>
      </w:r>
      <w:r w:rsidRPr="00DD07E1">
        <w:rPr>
          <w:rFonts w:cs="Calibri"/>
        </w:rPr>
        <w:t xml:space="preserve"> however</w:t>
      </w:r>
      <w:r>
        <w:rPr>
          <w:rFonts w:cs="Calibri"/>
        </w:rPr>
        <w:t>,</w:t>
      </w:r>
      <w:r w:rsidRPr="007500E4">
        <w:rPr>
          <w:rFonts w:cs="Calibri"/>
        </w:rPr>
        <w:t xml:space="preserve"> be</w:t>
      </w:r>
      <w:r w:rsidRPr="00DD07E1">
        <w:rPr>
          <w:rFonts w:cs="Calibri"/>
        </w:rPr>
        <w:t xml:space="preserve"> intertwined</w:t>
      </w:r>
      <w:r w:rsidRPr="007500E4">
        <w:rPr>
          <w:rFonts w:cs="Calibri"/>
        </w:rPr>
        <w:t xml:space="preserve"> </w:t>
      </w:r>
      <w:r w:rsidRPr="00DD07E1">
        <w:rPr>
          <w:rFonts w:cs="Calibri"/>
        </w:rPr>
        <w:t>with another</w:t>
      </w:r>
      <w:r w:rsidRPr="007500E4">
        <w:rPr>
          <w:rFonts w:cs="Calibri"/>
        </w:rPr>
        <w:t xml:space="preserve"> </w:t>
      </w:r>
      <w:r w:rsidRPr="00DD07E1">
        <w:rPr>
          <w:rFonts w:cs="Calibri"/>
        </w:rPr>
        <w:t xml:space="preserve">person’s </w:t>
      </w:r>
      <w:r w:rsidRPr="00DD07E1">
        <w:t xml:space="preserve">personal information, for </w:t>
      </w:r>
      <w:r w:rsidRPr="007500E4">
        <w:t>example,</w:t>
      </w:r>
      <w:r w:rsidRPr="00DD07E1">
        <w:t xml:space="preserve"> information provided for </w:t>
      </w:r>
      <w:r w:rsidRPr="007500E4">
        <w:t>a</w:t>
      </w:r>
      <w:r w:rsidRPr="00DD07E1">
        <w:t xml:space="preserve"> joint loan application</w:t>
      </w:r>
      <w:r>
        <w:t>;</w:t>
      </w:r>
      <w:r w:rsidRPr="00DD07E1">
        <w:t xml:space="preserve"> </w:t>
      </w:r>
      <w:r>
        <w:t xml:space="preserve">a </w:t>
      </w:r>
      <w:r>
        <w:lastRenderedPageBreak/>
        <w:t xml:space="preserve">medical report or doctor’s opinion; </w:t>
      </w:r>
      <w:r w:rsidRPr="007500E4">
        <w:t>or</w:t>
      </w:r>
      <w:r w:rsidRPr="00DD07E1">
        <w:rPr>
          <w:w w:val="99"/>
        </w:rPr>
        <w:t xml:space="preserve"> </w:t>
      </w:r>
      <w:r w:rsidRPr="00DD07E1">
        <w:t xml:space="preserve">information about </w:t>
      </w:r>
      <w:r w:rsidRPr="007500E4">
        <w:t>a</w:t>
      </w:r>
      <w:r w:rsidRPr="00DD07E1">
        <w:t xml:space="preserve"> relationship provided to </w:t>
      </w:r>
      <w:r w:rsidR="00767C98">
        <w:t>Services Australia</w:t>
      </w:r>
      <w:r w:rsidRPr="00DD07E1">
        <w:t xml:space="preserve"> </w:t>
      </w:r>
      <w:r w:rsidRPr="007500E4">
        <w:t>or</w:t>
      </w:r>
      <w:r w:rsidRPr="00DD07E1">
        <w:t xml:space="preserve"> </w:t>
      </w:r>
      <w:r w:rsidRPr="007500E4">
        <w:t>the</w:t>
      </w:r>
      <w:r w:rsidRPr="00DD07E1">
        <w:t xml:space="preserve"> Child Support Agency.</w:t>
      </w:r>
      <w:bookmarkEnd w:id="192"/>
    </w:p>
    <w:p w14:paraId="67A5E924" w14:textId="74798CAC" w:rsidR="00BB0A82" w:rsidRPr="007500E4" w:rsidRDefault="00BB0A82" w:rsidP="00B73860">
      <w:pPr>
        <w:pStyle w:val="NumberedParagraphs"/>
        <w:ind w:left="567"/>
      </w:pPr>
      <w:r w:rsidRPr="00DD07E1">
        <w:t xml:space="preserve">Intertwined personal information should </w:t>
      </w:r>
      <w:r w:rsidRPr="007500E4">
        <w:t>be</w:t>
      </w:r>
      <w:r w:rsidRPr="00DD07E1">
        <w:t xml:space="preserve"> separated where possible, without</w:t>
      </w:r>
      <w:r w:rsidRPr="00DD07E1">
        <w:rPr>
          <w:w w:val="99"/>
        </w:rPr>
        <w:t xml:space="preserve"> </w:t>
      </w:r>
      <w:r w:rsidRPr="00DD07E1">
        <w:t xml:space="preserve">diminishing </w:t>
      </w:r>
      <w:r w:rsidRPr="007500E4">
        <w:t xml:space="preserve">or </w:t>
      </w:r>
      <w:r w:rsidRPr="00DD07E1">
        <w:t xml:space="preserve">impairing </w:t>
      </w:r>
      <w:r w:rsidRPr="007500E4">
        <w:t>the</w:t>
      </w:r>
      <w:r w:rsidRPr="00DD07E1">
        <w:t xml:space="preserve"> quality </w:t>
      </w:r>
      <w:r w:rsidRPr="007500E4">
        <w:t xml:space="preserve">or </w:t>
      </w:r>
      <w:r w:rsidRPr="00DD07E1">
        <w:t>completeness</w:t>
      </w:r>
      <w:r w:rsidRPr="007500E4">
        <w:t xml:space="preserve"> of</w:t>
      </w:r>
      <w:r w:rsidRPr="00DD07E1">
        <w:t xml:space="preserve"> the </w:t>
      </w:r>
      <w:r w:rsidR="00205FB3">
        <w:t xml:space="preserve">FOI </w:t>
      </w:r>
      <w:r w:rsidRPr="00DD07E1">
        <w:t>applicant’s personal information.</w:t>
      </w:r>
      <w:r w:rsidRPr="00DD07E1">
        <w:rPr>
          <w:rStyle w:val="FootnoteReference"/>
        </w:rPr>
        <w:footnoteReference w:id="139"/>
      </w:r>
      <w:r w:rsidR="005D31E6">
        <w:t xml:space="preserve"> W</w:t>
      </w:r>
      <w:r w:rsidRPr="007500E4">
        <w:t>here</w:t>
      </w:r>
      <w:r w:rsidRPr="00DD07E1">
        <w:t xml:space="preserve"> </w:t>
      </w:r>
      <w:r w:rsidRPr="007500E4">
        <w:t>it is</w:t>
      </w:r>
      <w:r w:rsidRPr="00DD07E1">
        <w:t xml:space="preserve"> </w:t>
      </w:r>
      <w:r w:rsidRPr="007500E4">
        <w:t>not</w:t>
      </w:r>
      <w:r w:rsidRPr="00DD07E1">
        <w:t xml:space="preserve"> possible </w:t>
      </w:r>
      <w:r w:rsidRPr="007500E4">
        <w:t>to</w:t>
      </w:r>
      <w:r w:rsidRPr="00DD07E1">
        <w:t xml:space="preserve"> separate </w:t>
      </w:r>
      <w:r w:rsidRPr="007500E4">
        <w:t xml:space="preserve">an </w:t>
      </w:r>
      <w:r w:rsidRPr="00DD07E1">
        <w:t xml:space="preserve">applicant’s personal information </w:t>
      </w:r>
      <w:r w:rsidRPr="007500E4">
        <w:t>from</w:t>
      </w:r>
      <w:r w:rsidRPr="00DD07E1">
        <w:t xml:space="preserve"> </w:t>
      </w:r>
      <w:r w:rsidRPr="007500E4">
        <w:t>a</w:t>
      </w:r>
      <w:r w:rsidRPr="00DD07E1">
        <w:t xml:space="preserve"> third party’s</w:t>
      </w:r>
      <w:r w:rsidRPr="007500E4">
        <w:t xml:space="preserve"> </w:t>
      </w:r>
      <w:r w:rsidRPr="00DD07E1">
        <w:t xml:space="preserve">personal information, </w:t>
      </w:r>
      <w:r w:rsidRPr="007500E4">
        <w:t>the</w:t>
      </w:r>
      <w:r w:rsidRPr="00DD07E1">
        <w:t xml:space="preserve"> exemption</w:t>
      </w:r>
      <w:r w:rsidRPr="007500E4">
        <w:t xml:space="preserve"> may</w:t>
      </w:r>
      <w:r w:rsidRPr="00DD07E1">
        <w:t xml:space="preserve"> </w:t>
      </w:r>
      <w:r w:rsidRPr="007500E4">
        <w:t>be</w:t>
      </w:r>
      <w:r w:rsidRPr="00DD07E1">
        <w:t xml:space="preserve"> claimed </w:t>
      </w:r>
      <w:r w:rsidRPr="007500E4">
        <w:t>if</w:t>
      </w:r>
      <w:r w:rsidRPr="00DD07E1">
        <w:t xml:space="preserve"> </w:t>
      </w:r>
      <w:r w:rsidRPr="007500E4">
        <w:t>it</w:t>
      </w:r>
      <w:r w:rsidRPr="00DD07E1">
        <w:t xml:space="preserve"> </w:t>
      </w:r>
      <w:r w:rsidRPr="007500E4">
        <w:t>is</w:t>
      </w:r>
      <w:r w:rsidRPr="00DD07E1">
        <w:t xml:space="preserve"> unreasonable </w:t>
      </w:r>
      <w:r w:rsidRPr="007500E4">
        <w:t>to</w:t>
      </w:r>
      <w:r w:rsidRPr="00DD07E1">
        <w:t xml:space="preserve"> release </w:t>
      </w:r>
      <w:r w:rsidRPr="007500E4">
        <w:t>the</w:t>
      </w:r>
      <w:r w:rsidR="002131D8">
        <w:t xml:space="preserve"> third party’s personal</w:t>
      </w:r>
      <w:r w:rsidRPr="00DD07E1">
        <w:t xml:space="preserve"> information.</w:t>
      </w:r>
    </w:p>
    <w:p w14:paraId="62EDF61F" w14:textId="3688B94A" w:rsidR="00BB0A82" w:rsidRPr="007500E4" w:rsidRDefault="00BB0A82" w:rsidP="00B73860">
      <w:pPr>
        <w:pStyle w:val="NumberedParagraphs"/>
        <w:ind w:left="567"/>
      </w:pPr>
      <w:r w:rsidRPr="00DD07E1">
        <w:t xml:space="preserve">Whether it </w:t>
      </w:r>
      <w:r w:rsidRPr="007500E4">
        <w:t>is</w:t>
      </w:r>
      <w:r w:rsidRPr="00DD07E1">
        <w:t xml:space="preserve"> unreasonable </w:t>
      </w:r>
      <w:r w:rsidRPr="007500E4">
        <w:t>to</w:t>
      </w:r>
      <w:r w:rsidRPr="00DD07E1">
        <w:t xml:space="preserve"> release </w:t>
      </w:r>
      <w:r w:rsidR="002131D8">
        <w:t>personal</w:t>
      </w:r>
      <w:r w:rsidRPr="00DD07E1">
        <w:t xml:space="preserve"> information may depend </w:t>
      </w:r>
      <w:r w:rsidRPr="007500E4">
        <w:t>on</w:t>
      </w:r>
      <w:r w:rsidRPr="00DD07E1">
        <w:t xml:space="preserve"> the</w:t>
      </w:r>
      <w:r w:rsidRPr="00DD07E1">
        <w:rPr>
          <w:w w:val="99"/>
        </w:rPr>
        <w:t xml:space="preserve"> </w:t>
      </w:r>
      <w:r w:rsidRPr="00DD07E1">
        <w:t xml:space="preserve">relationship between the individuals. Decisions about </w:t>
      </w:r>
      <w:r w:rsidRPr="007500E4">
        <w:t>the</w:t>
      </w:r>
      <w:r w:rsidRPr="00DD07E1">
        <w:t xml:space="preserve"> release of joint </w:t>
      </w:r>
      <w:r w:rsidRPr="007500E4">
        <w:t>personal</w:t>
      </w:r>
      <w:r w:rsidRPr="00DD07E1">
        <w:t xml:space="preserve"> information should </w:t>
      </w:r>
      <w:r w:rsidRPr="007500E4">
        <w:t>be</w:t>
      </w:r>
      <w:r w:rsidRPr="00DD07E1">
        <w:t xml:space="preserve"> made after consultation with </w:t>
      </w:r>
      <w:r w:rsidRPr="007500E4">
        <w:t>the</w:t>
      </w:r>
      <w:r w:rsidRPr="00DD07E1">
        <w:t xml:space="preserve"> third party where such consultation </w:t>
      </w:r>
      <w:r w:rsidRPr="007500E4">
        <w:t>is</w:t>
      </w:r>
      <w:r w:rsidRPr="00DD07E1">
        <w:t xml:space="preserve"> reasonably </w:t>
      </w:r>
      <w:r w:rsidRPr="007500E4">
        <w:t>practical.</w:t>
      </w:r>
      <w:r w:rsidRPr="00DD07E1">
        <w:t xml:space="preserve"> For more information about consultation </w:t>
      </w:r>
      <w:r w:rsidRPr="004A718F">
        <w:t>see</w:t>
      </w:r>
      <w:r w:rsidRPr="004A718F">
        <w:rPr>
          <w:w w:val="99"/>
        </w:rPr>
        <w:t xml:space="preserve"> [</w:t>
      </w:r>
      <w:r w:rsidR="00B95239" w:rsidRPr="004A718F">
        <w:rPr>
          <w:w w:val="99"/>
        </w:rPr>
        <w:t>6.</w:t>
      </w:r>
      <w:r w:rsidR="004A718F" w:rsidRPr="004A718F">
        <w:rPr>
          <w:w w:val="99"/>
        </w:rPr>
        <w:t>149</w:t>
      </w:r>
      <w:r w:rsidR="00B95239" w:rsidRPr="004A718F">
        <w:rPr>
          <w:w w:val="99"/>
        </w:rPr>
        <w:t>]</w:t>
      </w:r>
      <w:r w:rsidR="004A718F" w:rsidRPr="004A718F">
        <w:rPr>
          <w:w w:val="99"/>
        </w:rPr>
        <w:t>–[6.156</w:t>
      </w:r>
      <w:r w:rsidR="004A718F">
        <w:rPr>
          <w:w w:val="99"/>
        </w:rPr>
        <w:t>]</w:t>
      </w:r>
      <w:r w:rsidRPr="00DD07E1">
        <w:t xml:space="preserve"> below.</w:t>
      </w:r>
    </w:p>
    <w:p w14:paraId="5E08009E" w14:textId="264A6B32" w:rsidR="00BB0A82" w:rsidRPr="00693BDA" w:rsidRDefault="00D97E81" w:rsidP="002813D6">
      <w:pPr>
        <w:pStyle w:val="Heading3"/>
      </w:pPr>
      <w:bookmarkStart w:id="193" w:name="Information_about_agency_employees"/>
      <w:bookmarkStart w:id="194" w:name="_Toc141875233"/>
      <w:bookmarkStart w:id="195" w:name="_Toc11154505"/>
      <w:bookmarkEnd w:id="190"/>
      <w:bookmarkEnd w:id="193"/>
      <w:r>
        <w:t>P</w:t>
      </w:r>
      <w:r w:rsidR="00F74491">
        <w:t>ersonal i</w:t>
      </w:r>
      <w:r w:rsidR="00BB0A82" w:rsidRPr="00693BDA">
        <w:t>nformation about agency employees</w:t>
      </w:r>
      <w:bookmarkEnd w:id="194"/>
      <w:r w:rsidR="00BB0A82" w:rsidRPr="00693BDA">
        <w:t xml:space="preserve"> </w:t>
      </w:r>
      <w:bookmarkEnd w:id="195"/>
    </w:p>
    <w:p w14:paraId="740C82D0" w14:textId="1D35C779" w:rsidR="00BB0A82" w:rsidRDefault="00BB0A82" w:rsidP="00B73860">
      <w:pPr>
        <w:pStyle w:val="NumberedParagraphs"/>
        <w:ind w:left="567"/>
      </w:pPr>
      <w:r w:rsidRPr="00DD07E1">
        <w:t xml:space="preserve">Documents held </w:t>
      </w:r>
      <w:r w:rsidRPr="007500E4">
        <w:t>by</w:t>
      </w:r>
      <w:r w:rsidRPr="00DD07E1">
        <w:t xml:space="preserve"> agencies </w:t>
      </w:r>
      <w:r w:rsidRPr="007500E4">
        <w:t>or</w:t>
      </w:r>
      <w:r w:rsidRPr="00DD07E1">
        <w:t xml:space="preserve"> ministers often include personal information about</w:t>
      </w:r>
      <w:r w:rsidRPr="00DD07E1">
        <w:rPr>
          <w:w w:val="99"/>
        </w:rPr>
        <w:t xml:space="preserve"> </w:t>
      </w:r>
      <w:r w:rsidRPr="007500E4">
        <w:rPr>
          <w:rFonts w:cs="Calibri"/>
        </w:rPr>
        <w:t>public</w:t>
      </w:r>
      <w:r w:rsidRPr="00DD07E1">
        <w:rPr>
          <w:rFonts w:cs="Calibri"/>
        </w:rPr>
        <w:t xml:space="preserve"> servants.</w:t>
      </w:r>
      <w:r w:rsidRPr="007500E4">
        <w:rPr>
          <w:rFonts w:cs="Calibri"/>
        </w:rPr>
        <w:t xml:space="preserve"> For</w:t>
      </w:r>
      <w:r w:rsidRPr="00DD07E1">
        <w:rPr>
          <w:rFonts w:cs="Calibri"/>
        </w:rPr>
        <w:t xml:space="preserve"> example, </w:t>
      </w:r>
      <w:r w:rsidRPr="007500E4">
        <w:rPr>
          <w:rFonts w:cs="Calibri"/>
        </w:rPr>
        <w:t>a</w:t>
      </w:r>
      <w:r w:rsidRPr="00DD07E1">
        <w:rPr>
          <w:rFonts w:cs="Calibri"/>
        </w:rPr>
        <w:t xml:space="preserve"> document may</w:t>
      </w:r>
      <w:r w:rsidRPr="007500E4">
        <w:rPr>
          <w:rFonts w:cs="Calibri"/>
        </w:rPr>
        <w:t xml:space="preserve"> </w:t>
      </w:r>
      <w:r w:rsidRPr="00DD07E1">
        <w:rPr>
          <w:rFonts w:cs="Calibri"/>
        </w:rPr>
        <w:t xml:space="preserve">include </w:t>
      </w:r>
      <w:r w:rsidRPr="007500E4">
        <w:rPr>
          <w:rFonts w:cs="Calibri"/>
        </w:rPr>
        <w:t>a</w:t>
      </w:r>
      <w:r w:rsidRPr="00DD07E1">
        <w:rPr>
          <w:rFonts w:cs="Calibri"/>
        </w:rPr>
        <w:t xml:space="preserve"> public</w:t>
      </w:r>
      <w:r w:rsidRPr="007500E4">
        <w:rPr>
          <w:rFonts w:cs="Calibri"/>
        </w:rPr>
        <w:t xml:space="preserve"> </w:t>
      </w:r>
      <w:r w:rsidRPr="00DD07E1">
        <w:rPr>
          <w:rFonts w:cs="Calibri"/>
        </w:rPr>
        <w:t xml:space="preserve">servant’s </w:t>
      </w:r>
      <w:r w:rsidRPr="007500E4">
        <w:rPr>
          <w:rFonts w:cs="Calibri"/>
        </w:rPr>
        <w:t>name,</w:t>
      </w:r>
      <w:r w:rsidRPr="00DD07E1">
        <w:rPr>
          <w:rFonts w:cs="Calibri"/>
        </w:rPr>
        <w:t xml:space="preserve"> work </w:t>
      </w:r>
      <w:r w:rsidRPr="007500E4">
        <w:rPr>
          <w:rFonts w:cs="Calibri"/>
        </w:rPr>
        <w:t>email</w:t>
      </w:r>
      <w:r w:rsidRPr="00DD07E1">
        <w:rPr>
          <w:rFonts w:cs="Calibri"/>
        </w:rPr>
        <w:t xml:space="preserve"> </w:t>
      </w:r>
      <w:r w:rsidRPr="00DD07E1">
        <w:t xml:space="preserve">address, position </w:t>
      </w:r>
      <w:r w:rsidRPr="007500E4">
        <w:t>or</w:t>
      </w:r>
      <w:r w:rsidRPr="00DD07E1">
        <w:t xml:space="preserve"> title, contact details, decisions </w:t>
      </w:r>
      <w:r w:rsidRPr="007500E4">
        <w:t>or</w:t>
      </w:r>
      <w:r w:rsidRPr="00DD07E1">
        <w:t xml:space="preserve"> opinions.</w:t>
      </w:r>
    </w:p>
    <w:p w14:paraId="43BFA620" w14:textId="45599D21" w:rsidR="00996118" w:rsidRPr="00A07DA7" w:rsidRDefault="00150827" w:rsidP="00B73860">
      <w:pPr>
        <w:pStyle w:val="NumberedParagraphs"/>
        <w:ind w:left="567"/>
      </w:pPr>
      <w:r>
        <w:t xml:space="preserve">In some circumstances, </w:t>
      </w:r>
      <w:r w:rsidR="00F009C0">
        <w:t xml:space="preserve">an individual public servant will not be </w:t>
      </w:r>
      <w:r w:rsidR="007235BB">
        <w:t xml:space="preserve">reasonably identifiable </w:t>
      </w:r>
      <w:r w:rsidR="005D0467">
        <w:t xml:space="preserve">from </w:t>
      </w:r>
      <w:r w:rsidR="00157289">
        <w:t xml:space="preserve">their </w:t>
      </w:r>
      <w:r w:rsidR="0013735C">
        <w:t>first name</w:t>
      </w:r>
      <w:r w:rsidR="00EC0BAD">
        <w:t xml:space="preserve"> alone (that is, without their family name)</w:t>
      </w:r>
      <w:r w:rsidR="00157289">
        <w:t>.</w:t>
      </w:r>
      <w:r w:rsidR="00FD59F8">
        <w:rPr>
          <w:rStyle w:val="FootnoteReference"/>
        </w:rPr>
        <w:footnoteReference w:id="140"/>
      </w:r>
      <w:r w:rsidR="00157289">
        <w:t xml:space="preserve"> </w:t>
      </w:r>
      <w:r w:rsidR="00A83B82">
        <w:t xml:space="preserve">In </w:t>
      </w:r>
      <w:r w:rsidR="002131D8">
        <w:t>such</w:t>
      </w:r>
      <w:r w:rsidR="00A83B82">
        <w:t xml:space="preserve"> circumstances </w:t>
      </w:r>
      <w:r w:rsidR="002D41DA">
        <w:t xml:space="preserve">the </w:t>
      </w:r>
      <w:r w:rsidR="00EC0BAD">
        <w:t xml:space="preserve">first name </w:t>
      </w:r>
      <w:r w:rsidR="002D41DA">
        <w:t xml:space="preserve">will not be </w:t>
      </w:r>
      <w:r w:rsidR="00EC0BAD">
        <w:t xml:space="preserve">personal information for the purposes of s 47F. Relevant </w:t>
      </w:r>
      <w:r w:rsidR="00A07DA7">
        <w:t xml:space="preserve">factors </w:t>
      </w:r>
      <w:r w:rsidR="00A22E05">
        <w:t xml:space="preserve">for decision makers to consider </w:t>
      </w:r>
      <w:r w:rsidR="004D2A0E">
        <w:t xml:space="preserve">when deciding whether </w:t>
      </w:r>
      <w:r w:rsidR="00876BDA">
        <w:t>the first names of staff</w:t>
      </w:r>
      <w:r w:rsidR="00876BDA">
        <w:rPr>
          <w:rFonts w:ascii="Source Sans Pro" w:hAnsi="Source Sans Pro"/>
          <w:color w:val="333333"/>
          <w:shd w:val="clear" w:color="auto" w:fill="FFFFFF"/>
        </w:rPr>
        <w:t>, without their family names, w</w:t>
      </w:r>
      <w:r w:rsidR="00BC3CD0">
        <w:rPr>
          <w:rFonts w:ascii="Source Sans Pro" w:hAnsi="Source Sans Pro"/>
          <w:color w:val="333333"/>
          <w:shd w:val="clear" w:color="auto" w:fill="FFFFFF"/>
        </w:rPr>
        <w:t>ould</w:t>
      </w:r>
      <w:r w:rsidR="006144EF">
        <w:rPr>
          <w:rFonts w:ascii="Source Sans Pro" w:hAnsi="Source Sans Pro"/>
          <w:color w:val="333333"/>
          <w:shd w:val="clear" w:color="auto" w:fill="FFFFFF"/>
        </w:rPr>
        <w:t xml:space="preserve"> make an individual reasonably identifiable </w:t>
      </w:r>
      <w:r w:rsidR="00C8707E">
        <w:rPr>
          <w:rFonts w:ascii="Source Sans Pro" w:hAnsi="Source Sans Pro"/>
          <w:color w:val="333333"/>
          <w:shd w:val="clear" w:color="auto" w:fill="FFFFFF"/>
        </w:rPr>
        <w:t xml:space="preserve">may </w:t>
      </w:r>
      <w:r w:rsidR="00B67EA7">
        <w:rPr>
          <w:rFonts w:ascii="Source Sans Pro" w:hAnsi="Source Sans Pro"/>
          <w:color w:val="333333"/>
          <w:shd w:val="clear" w:color="auto" w:fill="FFFFFF"/>
        </w:rPr>
        <w:t xml:space="preserve">include the </w:t>
      </w:r>
      <w:r w:rsidR="002131D8">
        <w:rPr>
          <w:rFonts w:ascii="Source Sans Pro" w:hAnsi="Source Sans Pro"/>
          <w:color w:val="333333"/>
          <w:shd w:val="clear" w:color="auto" w:fill="FFFFFF"/>
        </w:rPr>
        <w:t xml:space="preserve">particular context in which the name appears in the document, the </w:t>
      </w:r>
      <w:r w:rsidR="00B67EA7">
        <w:rPr>
          <w:rFonts w:ascii="Source Sans Pro" w:hAnsi="Source Sans Pro"/>
          <w:color w:val="333333"/>
          <w:shd w:val="clear" w:color="auto" w:fill="FFFFFF"/>
        </w:rPr>
        <w:t xml:space="preserve">size of the agency, </w:t>
      </w:r>
      <w:r w:rsidR="00A07DA7">
        <w:rPr>
          <w:rFonts w:ascii="Source Sans Pro" w:hAnsi="Source Sans Pro"/>
          <w:color w:val="333333"/>
          <w:shd w:val="clear" w:color="auto" w:fill="FFFFFF"/>
        </w:rPr>
        <w:t xml:space="preserve">the context in which the document was created and </w:t>
      </w:r>
      <w:r w:rsidR="005D0467">
        <w:rPr>
          <w:rFonts w:ascii="Source Sans Pro" w:hAnsi="Source Sans Pro"/>
          <w:color w:val="333333"/>
          <w:shd w:val="clear" w:color="auto" w:fill="FFFFFF"/>
        </w:rPr>
        <w:t xml:space="preserve">the uniqueness of the </w:t>
      </w:r>
      <w:r w:rsidR="002D6E60">
        <w:rPr>
          <w:rFonts w:ascii="Source Sans Pro" w:hAnsi="Source Sans Pro"/>
          <w:color w:val="333333"/>
          <w:shd w:val="clear" w:color="auto" w:fill="FFFFFF"/>
        </w:rPr>
        <w:t xml:space="preserve">first </w:t>
      </w:r>
      <w:r w:rsidR="005D0467">
        <w:rPr>
          <w:rFonts w:ascii="Source Sans Pro" w:hAnsi="Source Sans Pro"/>
          <w:color w:val="333333"/>
          <w:shd w:val="clear" w:color="auto" w:fill="FFFFFF"/>
        </w:rPr>
        <w:t>name.</w:t>
      </w:r>
    </w:p>
    <w:p w14:paraId="13466AAF" w14:textId="3664778F" w:rsidR="00996118" w:rsidRPr="00DD21E0" w:rsidRDefault="00CA30AB" w:rsidP="00DD21E0">
      <w:pPr>
        <w:pStyle w:val="NumberedParagraphs"/>
        <w:ind w:left="567"/>
        <w:rPr>
          <w:rFonts w:ascii="Source Sans Pro" w:eastAsia="Times New Roman" w:hAnsi="Source Sans Pro"/>
          <w:color w:val="000000"/>
          <w:szCs w:val="22"/>
          <w:lang w:eastAsia="en-AU"/>
        </w:rPr>
      </w:pPr>
      <w:bookmarkStart w:id="196" w:name="_Hlk50043595"/>
      <w:bookmarkStart w:id="197" w:name="_Hlk136964791"/>
      <w:r>
        <w:t xml:space="preserve">Previous IC review decisions, and </w:t>
      </w:r>
      <w:r w:rsidR="009E5BA4">
        <w:t xml:space="preserve">previous versions of </w:t>
      </w:r>
      <w:r>
        <w:t xml:space="preserve">these Guidelines, </w:t>
      </w:r>
      <w:r w:rsidR="00CD49C5">
        <w:t xml:space="preserve">expressed the view </w:t>
      </w:r>
      <w:r>
        <w:t xml:space="preserve">that </w:t>
      </w:r>
      <w:r w:rsidR="00137CF5">
        <w:t xml:space="preserve">when a </w:t>
      </w:r>
      <w:r w:rsidRPr="00DD21E0">
        <w:t>public servant</w:t>
      </w:r>
      <w:r w:rsidR="00137CF5" w:rsidRPr="00DD21E0">
        <w:t>’</w:t>
      </w:r>
      <w:r w:rsidRPr="00DD21E0">
        <w:t xml:space="preserve">s personal information is included in a document because of their usual duties or responsibilities, it will not be unreasonable to disclose </w:t>
      </w:r>
      <w:r w:rsidR="00137CF5" w:rsidRPr="00DD21E0">
        <w:t xml:space="preserve">it </w:t>
      </w:r>
      <w:r w:rsidRPr="00DD21E0">
        <w:t>unless special circumstances exist</w:t>
      </w:r>
      <w:r w:rsidR="00946B48" w:rsidRPr="00DD21E0">
        <w:t xml:space="preserve">. </w:t>
      </w:r>
      <w:r w:rsidR="00FC597B" w:rsidRPr="00DD21E0">
        <w:t xml:space="preserve">Further, </w:t>
      </w:r>
      <w:r w:rsidR="00364377" w:rsidRPr="00DD21E0">
        <w:t>previous versions of the FOI Guidelines</w:t>
      </w:r>
      <w:r w:rsidR="00FC597B" w:rsidRPr="00DD21E0">
        <w:t xml:space="preserve"> </w:t>
      </w:r>
      <w:r w:rsidR="00737E2D" w:rsidRPr="00DD21E0">
        <w:t>considered</w:t>
      </w:r>
      <w:r w:rsidR="00737E2D" w:rsidRPr="00996118">
        <w:rPr>
          <w:rFonts w:ascii="Source Sans Pro" w:hAnsi="Source Sans Pro"/>
          <w:color w:val="000000"/>
          <w:szCs w:val="22"/>
        </w:rPr>
        <w:t xml:space="preserve"> </w:t>
      </w:r>
      <w:r w:rsidR="00FC597B" w:rsidRPr="00996118">
        <w:rPr>
          <w:rFonts w:ascii="Source Sans Pro" w:hAnsi="Source Sans Pro"/>
          <w:color w:val="000000"/>
          <w:szCs w:val="22"/>
        </w:rPr>
        <w:t>that a</w:t>
      </w:r>
      <w:r w:rsidR="00FC597B" w:rsidRPr="00DD21E0">
        <w:rPr>
          <w:rFonts w:ascii="Source Sans Pro" w:hAnsi="Source Sans Pro"/>
          <w:color w:val="333333"/>
          <w:shd w:val="clear" w:color="auto" w:fill="FFFFFF"/>
        </w:rPr>
        <w:t>gencies and ministers should start from the position that including the full names of staff in documents released in response to FOI requests increases transparency and accountability of the government and is consistent with the objects of the FOI Act</w:t>
      </w:r>
      <w:r w:rsidR="00F42FA1" w:rsidRPr="00996118">
        <w:rPr>
          <w:rFonts w:ascii="Source Sans Pro" w:hAnsi="Source Sans Pro"/>
          <w:color w:val="000000"/>
          <w:szCs w:val="22"/>
        </w:rPr>
        <w:t xml:space="preserve">. </w:t>
      </w:r>
      <w:r w:rsidR="00364377" w:rsidRPr="00996118">
        <w:rPr>
          <w:rFonts w:ascii="Source Sans Pro" w:hAnsi="Source Sans Pro"/>
          <w:color w:val="000000"/>
          <w:szCs w:val="22"/>
        </w:rPr>
        <w:t>The OAIC considered th</w:t>
      </w:r>
      <w:r w:rsidR="00887A56" w:rsidRPr="00996118">
        <w:rPr>
          <w:rFonts w:ascii="Source Sans Pro" w:hAnsi="Source Sans Pro"/>
          <w:color w:val="000000"/>
          <w:szCs w:val="22"/>
        </w:rPr>
        <w:t>ese</w:t>
      </w:r>
      <w:r w:rsidR="00364377" w:rsidRPr="00996118">
        <w:rPr>
          <w:rFonts w:ascii="Source Sans Pro" w:hAnsi="Source Sans Pro"/>
          <w:color w:val="000000"/>
          <w:szCs w:val="22"/>
        </w:rPr>
        <w:t xml:space="preserve"> issue</w:t>
      </w:r>
      <w:r w:rsidR="00887A56" w:rsidRPr="00996118">
        <w:rPr>
          <w:rFonts w:ascii="Source Sans Pro" w:hAnsi="Source Sans Pro"/>
          <w:color w:val="000000"/>
          <w:szCs w:val="22"/>
        </w:rPr>
        <w:t xml:space="preserve">s </w:t>
      </w:r>
      <w:r w:rsidR="00364377" w:rsidRPr="00996118">
        <w:rPr>
          <w:rFonts w:ascii="Source Sans Pro" w:hAnsi="Source Sans Pro"/>
          <w:color w:val="000000"/>
          <w:szCs w:val="22"/>
        </w:rPr>
        <w:t>in</w:t>
      </w:r>
      <w:r w:rsidR="00887A56" w:rsidRPr="00996118">
        <w:rPr>
          <w:rFonts w:ascii="Source Sans Pro" w:hAnsi="Source Sans Pro"/>
          <w:color w:val="000000"/>
          <w:szCs w:val="22"/>
        </w:rPr>
        <w:t xml:space="preserve"> a position paper titled </w:t>
      </w:r>
      <w:r w:rsidR="00887A56" w:rsidRPr="00DD21E0">
        <w:rPr>
          <w:rFonts w:ascii="Source Sans Pro" w:hAnsi="Source Sans Pro"/>
          <w:i/>
          <w:iCs/>
          <w:color w:val="000000"/>
          <w:szCs w:val="22"/>
        </w:rPr>
        <w:t>’Disclosure of public servant details in response to a freedom of information request</w:t>
      </w:r>
      <w:r w:rsidR="00887A56" w:rsidRPr="00996118">
        <w:rPr>
          <w:rFonts w:ascii="Source Sans Pro" w:hAnsi="Source Sans Pro"/>
          <w:color w:val="000000"/>
          <w:szCs w:val="22"/>
        </w:rPr>
        <w:t>’ published in August 2020.</w:t>
      </w:r>
      <w:r w:rsidR="00996118">
        <w:rPr>
          <w:rStyle w:val="FootnoteReference"/>
          <w:rFonts w:ascii="Source Sans Pro" w:hAnsi="Source Sans Pro"/>
          <w:color w:val="000000"/>
          <w:szCs w:val="22"/>
        </w:rPr>
        <w:footnoteReference w:id="141"/>
      </w:r>
      <w:r w:rsidR="00887A56" w:rsidRPr="00996118">
        <w:rPr>
          <w:rFonts w:ascii="Source Sans Pro" w:hAnsi="Source Sans Pro"/>
          <w:color w:val="000000"/>
          <w:szCs w:val="22"/>
        </w:rPr>
        <w:t xml:space="preserve"> </w:t>
      </w:r>
      <w:r w:rsidR="00887A56" w:rsidRPr="00DD21E0">
        <w:rPr>
          <w:color w:val="000000"/>
          <w:szCs w:val="22"/>
        </w:rPr>
        <w:t>This paper noted the evolution of the digital environment</w:t>
      </w:r>
      <w:r w:rsidR="00887A56" w:rsidRPr="00996118">
        <w:rPr>
          <w:color w:val="000000"/>
          <w:szCs w:val="22"/>
        </w:rPr>
        <w:t xml:space="preserve"> and </w:t>
      </w:r>
      <w:r w:rsidR="00996118" w:rsidRPr="00996118">
        <w:rPr>
          <w:color w:val="000000"/>
          <w:szCs w:val="22"/>
        </w:rPr>
        <w:t xml:space="preserve">the </w:t>
      </w:r>
      <w:r w:rsidR="00887A56" w:rsidRPr="00DD21E0">
        <w:rPr>
          <w:color w:val="000000"/>
          <w:szCs w:val="22"/>
        </w:rPr>
        <w:t xml:space="preserve">new risks for </w:t>
      </w:r>
      <w:r w:rsidR="00996118" w:rsidRPr="00996118">
        <w:rPr>
          <w:color w:val="000000"/>
          <w:szCs w:val="22"/>
        </w:rPr>
        <w:t xml:space="preserve">both </w:t>
      </w:r>
      <w:r w:rsidR="00887A56" w:rsidRPr="00DD21E0">
        <w:rPr>
          <w:color w:val="000000"/>
          <w:szCs w:val="22"/>
        </w:rPr>
        <w:t>public servants</w:t>
      </w:r>
      <w:r w:rsidR="00996118" w:rsidRPr="00996118">
        <w:rPr>
          <w:color w:val="000000"/>
          <w:szCs w:val="22"/>
        </w:rPr>
        <w:t xml:space="preserve"> and </w:t>
      </w:r>
      <w:r w:rsidR="00887A56" w:rsidRPr="00DD21E0">
        <w:rPr>
          <w:color w:val="000000"/>
          <w:szCs w:val="22"/>
        </w:rPr>
        <w:t>citizens</w:t>
      </w:r>
      <w:r w:rsidR="00996118">
        <w:rPr>
          <w:color w:val="000000"/>
          <w:szCs w:val="22"/>
        </w:rPr>
        <w:t xml:space="preserve"> but c</w:t>
      </w:r>
      <w:r w:rsidR="00996118" w:rsidRPr="00996118">
        <w:rPr>
          <w:color w:val="000000"/>
          <w:szCs w:val="22"/>
        </w:rPr>
        <w:t xml:space="preserve">onfirmed </w:t>
      </w:r>
      <w:r w:rsidR="00996118">
        <w:rPr>
          <w:color w:val="000000"/>
          <w:szCs w:val="22"/>
        </w:rPr>
        <w:t xml:space="preserve">the </w:t>
      </w:r>
      <w:r w:rsidR="00996118" w:rsidRPr="00996118">
        <w:rPr>
          <w:color w:val="000000"/>
          <w:szCs w:val="22"/>
        </w:rPr>
        <w:t xml:space="preserve">Information Commissioner’s view that </w:t>
      </w:r>
      <w:r w:rsidR="00996118">
        <w:rPr>
          <w:color w:val="000000"/>
          <w:szCs w:val="22"/>
        </w:rPr>
        <w:t>a</w:t>
      </w:r>
      <w:r w:rsidR="00996118" w:rsidRPr="00DD21E0">
        <w:rPr>
          <w:rFonts w:ascii="Source Sans Pro" w:eastAsia="Times New Roman" w:hAnsi="Source Sans Pro"/>
          <w:color w:val="000000"/>
          <w:szCs w:val="22"/>
          <w:lang w:eastAsia="en-AU"/>
        </w:rPr>
        <w:t>gencies and ministers should start from the position that including the full names of staff in documents released in response to FOI requests increases transparency and accountability of government and is consistent with the objects of the FOI Act.</w:t>
      </w:r>
    </w:p>
    <w:p w14:paraId="17955B1A" w14:textId="7B9D2A7B" w:rsidR="00CA30AB" w:rsidRPr="00DD21E0" w:rsidRDefault="00996118" w:rsidP="00CA30AB">
      <w:pPr>
        <w:pStyle w:val="NumberedParagraphs"/>
        <w:ind w:left="567"/>
        <w:rPr>
          <w:szCs w:val="22"/>
        </w:rPr>
      </w:pPr>
      <w:r>
        <w:rPr>
          <w:color w:val="000000"/>
          <w:szCs w:val="22"/>
        </w:rPr>
        <w:t>T</w:t>
      </w:r>
      <w:r w:rsidR="005A2CC2" w:rsidRPr="00DD21E0">
        <w:rPr>
          <w:color w:val="000000"/>
          <w:szCs w:val="22"/>
        </w:rPr>
        <w:t>his position</w:t>
      </w:r>
      <w:r w:rsidR="005A2CC2" w:rsidRPr="00CD49C5">
        <w:rPr>
          <w:rFonts w:ascii="Source Sans Pro" w:hAnsi="Source Sans Pro"/>
          <w:color w:val="000000"/>
          <w:szCs w:val="22"/>
        </w:rPr>
        <w:t xml:space="preserve"> was </w:t>
      </w:r>
      <w:r>
        <w:rPr>
          <w:rFonts w:ascii="Source Sans Pro" w:hAnsi="Source Sans Pro"/>
          <w:color w:val="000000"/>
          <w:szCs w:val="22"/>
        </w:rPr>
        <w:t xml:space="preserve">considered but </w:t>
      </w:r>
      <w:r w:rsidR="009E5BA4">
        <w:rPr>
          <w:rFonts w:ascii="Source Sans Pro" w:hAnsi="Source Sans Pro"/>
          <w:color w:val="000000"/>
          <w:szCs w:val="22"/>
        </w:rPr>
        <w:t>not accepted</w:t>
      </w:r>
      <w:r w:rsidR="004A30C3" w:rsidRPr="00CD49C5">
        <w:rPr>
          <w:rFonts w:ascii="Source Sans Pro" w:hAnsi="Source Sans Pro"/>
          <w:color w:val="000000"/>
          <w:szCs w:val="22"/>
        </w:rPr>
        <w:t xml:space="preserve"> by </w:t>
      </w:r>
      <w:r w:rsidR="00CD49C5" w:rsidRPr="00CD49C5">
        <w:rPr>
          <w:rFonts w:ascii="Source Sans Pro" w:hAnsi="Source Sans Pro"/>
          <w:color w:val="000000"/>
          <w:szCs w:val="22"/>
        </w:rPr>
        <w:t xml:space="preserve">Deputy </w:t>
      </w:r>
      <w:r w:rsidR="00137CF5">
        <w:rPr>
          <w:rFonts w:ascii="Source Sans Pro" w:hAnsi="Source Sans Pro"/>
          <w:color w:val="000000"/>
          <w:szCs w:val="22"/>
        </w:rPr>
        <w:t>P</w:t>
      </w:r>
      <w:r w:rsidR="00CD49C5" w:rsidRPr="00CD49C5">
        <w:rPr>
          <w:rFonts w:ascii="Source Sans Pro" w:hAnsi="Source Sans Pro"/>
          <w:color w:val="000000"/>
          <w:szCs w:val="22"/>
        </w:rPr>
        <w:t xml:space="preserve">resident Forgie in </w:t>
      </w:r>
      <w:r w:rsidR="00CD49C5" w:rsidRPr="00DD21E0">
        <w:rPr>
          <w:rFonts w:ascii="Source Sans Pro" w:hAnsi="Source Sans Pro"/>
          <w:i/>
          <w:iCs/>
          <w:color w:val="333333"/>
          <w:shd w:val="clear" w:color="auto" w:fill="FFFFFF"/>
        </w:rPr>
        <w:t>Warren; Chief Executive Officer, Services Australia and (Freedom of information)</w:t>
      </w:r>
      <w:r w:rsidR="00CD49C5" w:rsidRPr="00DD21E0">
        <w:rPr>
          <w:rFonts w:ascii="Source Sans Pro" w:hAnsi="Source Sans Pro"/>
          <w:color w:val="333333"/>
          <w:shd w:val="clear" w:color="auto" w:fill="FFFFFF"/>
        </w:rPr>
        <w:t> </w:t>
      </w:r>
      <w:hyperlink r:id="rId12" w:tooltip="View Case" w:history="1">
        <w:r w:rsidR="00CD49C5" w:rsidRPr="00DD21E0">
          <w:rPr>
            <w:rStyle w:val="Hyperlink"/>
            <w:rFonts w:ascii="Source Sans Pro" w:hAnsi="Source Sans Pro"/>
            <w:color w:val="3796CC"/>
            <w:shd w:val="clear" w:color="auto" w:fill="FFFFFF"/>
          </w:rPr>
          <w:t>[2020] AATA 4557</w:t>
        </w:r>
      </w:hyperlink>
      <w:r w:rsidR="002B0CAA">
        <w:rPr>
          <w:rFonts w:ascii="Source Sans Pro" w:hAnsi="Source Sans Pro"/>
          <w:color w:val="333333"/>
          <w:shd w:val="clear" w:color="auto" w:fill="FFFFFF"/>
        </w:rPr>
        <w:t xml:space="preserve"> (</w:t>
      </w:r>
      <w:r w:rsidR="002B0CAA" w:rsidRPr="00DD21E0">
        <w:rPr>
          <w:rFonts w:ascii="Source Sans Pro" w:hAnsi="Source Sans Pro"/>
          <w:i/>
          <w:iCs/>
          <w:color w:val="333333"/>
          <w:shd w:val="clear" w:color="auto" w:fill="FFFFFF"/>
        </w:rPr>
        <w:t>Warren</w:t>
      </w:r>
      <w:r w:rsidR="002B0CAA" w:rsidRPr="00DD21E0">
        <w:rPr>
          <w:color w:val="333333"/>
          <w:szCs w:val="22"/>
          <w:shd w:val="clear" w:color="auto" w:fill="FFFFFF"/>
        </w:rPr>
        <w:t>)</w:t>
      </w:r>
      <w:r w:rsidR="00CD49C5" w:rsidRPr="00DD21E0">
        <w:rPr>
          <w:color w:val="333333"/>
          <w:szCs w:val="22"/>
          <w:shd w:val="clear" w:color="auto" w:fill="FFFFFF"/>
        </w:rPr>
        <w:t xml:space="preserve">. In </w:t>
      </w:r>
      <w:r w:rsidR="002B0CAA" w:rsidRPr="00DD21E0">
        <w:rPr>
          <w:i/>
          <w:iCs/>
          <w:color w:val="333333"/>
          <w:szCs w:val="22"/>
          <w:shd w:val="clear" w:color="auto" w:fill="FFFFFF"/>
        </w:rPr>
        <w:t>Warren</w:t>
      </w:r>
      <w:r w:rsidR="002B0CAA" w:rsidRPr="00DD21E0">
        <w:rPr>
          <w:color w:val="333333"/>
          <w:szCs w:val="22"/>
          <w:shd w:val="clear" w:color="auto" w:fill="FFFFFF"/>
        </w:rPr>
        <w:t xml:space="preserve">, Deputy President Forgie </w:t>
      </w:r>
      <w:r w:rsidR="00CB1E34" w:rsidRPr="00DD21E0">
        <w:rPr>
          <w:color w:val="02283B"/>
          <w:szCs w:val="22"/>
          <w:shd w:val="clear" w:color="auto" w:fill="FFFFFF"/>
        </w:rPr>
        <w:t>accepted that the words of s 47F should be the starting point of any consideration</w:t>
      </w:r>
      <w:r w:rsidR="00B73A38">
        <w:rPr>
          <w:color w:val="02283B"/>
          <w:szCs w:val="22"/>
          <w:shd w:val="clear" w:color="auto" w:fill="FFFFFF"/>
        </w:rPr>
        <w:t>,</w:t>
      </w:r>
      <w:r w:rsidR="00CB1E34" w:rsidRPr="00DD21E0">
        <w:rPr>
          <w:color w:val="02283B"/>
          <w:szCs w:val="22"/>
          <w:shd w:val="clear" w:color="auto" w:fill="FFFFFF"/>
        </w:rPr>
        <w:t xml:space="preserve"> rather than any presumption that </w:t>
      </w:r>
      <w:r w:rsidR="006447CF">
        <w:rPr>
          <w:color w:val="02283B"/>
          <w:szCs w:val="22"/>
          <w:shd w:val="clear" w:color="auto" w:fill="FFFFFF"/>
        </w:rPr>
        <w:t>disclosing t</w:t>
      </w:r>
      <w:r w:rsidR="00CB1E34" w:rsidRPr="00DD21E0">
        <w:rPr>
          <w:color w:val="02283B"/>
          <w:szCs w:val="22"/>
          <w:shd w:val="clear" w:color="auto" w:fill="FFFFFF"/>
        </w:rPr>
        <w:t xml:space="preserve">he full names of </w:t>
      </w:r>
      <w:r w:rsidR="00CB1E34" w:rsidRPr="00DD21E0">
        <w:rPr>
          <w:color w:val="02283B"/>
          <w:szCs w:val="22"/>
          <w:shd w:val="clear" w:color="auto" w:fill="FFFFFF"/>
        </w:rPr>
        <w:lastRenderedPageBreak/>
        <w:t xml:space="preserve">staff in documents increases transparency and </w:t>
      </w:r>
      <w:r w:rsidR="00DC5628">
        <w:rPr>
          <w:color w:val="02283B"/>
          <w:szCs w:val="22"/>
          <w:shd w:val="clear" w:color="auto" w:fill="FFFFFF"/>
        </w:rPr>
        <w:t>promotes t</w:t>
      </w:r>
      <w:r w:rsidR="00CB1E34" w:rsidRPr="00DD21E0">
        <w:rPr>
          <w:color w:val="02283B"/>
          <w:szCs w:val="22"/>
          <w:shd w:val="clear" w:color="auto" w:fill="FFFFFF"/>
        </w:rPr>
        <w:t>he objects of the FOI Act, or that absent special circumstances, a public servant’s name should generally be disclosed</w:t>
      </w:r>
      <w:r w:rsidR="00B73A38">
        <w:rPr>
          <w:color w:val="02283B"/>
          <w:szCs w:val="22"/>
          <w:shd w:val="clear" w:color="auto" w:fill="FFFFFF"/>
        </w:rPr>
        <w:t xml:space="preserve">. </w:t>
      </w:r>
      <w:r w:rsidR="00A6419B">
        <w:rPr>
          <w:color w:val="02283B"/>
          <w:szCs w:val="22"/>
          <w:shd w:val="clear" w:color="auto" w:fill="FFFFFF"/>
        </w:rPr>
        <w:t>Deputy President Forgie said:</w:t>
      </w:r>
    </w:p>
    <w:p w14:paraId="0384B3A0" w14:textId="364E28D4" w:rsidR="00521D84" w:rsidRDefault="00A803B1" w:rsidP="00A803B1">
      <w:pPr>
        <w:pStyle w:val="NumberedParagraphs"/>
        <w:numPr>
          <w:ilvl w:val="0"/>
          <w:numId w:val="0"/>
        </w:numPr>
        <w:ind w:left="993"/>
        <w:rPr>
          <w:lang w:eastAsia="en-AU"/>
        </w:rPr>
      </w:pPr>
      <w:r>
        <w:rPr>
          <w:lang w:eastAsia="en-AU"/>
        </w:rPr>
        <w:t xml:space="preserve">… </w:t>
      </w:r>
      <w:r w:rsidR="00521D84" w:rsidRPr="00DD21E0">
        <w:rPr>
          <w:lang w:eastAsia="en-AU"/>
        </w:rPr>
        <w:t>It is important to understand the exemptions in the context of the FOI Act as enacted. Its objects, as set out in ss 3 and 3A, make no reference to accountability. Apart from objects associated directly with accessibility to information held by the Commonwealth as a public resource, the objects focus on the way in which accessibility promotes Australia’s representative democracy. In particular, they focus on increasing public participation in “</w:t>
      </w:r>
      <w:r w:rsidR="00521D84" w:rsidRPr="00DD21E0">
        <w:rPr>
          <w:i/>
          <w:iCs/>
          <w:lang w:eastAsia="en-AU"/>
        </w:rPr>
        <w:t>Government processes</w:t>
      </w:r>
      <w:r w:rsidR="00521D84" w:rsidRPr="00DD21E0">
        <w:rPr>
          <w:lang w:eastAsia="en-AU"/>
        </w:rPr>
        <w:t>” and on increasing scrutiny, discussion, comment and review of “</w:t>
      </w:r>
      <w:r w:rsidR="00521D84" w:rsidRPr="00DD21E0">
        <w:rPr>
          <w:i/>
          <w:iCs/>
          <w:lang w:eastAsia="en-AU"/>
        </w:rPr>
        <w:t>Government activities</w:t>
      </w:r>
      <w:r w:rsidR="00521D84" w:rsidRPr="00DD21E0">
        <w:rPr>
          <w:lang w:eastAsia="en-AU"/>
        </w:rPr>
        <w:t>”. The word “</w:t>
      </w:r>
      <w:r w:rsidR="00521D84" w:rsidRPr="00DD21E0">
        <w:rPr>
          <w:i/>
          <w:iCs/>
          <w:lang w:eastAsia="en-AU"/>
        </w:rPr>
        <w:t>accountability</w:t>
      </w:r>
      <w:r w:rsidR="00521D84" w:rsidRPr="00DD21E0">
        <w:rPr>
          <w:lang w:eastAsia="en-AU"/>
        </w:rPr>
        <w:t>” tends to blur that focus and take scrutiny to the level of scrutiny of individual APS employees and contractors. The FOI Act’s objectives do not establish a separate merits review process of the activities of individuals engaged in the Government’s processes or activities.</w:t>
      </w:r>
    </w:p>
    <w:p w14:paraId="67AFE1F3" w14:textId="655A60BE" w:rsidR="00AE26BE" w:rsidRPr="00DD21E0" w:rsidRDefault="00AE26BE" w:rsidP="00DD21E0">
      <w:pPr>
        <w:pStyle w:val="NumberedParagraphs"/>
        <w:numPr>
          <w:ilvl w:val="0"/>
          <w:numId w:val="0"/>
        </w:numPr>
        <w:ind w:left="993"/>
        <w:rPr>
          <w:lang w:eastAsia="en-AU"/>
        </w:rPr>
      </w:pPr>
      <w:r>
        <w:rPr>
          <w:rFonts w:ascii="Source Sans Pro" w:hAnsi="Source Sans Pro"/>
          <w:color w:val="333333"/>
          <w:shd w:val="clear" w:color="auto" w:fill="FFFFFF"/>
        </w:rPr>
        <w:t>There may be cases in which disclosure of individual’s names may increase scrutiny, discussion or comment of Government processes or activities. In others, the names of those responsible for the processes or activities may be neither here nor there in their scrutiny.</w:t>
      </w:r>
      <w:r w:rsidR="00946B48">
        <w:rPr>
          <w:rStyle w:val="FootnoteReference"/>
          <w:rFonts w:ascii="Source Sans Pro" w:hAnsi="Source Sans Pro"/>
          <w:color w:val="333333"/>
          <w:shd w:val="clear" w:color="auto" w:fill="FFFFFF"/>
        </w:rPr>
        <w:footnoteReference w:id="142"/>
      </w:r>
    </w:p>
    <w:p w14:paraId="241DAE39" w14:textId="5773B7DA" w:rsidR="001C444D" w:rsidRDefault="00FC597B" w:rsidP="00B73860">
      <w:pPr>
        <w:pStyle w:val="NumberedParagraphs"/>
        <w:ind w:left="567"/>
      </w:pPr>
      <w:r>
        <w:t xml:space="preserve">Following the decision in Warren, </w:t>
      </w:r>
      <w:r w:rsidR="001C444D">
        <w:t xml:space="preserve">IC review decisions </w:t>
      </w:r>
      <w:r>
        <w:t>from 202</w:t>
      </w:r>
      <w:r w:rsidR="00364377">
        <w:t>1</w:t>
      </w:r>
      <w:r>
        <w:t xml:space="preserve"> </w:t>
      </w:r>
      <w:r w:rsidR="001C444D">
        <w:t xml:space="preserve">have adopted the considerations identified by DP Forgie in </w:t>
      </w:r>
      <w:r w:rsidR="001C444D" w:rsidRPr="00DD21E0">
        <w:rPr>
          <w:i/>
          <w:iCs/>
        </w:rPr>
        <w:t>Warren</w:t>
      </w:r>
      <w:r w:rsidR="001C444D">
        <w:t>.</w:t>
      </w:r>
      <w:r w:rsidR="008103C3">
        <w:rPr>
          <w:rStyle w:val="FootnoteReference"/>
        </w:rPr>
        <w:footnoteReference w:id="143"/>
      </w:r>
    </w:p>
    <w:p w14:paraId="33323B09" w14:textId="047F5648" w:rsidR="00C46DB4" w:rsidRPr="004E0F14" w:rsidRDefault="00C46DB4" w:rsidP="00B73860">
      <w:pPr>
        <w:pStyle w:val="NumberedParagraphs"/>
        <w:ind w:left="567"/>
      </w:pPr>
      <w:r w:rsidRPr="00C23A30">
        <w:t xml:space="preserve">Concerns about the work health and safety impacts of disclosing public servants’ personal information </w:t>
      </w:r>
      <w:r w:rsidR="0085271C" w:rsidRPr="00C23A30">
        <w:t xml:space="preserve">may be </w:t>
      </w:r>
      <w:r w:rsidRPr="00C23A30">
        <w:t>more appropriately addressed under the conditional exemption in s</w:t>
      </w:r>
      <w:r w:rsidR="0085271C">
        <w:t> </w:t>
      </w:r>
      <w:r w:rsidRPr="0020561F">
        <w:t xml:space="preserve">47E(c) rather than </w:t>
      </w:r>
      <w:r w:rsidRPr="004E0F14">
        <w:t>under</w:t>
      </w:r>
      <w:r w:rsidR="00B9318E" w:rsidRPr="004E0F14">
        <w:t xml:space="preserve"> s</w:t>
      </w:r>
      <w:r w:rsidRPr="004E0F14">
        <w:t xml:space="preserve"> 47F</w:t>
      </w:r>
      <w:bookmarkEnd w:id="196"/>
      <w:r w:rsidRPr="004E0F14">
        <w:t xml:space="preserve"> (see [</w:t>
      </w:r>
      <w:r w:rsidR="00855CB5" w:rsidRPr="004E0F14">
        <w:t>6.</w:t>
      </w:r>
      <w:r w:rsidR="004E0F14" w:rsidRPr="004E0F14">
        <w:t>104</w:t>
      </w:r>
      <w:r w:rsidRPr="004E0F14">
        <w:t xml:space="preserve">]). </w:t>
      </w:r>
    </w:p>
    <w:bookmarkEnd w:id="197"/>
    <w:p w14:paraId="60CB5D4B" w14:textId="4234C38F" w:rsidR="00BB0A82" w:rsidRPr="007500E4" w:rsidRDefault="00BB0A82" w:rsidP="00B73860">
      <w:pPr>
        <w:pStyle w:val="NumberedParagraphs"/>
        <w:ind w:left="567"/>
      </w:pPr>
      <w:r w:rsidRPr="007500E4">
        <w:t xml:space="preserve">When considering whether it would be unreasonable to disclose the names of public servants, there is no basis under the FOI Act for agencies to start from the position that the classification level of a departmental officer determines whether </w:t>
      </w:r>
      <w:r w:rsidR="00DD6BDB">
        <w:t>their</w:t>
      </w:r>
      <w:r w:rsidRPr="007500E4">
        <w:t xml:space="preserve"> name would be unreasonable </w:t>
      </w:r>
      <w:r>
        <w:t xml:space="preserve">to </w:t>
      </w:r>
      <w:r w:rsidRPr="007500E4">
        <w:t>disclose. In seeking to claim the exemption</w:t>
      </w:r>
      <w:r w:rsidR="00DD6BDB">
        <w:t>,</w:t>
      </w:r>
      <w:r w:rsidRPr="007500E4">
        <w:t xml:space="preserve"> an agency needs to </w:t>
      </w:r>
      <w:r w:rsidR="00E1263F">
        <w:t xml:space="preserve">consider the factors identified above </w:t>
      </w:r>
      <w:r w:rsidR="00E1263F" w:rsidRPr="00E41469">
        <w:t>at [6.1</w:t>
      </w:r>
      <w:r w:rsidR="00E41469" w:rsidRPr="00E41469">
        <w:t>30</w:t>
      </w:r>
      <w:r w:rsidR="00E1263F" w:rsidRPr="00E41469">
        <w:t>] and [6.1</w:t>
      </w:r>
      <w:r w:rsidR="00E41469" w:rsidRPr="00E41469">
        <w:t>33</w:t>
      </w:r>
      <w:r w:rsidR="00E1263F" w:rsidRPr="00E41469">
        <w:t xml:space="preserve">] </w:t>
      </w:r>
      <w:r w:rsidRPr="00E41469">
        <w:t>i</w:t>
      </w:r>
      <w:r w:rsidR="00E1263F" w:rsidRPr="00E41469">
        <w:t>n the</w:t>
      </w:r>
      <w:r w:rsidR="00E1263F">
        <w:t xml:space="preserve"> context </w:t>
      </w:r>
      <w:r w:rsidR="0056693D">
        <w:t>of the document</w:t>
      </w:r>
      <w:r w:rsidR="00E629DE">
        <w:t>,</w:t>
      </w:r>
      <w:r w:rsidR="0056693D">
        <w:t xml:space="preserve"> </w:t>
      </w:r>
      <w:r w:rsidRPr="007500E4">
        <w:t>rather than start from the assumption that such information is exempt.</w:t>
      </w:r>
      <w:r w:rsidRPr="007500E4">
        <w:rPr>
          <w:rStyle w:val="FootnoteReference"/>
        </w:rPr>
        <w:footnoteReference w:id="144"/>
      </w:r>
    </w:p>
    <w:p w14:paraId="3C76D947" w14:textId="345E8DB7" w:rsidR="00BB0A82" w:rsidRPr="00DD07E1" w:rsidRDefault="00BB0A82" w:rsidP="00B123C1">
      <w:pPr>
        <w:pStyle w:val="NumberedParagraphs"/>
        <w:numPr>
          <w:ilvl w:val="0"/>
          <w:numId w:val="0"/>
        </w:numPr>
        <w:ind w:left="567"/>
      </w:pPr>
      <w:r w:rsidRPr="007500E4">
        <w:t>A</w:t>
      </w:r>
      <w:r w:rsidRPr="00DD07E1">
        <w:t xml:space="preserve"> document </w:t>
      </w:r>
      <w:r w:rsidRPr="007500E4">
        <w:t>may</w:t>
      </w:r>
      <w:r w:rsidRPr="00DD07E1">
        <w:t xml:space="preserve"> </w:t>
      </w:r>
      <w:r>
        <w:t>however</w:t>
      </w:r>
      <w:r w:rsidRPr="00DD07E1">
        <w:t xml:space="preserve"> be exempt </w:t>
      </w:r>
      <w:r w:rsidRPr="007500E4">
        <w:t>for</w:t>
      </w:r>
      <w:r w:rsidRPr="00DD07E1">
        <w:t xml:space="preserve"> another reason, </w:t>
      </w:r>
      <w:r w:rsidRPr="007500E4">
        <w:t>for</w:t>
      </w:r>
      <w:r w:rsidRPr="00DD07E1">
        <w:t xml:space="preserve"> </w:t>
      </w:r>
      <w:r w:rsidRPr="007500E4">
        <w:t xml:space="preserve">example, </w:t>
      </w:r>
      <w:r w:rsidRPr="00DD07E1">
        <w:t>where</w:t>
      </w:r>
      <w:r w:rsidRPr="00446C2C">
        <w:rPr>
          <w:w w:val="99"/>
        </w:rPr>
        <w:t xml:space="preserve"> </w:t>
      </w:r>
      <w:r w:rsidRPr="00DD07E1">
        <w:t xml:space="preserve">disclosure would, </w:t>
      </w:r>
      <w:r w:rsidRPr="007500E4">
        <w:t>or</w:t>
      </w:r>
      <w:r w:rsidRPr="00DD07E1">
        <w:t xml:space="preserve"> could reasonably </w:t>
      </w:r>
      <w:r w:rsidRPr="007500E4">
        <w:t>be</w:t>
      </w:r>
      <w:r w:rsidRPr="00DD07E1">
        <w:t xml:space="preserve"> expected to, endanger the life </w:t>
      </w:r>
      <w:r w:rsidRPr="007500E4">
        <w:t>or</w:t>
      </w:r>
      <w:r w:rsidRPr="00DD07E1">
        <w:t xml:space="preserve"> physical safety </w:t>
      </w:r>
      <w:r w:rsidRPr="007500E4">
        <w:t>of any</w:t>
      </w:r>
      <w:r w:rsidRPr="00DD07E1">
        <w:t xml:space="preserve"> person (s 37(1)(c)). </w:t>
      </w:r>
    </w:p>
    <w:p w14:paraId="367A3B55" w14:textId="63CD7E7C" w:rsidR="00BB0A82" w:rsidRPr="00693BDA" w:rsidRDefault="00BB0A82" w:rsidP="002813D6">
      <w:pPr>
        <w:pStyle w:val="Heading3"/>
      </w:pPr>
      <w:bookmarkStart w:id="198" w:name="_Toc11154506"/>
      <w:bookmarkStart w:id="199" w:name="_Toc141875234"/>
      <w:r w:rsidRPr="00693BDA">
        <w:t xml:space="preserve">Information </w:t>
      </w:r>
      <w:r w:rsidR="00C227AE">
        <w:t>relating to</w:t>
      </w:r>
      <w:r w:rsidRPr="00693BDA">
        <w:t xml:space="preserve"> APS </w:t>
      </w:r>
      <w:r w:rsidR="00EB52AF">
        <w:t>recruitment processes</w:t>
      </w:r>
      <w:bookmarkEnd w:id="198"/>
      <w:bookmarkEnd w:id="199"/>
    </w:p>
    <w:p w14:paraId="0A42EABF" w14:textId="694EAEAD" w:rsidR="00BB0A82" w:rsidRPr="00DD07E1" w:rsidRDefault="00FA4881" w:rsidP="00B73860">
      <w:pPr>
        <w:pStyle w:val="NumberedParagraphs"/>
        <w:ind w:left="567"/>
      </w:pPr>
      <w:bookmarkStart w:id="200" w:name="_Ref381187333"/>
      <w:r>
        <w:t>F</w:t>
      </w:r>
      <w:r w:rsidR="00086465">
        <w:t xml:space="preserve">ollowing </w:t>
      </w:r>
      <w:r w:rsidR="00BB0A82" w:rsidRPr="00DD07E1">
        <w:t xml:space="preserve">recruitment processes, an agency may receive an FOI request from an unsuccessful candidate </w:t>
      </w:r>
      <w:r w:rsidR="001B2B42">
        <w:t>seeking</w:t>
      </w:r>
      <w:r w:rsidR="00BB0A82" w:rsidRPr="00DD07E1">
        <w:t xml:space="preserve"> information about the person </w:t>
      </w:r>
      <w:r w:rsidR="00495C6F">
        <w:t xml:space="preserve">selected for </w:t>
      </w:r>
      <w:r w:rsidR="00BB0A82" w:rsidRPr="00DD07E1">
        <w:t>the position</w:t>
      </w:r>
      <w:r w:rsidR="00BB0A82">
        <w:t xml:space="preserve"> or </w:t>
      </w:r>
      <w:r w:rsidR="001B2B42">
        <w:t xml:space="preserve">about </w:t>
      </w:r>
      <w:r w:rsidR="00BB0A82">
        <w:t>the other applicants</w:t>
      </w:r>
      <w:r w:rsidR="00BB0A82" w:rsidRPr="00DD07E1">
        <w:t>.</w:t>
      </w:r>
      <w:r w:rsidR="00BB0A82" w:rsidRPr="00DD07E1" w:rsidDel="00544F81">
        <w:rPr>
          <w:rStyle w:val="CommentReference"/>
          <w:rFonts w:eastAsiaTheme="minorHAnsi"/>
        </w:rPr>
        <w:t xml:space="preserve"> </w:t>
      </w:r>
    </w:p>
    <w:bookmarkEnd w:id="200"/>
    <w:p w14:paraId="44346413" w14:textId="51D9C7CE" w:rsidR="00BB0A82" w:rsidRPr="00DD07E1" w:rsidRDefault="00BB0A82" w:rsidP="00B73860">
      <w:pPr>
        <w:pStyle w:val="NumberedParagraphs"/>
        <w:ind w:left="567"/>
      </w:pPr>
      <w:r w:rsidRPr="00DD07E1">
        <w:lastRenderedPageBreak/>
        <w:t xml:space="preserve">The decision in </w:t>
      </w:r>
      <w:r w:rsidRPr="00DD07E1">
        <w:rPr>
          <w:i/>
        </w:rPr>
        <w:t>‘BA’ and Merit Protection Commissioner</w:t>
      </w:r>
      <w:r w:rsidRPr="00DD07E1">
        <w:rPr>
          <w:rStyle w:val="FootnoteReference"/>
          <w:i/>
        </w:rPr>
        <w:footnoteReference w:id="145"/>
      </w:r>
      <w:r w:rsidRPr="00DD07E1">
        <w:rPr>
          <w:i/>
        </w:rPr>
        <w:t xml:space="preserve"> </w:t>
      </w:r>
      <w:r w:rsidRPr="00DD07E1">
        <w:t xml:space="preserve">offers some guiding principles for assessing an FOI request </w:t>
      </w:r>
      <w:r w:rsidR="00C2058C">
        <w:t xml:space="preserve">seeking access to </w:t>
      </w:r>
      <w:r w:rsidR="00C227AE">
        <w:t>recruitment documentation</w:t>
      </w:r>
      <w:r w:rsidRPr="00DD07E1">
        <w:t xml:space="preserve">. However, an agency must consider each </w:t>
      </w:r>
      <w:r w:rsidR="005804A3">
        <w:t xml:space="preserve">FOI </w:t>
      </w:r>
      <w:r w:rsidRPr="00DD07E1">
        <w:t>request on its merits. A separate decision is required in each case as to whether disclosure of personal information about candidates from an APS recruitment process would be unreasonable.</w:t>
      </w:r>
      <w:r w:rsidRPr="00DD07E1">
        <w:rPr>
          <w:rStyle w:val="FootnoteReference"/>
        </w:rPr>
        <w:footnoteReference w:id="146"/>
      </w:r>
    </w:p>
    <w:p w14:paraId="28EFF9B5" w14:textId="3B1396AD" w:rsidR="00BB0A82" w:rsidRPr="005C3EF9" w:rsidRDefault="005C3EF9" w:rsidP="00B73860">
      <w:pPr>
        <w:pStyle w:val="NumberedParagraphs"/>
        <w:ind w:left="567"/>
        <w:rPr>
          <w:szCs w:val="22"/>
        </w:rPr>
      </w:pPr>
      <w:bookmarkStart w:id="201" w:name="_Ref381197487"/>
      <w:r w:rsidRPr="005C3EF9">
        <w:rPr>
          <w:szCs w:val="22"/>
          <w:lang w:eastAsia="en-AU"/>
        </w:rPr>
        <w:t xml:space="preserve">The </w:t>
      </w:r>
      <w:r w:rsidR="00BB0A82" w:rsidRPr="00B73860">
        <w:t>Public</w:t>
      </w:r>
      <w:r w:rsidR="00BB0A82" w:rsidRPr="005C3EF9">
        <w:rPr>
          <w:szCs w:val="22"/>
          <w:lang w:eastAsia="en-AU"/>
        </w:rPr>
        <w:t xml:space="preserve"> Service Commissioner</w:t>
      </w:r>
      <w:r w:rsidR="006E1601">
        <w:rPr>
          <w:szCs w:val="22"/>
          <w:lang w:eastAsia="en-AU"/>
        </w:rPr>
        <w:t xml:space="preserve"> </w:t>
      </w:r>
      <w:r w:rsidRPr="005C3EF9">
        <w:rPr>
          <w:szCs w:val="22"/>
          <w:lang w:eastAsia="en-AU"/>
        </w:rPr>
        <w:t xml:space="preserve">has issued </w:t>
      </w:r>
      <w:r w:rsidR="00BB0A82" w:rsidRPr="005C3EF9">
        <w:rPr>
          <w:szCs w:val="22"/>
          <w:lang w:eastAsia="en-AU"/>
        </w:rPr>
        <w:t xml:space="preserve">guidelines </w:t>
      </w:r>
      <w:r w:rsidRPr="005C3EF9">
        <w:rPr>
          <w:szCs w:val="22"/>
          <w:lang w:eastAsia="en-AU"/>
        </w:rPr>
        <w:t>to a</w:t>
      </w:r>
      <w:r w:rsidRPr="00C23A30">
        <w:rPr>
          <w:rFonts w:cs="Segoe UI"/>
          <w:color w:val="000000"/>
          <w:szCs w:val="22"/>
          <w:shd w:val="clear" w:color="auto" w:fill="FFFFFF"/>
        </w:rPr>
        <w:t>ssist agencies understand how s</w:t>
      </w:r>
      <w:r w:rsidR="006E1601">
        <w:rPr>
          <w:rFonts w:cs="Segoe UI"/>
          <w:color w:val="000000"/>
          <w:szCs w:val="22"/>
          <w:shd w:val="clear" w:color="auto" w:fill="FFFFFF"/>
        </w:rPr>
        <w:t> </w:t>
      </w:r>
      <w:r w:rsidRPr="00C23A30">
        <w:rPr>
          <w:rFonts w:cs="Segoe UI"/>
          <w:color w:val="000000"/>
          <w:szCs w:val="22"/>
          <w:shd w:val="clear" w:color="auto" w:fill="FFFFFF"/>
        </w:rPr>
        <w:t xml:space="preserve">103 of the </w:t>
      </w:r>
      <w:r w:rsidRPr="00C23A30">
        <w:rPr>
          <w:rFonts w:cs="Segoe UI"/>
          <w:i/>
          <w:iCs/>
          <w:color w:val="000000"/>
          <w:szCs w:val="22"/>
          <w:shd w:val="clear" w:color="auto" w:fill="FFFFFF"/>
        </w:rPr>
        <w:t>Public Service Regulations 2023</w:t>
      </w:r>
      <w:r w:rsidRPr="00C23A30">
        <w:rPr>
          <w:rFonts w:cs="Segoe UI"/>
          <w:color w:val="000000"/>
          <w:szCs w:val="22"/>
          <w:shd w:val="clear" w:color="auto" w:fill="FFFFFF"/>
        </w:rPr>
        <w:t xml:space="preserve"> affects their ability to use and disclose the personal information of</w:t>
      </w:r>
      <w:r w:rsidR="00896ADC">
        <w:rPr>
          <w:rFonts w:cs="Segoe UI"/>
          <w:color w:val="000000"/>
          <w:szCs w:val="22"/>
          <w:shd w:val="clear" w:color="auto" w:fill="FFFFFF"/>
        </w:rPr>
        <w:t xml:space="preserve"> staff </w:t>
      </w:r>
      <w:r w:rsidRPr="00C23A30">
        <w:rPr>
          <w:rFonts w:cs="Segoe UI"/>
          <w:color w:val="000000"/>
          <w:szCs w:val="22"/>
          <w:shd w:val="clear" w:color="auto" w:fill="FFFFFF"/>
        </w:rPr>
        <w:t>within their agencies and with other APS agencies.</w:t>
      </w:r>
      <w:r w:rsidR="00BB0A82" w:rsidRPr="005C3EF9">
        <w:rPr>
          <w:szCs w:val="22"/>
          <w:lang w:eastAsia="en-AU"/>
        </w:rPr>
        <w:t xml:space="preserve"> Agency compliance with </w:t>
      </w:r>
      <w:r>
        <w:rPr>
          <w:szCs w:val="22"/>
          <w:lang w:eastAsia="en-AU"/>
        </w:rPr>
        <w:t xml:space="preserve">these </w:t>
      </w:r>
      <w:r w:rsidR="00BB0A82" w:rsidRPr="005C3EF9">
        <w:rPr>
          <w:szCs w:val="22"/>
          <w:lang w:eastAsia="en-AU"/>
        </w:rPr>
        <w:t>guidelines will be a relevant consideration in deciding under s 47F whether disclosure of personal information relating to a public official would be unreasonable and contrary to the public interest.</w:t>
      </w:r>
      <w:bookmarkEnd w:id="201"/>
      <w:r>
        <w:rPr>
          <w:rStyle w:val="FootnoteReference"/>
          <w:szCs w:val="22"/>
          <w:lang w:eastAsia="en-AU"/>
        </w:rPr>
        <w:footnoteReference w:id="147"/>
      </w:r>
    </w:p>
    <w:p w14:paraId="194B4F33" w14:textId="77777777" w:rsidR="00BB0A82" w:rsidRPr="00693BDA" w:rsidRDefault="00BB0A82" w:rsidP="002813D6">
      <w:pPr>
        <w:pStyle w:val="Heading3"/>
      </w:pPr>
      <w:bookmarkStart w:id="202" w:name="_bookmark53"/>
      <w:bookmarkStart w:id="203" w:name="_Toc11154507"/>
      <w:bookmarkStart w:id="204" w:name="_Toc141875235"/>
      <w:bookmarkStart w:id="205" w:name="_Hlk50105017"/>
      <w:bookmarkEnd w:id="202"/>
      <w:r w:rsidRPr="00693BDA">
        <w:t>Consultation</w:t>
      </w:r>
      <w:bookmarkEnd w:id="203"/>
      <w:bookmarkEnd w:id="204"/>
    </w:p>
    <w:p w14:paraId="792A2513" w14:textId="17C3FF3C" w:rsidR="00BB0A82" w:rsidRPr="007500E4" w:rsidRDefault="00BB0A82" w:rsidP="00B73860">
      <w:pPr>
        <w:pStyle w:val="NumberedParagraphs"/>
        <w:ind w:left="567"/>
      </w:pPr>
      <w:bookmarkStart w:id="206" w:name="_bookmark54"/>
      <w:bookmarkStart w:id="207" w:name="_Ref458497448"/>
      <w:bookmarkEnd w:id="206"/>
      <w:r w:rsidRPr="007500E4">
        <w:t>Where</w:t>
      </w:r>
      <w:r w:rsidRPr="00DD07E1">
        <w:t xml:space="preserve"> </w:t>
      </w:r>
      <w:r w:rsidRPr="007500E4">
        <w:t>a</w:t>
      </w:r>
      <w:r w:rsidRPr="00DD07E1">
        <w:t xml:space="preserve"> document includes personal information relating </w:t>
      </w:r>
      <w:r w:rsidRPr="007500E4">
        <w:t>to</w:t>
      </w:r>
      <w:r w:rsidRPr="00DD07E1">
        <w:t xml:space="preserve"> </w:t>
      </w:r>
      <w:r w:rsidRPr="007500E4">
        <w:t>a</w:t>
      </w:r>
      <w:r w:rsidRPr="00DD07E1">
        <w:t xml:space="preserve"> person who </w:t>
      </w:r>
      <w:r w:rsidRPr="007500E4">
        <w:t>is</w:t>
      </w:r>
      <w:r w:rsidRPr="00DD07E1">
        <w:t xml:space="preserve"> not the</w:t>
      </w:r>
      <w:r w:rsidRPr="00DD07E1">
        <w:rPr>
          <w:w w:val="99"/>
        </w:rPr>
        <w:t xml:space="preserve"> </w:t>
      </w:r>
      <w:r w:rsidR="005804A3">
        <w:rPr>
          <w:w w:val="99"/>
        </w:rPr>
        <w:t xml:space="preserve">FOI </w:t>
      </w:r>
      <w:r w:rsidRPr="00DD07E1">
        <w:t xml:space="preserve">applicant, an agency </w:t>
      </w:r>
      <w:r w:rsidRPr="007500E4">
        <w:t>or</w:t>
      </w:r>
      <w:r w:rsidRPr="00DD07E1">
        <w:t xml:space="preserve"> </w:t>
      </w:r>
      <w:r w:rsidRPr="007500E4">
        <w:t>minister</w:t>
      </w:r>
      <w:r w:rsidRPr="00DD07E1">
        <w:t xml:space="preserve"> should give that individual (the third party) </w:t>
      </w:r>
      <w:r w:rsidRPr="007500E4">
        <w:t>a</w:t>
      </w:r>
      <w:r w:rsidRPr="00DD07E1">
        <w:t xml:space="preserve"> reasonable opportunity </w:t>
      </w:r>
      <w:r w:rsidRPr="007500E4">
        <w:t>to</w:t>
      </w:r>
      <w:r w:rsidRPr="00DD07E1">
        <w:t xml:space="preserve"> </w:t>
      </w:r>
      <w:r w:rsidR="00666716">
        <w:t>contend</w:t>
      </w:r>
      <w:r w:rsidRPr="00DD07E1">
        <w:t xml:space="preserve"> that the document </w:t>
      </w:r>
      <w:r w:rsidR="00525C27">
        <w:t>is</w:t>
      </w:r>
      <w:r w:rsidRPr="00DD07E1">
        <w:t xml:space="preserve"> exempt from disclosure</w:t>
      </w:r>
      <w:r w:rsidRPr="00DD07E1">
        <w:rPr>
          <w:w w:val="99"/>
        </w:rPr>
        <w:t xml:space="preserve"> </w:t>
      </w:r>
      <w:r w:rsidRPr="00DD07E1">
        <w:t xml:space="preserve">before </w:t>
      </w:r>
      <w:proofErr w:type="gramStart"/>
      <w:r w:rsidRPr="00DD07E1">
        <w:t xml:space="preserve">making </w:t>
      </w:r>
      <w:r w:rsidRPr="007500E4">
        <w:t>a</w:t>
      </w:r>
      <w:r w:rsidRPr="00DD07E1">
        <w:t xml:space="preserve"> </w:t>
      </w:r>
      <w:r w:rsidRPr="007500E4">
        <w:t>decision</w:t>
      </w:r>
      <w:proofErr w:type="gramEnd"/>
      <w:r w:rsidRPr="00DD07E1">
        <w:t xml:space="preserve"> </w:t>
      </w:r>
      <w:r w:rsidRPr="007500E4">
        <w:t>to</w:t>
      </w:r>
      <w:r w:rsidRPr="00DD07E1">
        <w:t xml:space="preserve"> give access</w:t>
      </w:r>
      <w:r w:rsidRPr="007500E4">
        <w:t xml:space="preserve"> </w:t>
      </w:r>
      <w:r w:rsidRPr="00DD07E1">
        <w:t xml:space="preserve">(s 27A). </w:t>
      </w:r>
      <w:r w:rsidRPr="007500E4">
        <w:t>If</w:t>
      </w:r>
      <w:r w:rsidRPr="00DD07E1">
        <w:t xml:space="preserve"> </w:t>
      </w:r>
      <w:r w:rsidRPr="007500E4">
        <w:t>the</w:t>
      </w:r>
      <w:r w:rsidRPr="00DD07E1">
        <w:t xml:space="preserve"> third party </w:t>
      </w:r>
      <w:r w:rsidRPr="007500E4">
        <w:t>is</w:t>
      </w:r>
      <w:r w:rsidRPr="00DD07E1">
        <w:t xml:space="preserve"> deceased, their </w:t>
      </w:r>
      <w:r w:rsidRPr="007500E4">
        <w:t>legal</w:t>
      </w:r>
      <w:r w:rsidRPr="00DD07E1">
        <w:t xml:space="preserve"> representative should </w:t>
      </w:r>
      <w:r w:rsidRPr="007500E4">
        <w:t>be</w:t>
      </w:r>
      <w:r w:rsidRPr="00DD07E1">
        <w:t xml:space="preserve"> given </w:t>
      </w:r>
      <w:r w:rsidRPr="007500E4">
        <w:t>this</w:t>
      </w:r>
      <w:r w:rsidRPr="00DD07E1">
        <w:t xml:space="preserve"> opportunity.</w:t>
      </w:r>
      <w:bookmarkEnd w:id="207"/>
    </w:p>
    <w:p w14:paraId="262E00ED" w14:textId="52189873" w:rsidR="00BB0A82" w:rsidRPr="007500E4" w:rsidRDefault="00BB0A82" w:rsidP="0020561F">
      <w:pPr>
        <w:pStyle w:val="NumberedParagraphs"/>
        <w:ind w:left="567"/>
      </w:pPr>
      <w:r w:rsidRPr="00DD07E1">
        <w:t>Such consultation should occur where</w:t>
      </w:r>
      <w:r w:rsidR="004A1116">
        <w:t xml:space="preserve"> </w:t>
      </w:r>
      <w:r w:rsidRPr="007500E4">
        <w:t>it</w:t>
      </w:r>
      <w:r w:rsidRPr="00DD07E1">
        <w:t xml:space="preserve"> appears </w:t>
      </w:r>
      <w:r w:rsidRPr="007500E4">
        <w:t>to</w:t>
      </w:r>
      <w:r w:rsidRPr="00DD07E1">
        <w:t xml:space="preserve"> the </w:t>
      </w:r>
      <w:r w:rsidRPr="007500E4">
        <w:t>agency</w:t>
      </w:r>
      <w:r w:rsidRPr="00DD07E1">
        <w:t xml:space="preserve"> </w:t>
      </w:r>
      <w:r w:rsidRPr="007500E4">
        <w:t>or</w:t>
      </w:r>
      <w:r w:rsidRPr="00DD07E1">
        <w:t xml:space="preserve"> minister that the third party might reasonably wish </w:t>
      </w:r>
      <w:r w:rsidRPr="007500E4">
        <w:t>to</w:t>
      </w:r>
      <w:r w:rsidRPr="00DD07E1">
        <w:t xml:space="preserve"> make </w:t>
      </w:r>
      <w:r w:rsidRPr="007500E4">
        <w:t>a</w:t>
      </w:r>
      <w:r w:rsidRPr="00DD07E1">
        <w:t xml:space="preserve"> submission that the document </w:t>
      </w:r>
      <w:r w:rsidR="00525C27">
        <w:t>is</w:t>
      </w:r>
      <w:r w:rsidRPr="00DD07E1">
        <w:t xml:space="preserve"> </w:t>
      </w:r>
      <w:r w:rsidRPr="007500E4">
        <w:t>exempt</w:t>
      </w:r>
      <w:r w:rsidRPr="00DD07E1">
        <w:t xml:space="preserve"> from disclosure </w:t>
      </w:r>
      <w:r w:rsidRPr="007500E4">
        <w:t>having</w:t>
      </w:r>
      <w:r w:rsidRPr="005804A3">
        <w:t xml:space="preserve"> </w:t>
      </w:r>
      <w:r w:rsidRPr="007500E4">
        <w:t>regard</w:t>
      </w:r>
      <w:r w:rsidRPr="00DD07E1">
        <w:t xml:space="preserve"> </w:t>
      </w:r>
      <w:r w:rsidRPr="007500E4">
        <w:t>to:</w:t>
      </w:r>
    </w:p>
    <w:p w14:paraId="4DE649B5" w14:textId="77777777" w:rsidR="00BB0A82" w:rsidRPr="007500E4" w:rsidRDefault="00BB0A82" w:rsidP="00A50DB9">
      <w:pPr>
        <w:pStyle w:val="IndentBullet2"/>
        <w:numPr>
          <w:ilvl w:val="1"/>
          <w:numId w:val="381"/>
        </w:numPr>
      </w:pPr>
      <w:r w:rsidRPr="007500E4">
        <w:t>the</w:t>
      </w:r>
      <w:r w:rsidRPr="00DD07E1">
        <w:t xml:space="preserve"> extent </w:t>
      </w:r>
      <w:r w:rsidRPr="007500E4">
        <w:t>to</w:t>
      </w:r>
      <w:r w:rsidRPr="00DD07E1">
        <w:t xml:space="preserve"> which the information </w:t>
      </w:r>
      <w:r w:rsidRPr="007500E4">
        <w:t>is</w:t>
      </w:r>
      <w:r w:rsidRPr="00DD07E1">
        <w:t xml:space="preserve"> well known</w:t>
      </w:r>
    </w:p>
    <w:p w14:paraId="16A674C8" w14:textId="77777777" w:rsidR="00BB0A82" w:rsidRPr="007500E4" w:rsidRDefault="00BB0A82" w:rsidP="00A50DB9">
      <w:pPr>
        <w:pStyle w:val="IndentBullet2"/>
        <w:numPr>
          <w:ilvl w:val="1"/>
          <w:numId w:val="381"/>
        </w:numPr>
      </w:pPr>
      <w:r w:rsidRPr="00DD07E1">
        <w:t xml:space="preserve">whether the person </w:t>
      </w:r>
      <w:r w:rsidRPr="007500E4">
        <w:t>to</w:t>
      </w:r>
      <w:r w:rsidRPr="00DD07E1">
        <w:t xml:space="preserve"> whom </w:t>
      </w:r>
      <w:r w:rsidRPr="007500E4">
        <w:t>the</w:t>
      </w:r>
      <w:r w:rsidRPr="00DD07E1">
        <w:t xml:space="preserve"> information relates </w:t>
      </w:r>
      <w:r w:rsidRPr="007500E4">
        <w:t>is</w:t>
      </w:r>
      <w:r w:rsidRPr="00DD07E1">
        <w:t xml:space="preserve"> known </w:t>
      </w:r>
      <w:r w:rsidRPr="007500E4">
        <w:t>to</w:t>
      </w:r>
      <w:r w:rsidRPr="00DD07E1">
        <w:t xml:space="preserve"> </w:t>
      </w:r>
      <w:r w:rsidRPr="007500E4">
        <w:t>be</w:t>
      </w:r>
      <w:r w:rsidRPr="00DD07E1">
        <w:t xml:space="preserve"> (or to </w:t>
      </w:r>
      <w:r w:rsidRPr="007500E4">
        <w:t>have</w:t>
      </w:r>
      <w:r w:rsidRPr="00DD07E1">
        <w:rPr>
          <w:w w:val="99"/>
        </w:rPr>
        <w:t xml:space="preserve"> </w:t>
      </w:r>
      <w:r w:rsidRPr="007500E4">
        <w:t>been)</w:t>
      </w:r>
      <w:r w:rsidRPr="00DD07E1">
        <w:t xml:space="preserve"> associated with the matters dealt with in the information</w:t>
      </w:r>
    </w:p>
    <w:p w14:paraId="0ADACFD6" w14:textId="77777777" w:rsidR="00BB0A82" w:rsidRPr="00A50DB9" w:rsidRDefault="00BB0A82" w:rsidP="00A50DB9">
      <w:pPr>
        <w:pStyle w:val="IndentBullet2"/>
        <w:numPr>
          <w:ilvl w:val="1"/>
          <w:numId w:val="381"/>
        </w:numPr>
      </w:pPr>
      <w:r w:rsidRPr="00A50DB9">
        <w:t>whether the information is publicly available, and</w:t>
      </w:r>
    </w:p>
    <w:p w14:paraId="0763FA8B" w14:textId="77777777" w:rsidR="00BB0A82" w:rsidRDefault="00BB0A82" w:rsidP="00A50DB9">
      <w:pPr>
        <w:pStyle w:val="IndentBullet2"/>
        <w:numPr>
          <w:ilvl w:val="1"/>
          <w:numId w:val="381"/>
        </w:numPr>
      </w:pPr>
      <w:r w:rsidRPr="00A50DB9">
        <w:t>any other relevant matters (s 27A(2)).</w:t>
      </w:r>
    </w:p>
    <w:p w14:paraId="2FACFB4C" w14:textId="2977C985" w:rsidR="003A04ED" w:rsidRDefault="003A04ED" w:rsidP="003A04ED">
      <w:pPr>
        <w:pStyle w:val="NumberedParagraphs"/>
        <w:ind w:left="567"/>
      </w:pPr>
      <w:r w:rsidRPr="00A50DB9">
        <w:t>Section 27A(3) provides that an agency or minister must not decide to give access to a document</w:t>
      </w:r>
      <w:r w:rsidRPr="00E41469">
        <w:t xml:space="preserve"> without giving the perso</w:t>
      </w:r>
      <w:r>
        <w:t xml:space="preserve">n concerned a reasonable opportunity to make submissions in support of an exemption contention. It follows that if the decision maker decides, after reviewing the document, that it is exempt, there may be no need to consult a third party. Conversely in </w:t>
      </w:r>
      <w:r w:rsidRPr="00C23A30">
        <w:rPr>
          <w:i/>
          <w:iCs/>
        </w:rPr>
        <w:t>D</w:t>
      </w:r>
      <w:r w:rsidRPr="00C23A30">
        <w:rPr>
          <w:rFonts w:ascii="Source Sans Pro" w:hAnsi="Source Sans Pro"/>
          <w:i/>
          <w:iCs/>
          <w:color w:val="333333"/>
          <w:shd w:val="clear" w:color="auto" w:fill="FFFFFF"/>
        </w:rPr>
        <w:t>reyfus and Attorney-General (Commonwealth of Australia) (Freedom of information)</w:t>
      </w:r>
      <w:r w:rsidRPr="00CA296E">
        <w:rPr>
          <w:rFonts w:ascii="Source Sans Pro" w:hAnsi="Source Sans Pro"/>
          <w:color w:val="333333"/>
          <w:shd w:val="clear" w:color="auto" w:fill="FFFFFF"/>
        </w:rPr>
        <w:t xml:space="preserve"> </w:t>
      </w:r>
      <w:r w:rsidRPr="00C23A30">
        <w:rPr>
          <w:rFonts w:ascii="Source Sans Pro" w:hAnsi="Source Sans Pro"/>
          <w:color w:val="333333"/>
          <w:shd w:val="clear" w:color="auto" w:fill="FFFFFF"/>
        </w:rPr>
        <w:t xml:space="preserve">the </w:t>
      </w:r>
      <w:r w:rsidRPr="00CA296E">
        <w:rPr>
          <w:rFonts w:ascii="Source Sans Pro" w:hAnsi="Source Sans Pro"/>
          <w:color w:val="333333"/>
          <w:shd w:val="clear" w:color="auto" w:fill="FFFFFF"/>
        </w:rPr>
        <w:t xml:space="preserve">AAT found that </w:t>
      </w:r>
      <w:r>
        <w:t>w</w:t>
      </w:r>
      <w:r w:rsidRPr="00172740">
        <w:t>here an entry in a diary disclose</w:t>
      </w:r>
      <w:r>
        <w:t>d</w:t>
      </w:r>
      <w:r w:rsidRPr="00172740">
        <w:t xml:space="preserve"> the name of a person who was scheduled to meet the Attorney-General and nothing more, in the ordinary course disclosure of that fact </w:t>
      </w:r>
      <w:r>
        <w:t xml:space="preserve">would not </w:t>
      </w:r>
      <w:r w:rsidRPr="00172740">
        <w:t>involve the unreasonable disclosure of personal information, and so there would be no basis upon which persons mentioned in the diary might reasonably wish to make an exemption contention</w:t>
      </w:r>
      <w:r>
        <w:t>.</w:t>
      </w:r>
      <w:r>
        <w:rPr>
          <w:rStyle w:val="FootnoteReference"/>
        </w:rPr>
        <w:footnoteReference w:id="148"/>
      </w:r>
    </w:p>
    <w:p w14:paraId="6C7CA771" w14:textId="6E445C30" w:rsidR="00111D29" w:rsidRPr="007500E4" w:rsidRDefault="00111D29" w:rsidP="003A04ED">
      <w:pPr>
        <w:pStyle w:val="NumberedParagraphs"/>
        <w:ind w:left="567"/>
      </w:pPr>
      <w:r w:rsidRPr="007500E4">
        <w:lastRenderedPageBreak/>
        <w:t>Agencies</w:t>
      </w:r>
      <w:r w:rsidRPr="00DD07E1">
        <w:t xml:space="preserve"> and ministers should</w:t>
      </w:r>
      <w:r w:rsidRPr="007500E4">
        <w:t xml:space="preserve"> </w:t>
      </w:r>
      <w:r w:rsidRPr="00DD07E1">
        <w:t xml:space="preserve">generally start from the position that </w:t>
      </w:r>
      <w:r w:rsidRPr="007500E4">
        <w:t>a</w:t>
      </w:r>
      <w:r w:rsidRPr="00DD07E1">
        <w:t xml:space="preserve"> third party</w:t>
      </w:r>
      <w:r w:rsidRPr="00DD07E1">
        <w:rPr>
          <w:w w:val="99"/>
        </w:rPr>
        <w:t xml:space="preserve"> </w:t>
      </w:r>
      <w:r w:rsidRPr="007500E4">
        <w:t>m</w:t>
      </w:r>
      <w:r>
        <w:t>ay</w:t>
      </w:r>
      <w:r w:rsidRPr="00DD07E1">
        <w:t xml:space="preserve"> reasonably wish </w:t>
      </w:r>
      <w:r w:rsidRPr="007500E4">
        <w:t>to</w:t>
      </w:r>
      <w:r w:rsidRPr="00DD07E1">
        <w:t xml:space="preserve"> make </w:t>
      </w:r>
      <w:r w:rsidRPr="007500E4">
        <w:t>a</w:t>
      </w:r>
      <w:r w:rsidRPr="00DD07E1">
        <w:t xml:space="preserve"> submission. This </w:t>
      </w:r>
      <w:r w:rsidRPr="007500E4">
        <w:t>is</w:t>
      </w:r>
      <w:r w:rsidRPr="00DD07E1">
        <w:t xml:space="preserve"> because </w:t>
      </w:r>
      <w:r w:rsidRPr="007500E4">
        <w:t>the</w:t>
      </w:r>
      <w:r w:rsidRPr="00DD07E1">
        <w:t xml:space="preserve"> third party </w:t>
      </w:r>
      <w:r w:rsidRPr="007500E4">
        <w:t>may</w:t>
      </w:r>
      <w:r w:rsidRPr="00DD07E1">
        <w:t xml:space="preserve"> bring to </w:t>
      </w:r>
      <w:r w:rsidRPr="007500E4">
        <w:rPr>
          <w:rFonts w:cs="Calibri"/>
        </w:rPr>
        <w:t>the</w:t>
      </w:r>
      <w:r w:rsidRPr="00DD07E1">
        <w:rPr>
          <w:rFonts w:cs="Calibri"/>
        </w:rPr>
        <w:t xml:space="preserve"> </w:t>
      </w:r>
      <w:r w:rsidRPr="0001024C">
        <w:t>agency</w:t>
      </w:r>
      <w:r w:rsidRPr="00DD07E1">
        <w:rPr>
          <w:rFonts w:cs="Calibri"/>
        </w:rPr>
        <w:t xml:space="preserve"> or minister’s attention</w:t>
      </w:r>
      <w:r w:rsidRPr="007500E4">
        <w:rPr>
          <w:rFonts w:cs="Calibri"/>
        </w:rPr>
        <w:t xml:space="preserve"> </w:t>
      </w:r>
      <w:r w:rsidRPr="00DD07E1">
        <w:rPr>
          <w:rFonts w:cs="Calibri"/>
        </w:rPr>
        <w:t>sensitivities that</w:t>
      </w:r>
      <w:r w:rsidRPr="007500E4">
        <w:rPr>
          <w:rFonts w:cs="Calibri"/>
        </w:rPr>
        <w:t xml:space="preserve"> may</w:t>
      </w:r>
      <w:r w:rsidRPr="00DD07E1">
        <w:rPr>
          <w:rFonts w:cs="Calibri"/>
        </w:rPr>
        <w:t xml:space="preserve"> not</w:t>
      </w:r>
      <w:r w:rsidRPr="007500E4">
        <w:rPr>
          <w:rFonts w:cs="Calibri"/>
        </w:rPr>
        <w:t xml:space="preserve"> </w:t>
      </w:r>
      <w:r w:rsidRPr="00DD07E1">
        <w:rPr>
          <w:rFonts w:cs="Calibri"/>
        </w:rPr>
        <w:t>have</w:t>
      </w:r>
      <w:r w:rsidRPr="007500E4">
        <w:rPr>
          <w:rFonts w:cs="Calibri"/>
        </w:rPr>
        <w:t xml:space="preserve"> </w:t>
      </w:r>
      <w:r w:rsidRPr="00DD07E1">
        <w:rPr>
          <w:rFonts w:cs="Calibri"/>
        </w:rPr>
        <w:t xml:space="preserve">been </w:t>
      </w:r>
      <w:r w:rsidRPr="00DD07E1">
        <w:t>otherwise apparent.</w:t>
      </w:r>
    </w:p>
    <w:p w14:paraId="091C7340" w14:textId="21ECE851" w:rsidR="004C7873" w:rsidRDefault="004A1116" w:rsidP="004A1116">
      <w:pPr>
        <w:pStyle w:val="NumberedParagraphs"/>
        <w:ind w:left="567"/>
      </w:pPr>
      <w:r>
        <w:t xml:space="preserve">Consultation may not be reasonably practicable in all circumstances. Whether it is reasonably practicable to consult a third party </w:t>
      </w:r>
      <w:r w:rsidRPr="00DD07E1">
        <w:t xml:space="preserve">will depend on all the circumstances including </w:t>
      </w:r>
      <w:r w:rsidRPr="007500E4">
        <w:t>the</w:t>
      </w:r>
      <w:r w:rsidRPr="004A1116">
        <w:rPr>
          <w:w w:val="99"/>
        </w:rPr>
        <w:t xml:space="preserve"> </w:t>
      </w:r>
      <w:r w:rsidRPr="007500E4">
        <w:t>time</w:t>
      </w:r>
      <w:r w:rsidRPr="00DD07E1">
        <w:t xml:space="preserve"> limits </w:t>
      </w:r>
      <w:r w:rsidRPr="007500E4">
        <w:t>for</w:t>
      </w:r>
      <w:r w:rsidRPr="00DD07E1">
        <w:t xml:space="preserve"> processing the </w:t>
      </w:r>
      <w:r>
        <w:t xml:space="preserve">FOI </w:t>
      </w:r>
      <w:r w:rsidRPr="00DD07E1">
        <w:t xml:space="preserve">request (s 27A(4)). </w:t>
      </w:r>
      <w:r w:rsidRPr="007500E4">
        <w:t>For</w:t>
      </w:r>
      <w:r w:rsidRPr="00DD07E1">
        <w:t xml:space="preserve"> example, it </w:t>
      </w:r>
      <w:r w:rsidRPr="007500E4">
        <w:t>may</w:t>
      </w:r>
      <w:r w:rsidRPr="00DD07E1">
        <w:t xml:space="preserve"> not </w:t>
      </w:r>
      <w:r w:rsidRPr="007500E4">
        <w:t>be</w:t>
      </w:r>
      <w:r w:rsidRPr="004A1116">
        <w:rPr>
          <w:w w:val="99"/>
        </w:rPr>
        <w:t xml:space="preserve"> </w:t>
      </w:r>
      <w:r w:rsidRPr="00DD07E1">
        <w:t xml:space="preserve">reasonably practicable </w:t>
      </w:r>
      <w:r w:rsidRPr="007500E4">
        <w:t>if</w:t>
      </w:r>
      <w:r w:rsidRPr="00DD07E1">
        <w:t xml:space="preserve"> </w:t>
      </w:r>
      <w:r w:rsidRPr="007500E4">
        <w:t>the</w:t>
      </w:r>
      <w:r w:rsidRPr="00DD07E1">
        <w:t xml:space="preserve"> </w:t>
      </w:r>
      <w:r w:rsidRPr="007500E4">
        <w:t>agency</w:t>
      </w:r>
      <w:r w:rsidRPr="00DD07E1">
        <w:t xml:space="preserve"> cannot locate the third party in </w:t>
      </w:r>
      <w:r w:rsidRPr="007500E4">
        <w:t>a</w:t>
      </w:r>
      <w:r w:rsidRPr="00DD07E1">
        <w:t xml:space="preserve"> timely </w:t>
      </w:r>
      <w:r w:rsidRPr="007500E4">
        <w:t>and</w:t>
      </w:r>
      <w:r w:rsidRPr="00DD07E1">
        <w:t xml:space="preserve"> effective way.</w:t>
      </w:r>
      <w:r>
        <w:rPr>
          <w:rStyle w:val="FootnoteReference"/>
        </w:rPr>
        <w:footnoteReference w:id="149"/>
      </w:r>
      <w:r w:rsidR="003F1F7D">
        <w:t xml:space="preserve"> </w:t>
      </w:r>
      <w:r w:rsidR="004C7873">
        <w:t xml:space="preserve">Where it is not reasonably practicable to </w:t>
      </w:r>
      <w:r w:rsidR="00F4233E">
        <w:t>consult a third party</w:t>
      </w:r>
      <w:r w:rsidR="00921C08">
        <w:t>,</w:t>
      </w:r>
      <w:r w:rsidR="00F4233E">
        <w:t xml:space="preserve"> </w:t>
      </w:r>
      <w:r w:rsidR="00B34BEB">
        <w:t>agencies and ministers should consider whether</w:t>
      </w:r>
      <w:r w:rsidR="00921C08">
        <w:t xml:space="preserve">, in the circumstances, </w:t>
      </w:r>
      <w:r w:rsidR="007E536D">
        <w:t xml:space="preserve">it is likely </w:t>
      </w:r>
      <w:r w:rsidR="00D108D0">
        <w:t>the third party would oppose disclosure of the</w:t>
      </w:r>
      <w:r w:rsidR="0077507C">
        <w:t xml:space="preserve">ir personal information. The relevant circumstances </w:t>
      </w:r>
      <w:r w:rsidR="0077507C" w:rsidRPr="004A1116">
        <w:rPr>
          <w:rFonts w:ascii="Source Sans Pro" w:hAnsi="Source Sans Pro"/>
          <w:color w:val="333333"/>
          <w:shd w:val="clear" w:color="auto" w:fill="FFFFFF"/>
        </w:rPr>
        <w:t xml:space="preserve">may include the nature of the personal information in the document, whether </w:t>
      </w:r>
      <w:r w:rsidR="004750E8" w:rsidRPr="004A1116">
        <w:rPr>
          <w:rFonts w:ascii="Source Sans Pro" w:hAnsi="Source Sans Pro"/>
          <w:color w:val="333333"/>
          <w:shd w:val="clear" w:color="auto" w:fill="FFFFFF"/>
        </w:rPr>
        <w:t>the personal information has already been disclosed</w:t>
      </w:r>
      <w:r w:rsidR="002075A4">
        <w:rPr>
          <w:rStyle w:val="FootnoteReference"/>
          <w:rFonts w:ascii="Source Sans Pro" w:hAnsi="Source Sans Pro"/>
          <w:color w:val="333333"/>
          <w:shd w:val="clear" w:color="auto" w:fill="FFFFFF"/>
        </w:rPr>
        <w:footnoteReference w:id="150"/>
      </w:r>
      <w:r w:rsidR="00F25E9C" w:rsidRPr="004A1116">
        <w:rPr>
          <w:rFonts w:ascii="Source Sans Pro" w:hAnsi="Source Sans Pro"/>
          <w:color w:val="333333"/>
          <w:shd w:val="clear" w:color="auto" w:fill="FFFFFF"/>
        </w:rPr>
        <w:t xml:space="preserve"> and </w:t>
      </w:r>
      <w:r w:rsidR="001019A9" w:rsidRPr="004A1116">
        <w:rPr>
          <w:rFonts w:ascii="Source Sans Pro" w:hAnsi="Source Sans Pro"/>
          <w:color w:val="333333"/>
          <w:shd w:val="clear" w:color="auto" w:fill="FFFFFF"/>
        </w:rPr>
        <w:t xml:space="preserve">whether the </w:t>
      </w:r>
      <w:r w:rsidR="0070750A" w:rsidRPr="004A1116">
        <w:rPr>
          <w:rFonts w:ascii="Source Sans Pro" w:hAnsi="Source Sans Pro"/>
          <w:color w:val="333333"/>
          <w:shd w:val="clear" w:color="auto" w:fill="FFFFFF"/>
        </w:rPr>
        <w:t>third party is known to be associated with the information in the document.</w:t>
      </w:r>
      <w:r w:rsidR="007E536D">
        <w:rPr>
          <w:rStyle w:val="FootnoteReference"/>
          <w:rFonts w:ascii="Source Sans Pro" w:hAnsi="Source Sans Pro"/>
          <w:color w:val="333333"/>
          <w:shd w:val="clear" w:color="auto" w:fill="FFFFFF"/>
        </w:rPr>
        <w:footnoteReference w:id="151"/>
      </w:r>
    </w:p>
    <w:p w14:paraId="31728AFB" w14:textId="608335D6" w:rsidR="00BB0A82" w:rsidRPr="00DD07E1" w:rsidRDefault="00BB0A82" w:rsidP="00B73860">
      <w:pPr>
        <w:pStyle w:val="NumberedParagraphs"/>
        <w:ind w:left="567"/>
      </w:pPr>
      <w:r w:rsidRPr="00DD07E1">
        <w:t>Where it appears that consultation w</w:t>
      </w:r>
      <w:r w:rsidR="00525C27">
        <w:t>ill</w:t>
      </w:r>
      <w:r w:rsidRPr="00DD07E1">
        <w:t xml:space="preserve"> be required with a large number of </w:t>
      </w:r>
      <w:r w:rsidR="00015D95">
        <w:t>individuals</w:t>
      </w:r>
      <w:r w:rsidR="009D108E">
        <w:t>,</w:t>
      </w:r>
      <w:r w:rsidRPr="00DD07E1">
        <w:t xml:space="preserve"> an agency should carefully consider whether consultation is reasonably practicable before deciding that consultation is required</w:t>
      </w:r>
      <w:r>
        <w:t>. This is p</w:t>
      </w:r>
      <w:r w:rsidRPr="00DD07E1">
        <w:t xml:space="preserve">articularly </w:t>
      </w:r>
      <w:r>
        <w:t xml:space="preserve">the case </w:t>
      </w:r>
      <w:r w:rsidRPr="00DD07E1">
        <w:t>where an agency is relying on such consultation to decide that a practical refusal reason exists (s</w:t>
      </w:r>
      <w:r w:rsidR="00525C27">
        <w:t> </w:t>
      </w:r>
      <w:r w:rsidRPr="00DD07E1">
        <w:t xml:space="preserve">24) and thereby </w:t>
      </w:r>
      <w:r>
        <w:t xml:space="preserve">to </w:t>
      </w:r>
      <w:r w:rsidRPr="00DD07E1">
        <w:t>refuse the request. For example, it is impractical, and therefore unnecessary</w:t>
      </w:r>
      <w:r w:rsidR="00525C27">
        <w:t>,</w:t>
      </w:r>
      <w:r w:rsidRPr="00DD07E1">
        <w:t xml:space="preserve"> for an agency to consult </w:t>
      </w:r>
      <w:r w:rsidRPr="007500E4">
        <w:t xml:space="preserve">600 </w:t>
      </w:r>
      <w:r w:rsidR="00015D95">
        <w:t>individuals</w:t>
      </w:r>
      <w:r w:rsidR="00015D95" w:rsidRPr="007500E4">
        <w:t xml:space="preserve"> </w:t>
      </w:r>
      <w:r w:rsidRPr="007500E4">
        <w:t xml:space="preserve">before </w:t>
      </w:r>
      <w:proofErr w:type="gramStart"/>
      <w:r w:rsidRPr="007500E4">
        <w:t>making a decision</w:t>
      </w:r>
      <w:proofErr w:type="gramEnd"/>
      <w:r w:rsidRPr="007500E4">
        <w:t xml:space="preserve"> whether to give access to an organisational chart.</w:t>
      </w:r>
      <w:r w:rsidRPr="007500E4">
        <w:rPr>
          <w:rStyle w:val="FootnoteReference"/>
        </w:rPr>
        <w:footnoteReference w:id="152"/>
      </w:r>
    </w:p>
    <w:p w14:paraId="124A90DC" w14:textId="236B0B0E" w:rsidR="00BB0A82" w:rsidRDefault="00BB0A82" w:rsidP="00B73860">
      <w:pPr>
        <w:pStyle w:val="NumberedParagraphs"/>
        <w:ind w:left="567"/>
      </w:pPr>
      <w:bookmarkStart w:id="208" w:name="_Hlk50111634"/>
      <w:r w:rsidRPr="007500E4">
        <w:t>Where</w:t>
      </w:r>
      <w:r w:rsidRPr="00DD07E1">
        <w:t xml:space="preserve"> there </w:t>
      </w:r>
      <w:r w:rsidRPr="007500E4">
        <w:t>is</w:t>
      </w:r>
      <w:r w:rsidRPr="00DD07E1">
        <w:t xml:space="preserve"> </w:t>
      </w:r>
      <w:r w:rsidRPr="007500E4">
        <w:t>a</w:t>
      </w:r>
      <w:r w:rsidRPr="00DD07E1">
        <w:t xml:space="preserve"> need </w:t>
      </w:r>
      <w:r w:rsidRPr="007500E4">
        <w:t>to</w:t>
      </w:r>
      <w:r w:rsidRPr="00DD07E1">
        <w:t xml:space="preserve"> consult third parties under </w:t>
      </w:r>
      <w:r w:rsidRPr="007500E4">
        <w:t>s</w:t>
      </w:r>
      <w:r w:rsidRPr="00DD07E1">
        <w:t xml:space="preserve"> </w:t>
      </w:r>
      <w:r w:rsidRPr="007500E4">
        <w:t>27A,</w:t>
      </w:r>
      <w:r w:rsidRPr="00DD07E1">
        <w:t xml:space="preserve"> </w:t>
      </w:r>
      <w:r w:rsidRPr="007500E4">
        <w:t>the</w:t>
      </w:r>
      <w:r w:rsidRPr="00DD07E1">
        <w:t xml:space="preserve"> timeframe </w:t>
      </w:r>
      <w:r w:rsidRPr="007500E4">
        <w:t>for</w:t>
      </w:r>
      <w:r w:rsidRPr="00DD07E1">
        <w:t xml:space="preserve"> </w:t>
      </w:r>
      <w:proofErr w:type="gramStart"/>
      <w:r w:rsidRPr="00DD07E1">
        <w:t xml:space="preserve">making </w:t>
      </w:r>
      <w:r w:rsidRPr="007500E4">
        <w:t>a</w:t>
      </w:r>
      <w:r w:rsidRPr="00DD07E1">
        <w:t xml:space="preserve"> </w:t>
      </w:r>
      <w:r w:rsidRPr="007500E4">
        <w:t>decision</w:t>
      </w:r>
      <w:proofErr w:type="gramEnd"/>
      <w:r w:rsidRPr="00DD07E1">
        <w:t xml:space="preserve"> </w:t>
      </w:r>
      <w:r w:rsidRPr="007500E4">
        <w:t>is</w:t>
      </w:r>
      <w:r w:rsidRPr="00DD07E1">
        <w:t xml:space="preserve"> extended </w:t>
      </w:r>
      <w:r w:rsidRPr="007500E4">
        <w:t>by</w:t>
      </w:r>
      <w:r w:rsidRPr="00DD07E1">
        <w:t xml:space="preserve"> 30 </w:t>
      </w:r>
      <w:r w:rsidRPr="007500E4">
        <w:t>days</w:t>
      </w:r>
      <w:r w:rsidRPr="00DD07E1">
        <w:t xml:space="preserve"> (s 15(6)). Agencies should identify </w:t>
      </w:r>
      <w:r w:rsidRPr="007500E4">
        <w:t>as</w:t>
      </w:r>
      <w:r w:rsidRPr="00DD07E1">
        <w:t xml:space="preserve"> soon </w:t>
      </w:r>
      <w:r w:rsidRPr="007500E4">
        <w:t>as</w:t>
      </w:r>
      <w:r w:rsidRPr="00DD07E1">
        <w:t xml:space="preserve"> possible within </w:t>
      </w:r>
      <w:r w:rsidRPr="007500E4">
        <w:t>the</w:t>
      </w:r>
      <w:r w:rsidRPr="00DD07E1">
        <w:t xml:space="preserve"> initial </w:t>
      </w:r>
      <w:r w:rsidR="00B741A9" w:rsidRPr="007500E4">
        <w:t>30</w:t>
      </w:r>
      <w:r w:rsidR="00B741A9" w:rsidRPr="00DD07E1">
        <w:t>-day decision-making</w:t>
      </w:r>
      <w:r w:rsidRPr="00DD07E1">
        <w:t xml:space="preserve"> period whether there </w:t>
      </w:r>
      <w:r w:rsidRPr="007500E4">
        <w:t>is</w:t>
      </w:r>
      <w:r w:rsidRPr="00DD07E1">
        <w:t xml:space="preserve"> </w:t>
      </w:r>
      <w:r w:rsidRPr="007500E4">
        <w:t>a</w:t>
      </w:r>
      <w:r w:rsidRPr="00DD07E1">
        <w:t xml:space="preserve"> need </w:t>
      </w:r>
      <w:r w:rsidRPr="007500E4">
        <w:t>for</w:t>
      </w:r>
      <w:r w:rsidRPr="00DD07E1">
        <w:t xml:space="preserve"> </w:t>
      </w:r>
      <w:r w:rsidRPr="007500E4">
        <w:t>consultation.</w:t>
      </w:r>
    </w:p>
    <w:p w14:paraId="6D540B64" w14:textId="0C77539C" w:rsidR="003F1F7D" w:rsidRPr="007500E4" w:rsidRDefault="003F1F7D" w:rsidP="003F1F7D">
      <w:pPr>
        <w:pStyle w:val="NumberedParagraphs"/>
        <w:ind w:left="567"/>
      </w:pPr>
      <w:r w:rsidRPr="007500E4">
        <w:t>To</w:t>
      </w:r>
      <w:r w:rsidRPr="00DD07E1">
        <w:t xml:space="preserve"> </w:t>
      </w:r>
      <w:r w:rsidRPr="007500E4">
        <w:t>assist</w:t>
      </w:r>
      <w:r w:rsidRPr="00DD07E1">
        <w:t xml:space="preserve"> </w:t>
      </w:r>
      <w:r>
        <w:t xml:space="preserve">the third party to </w:t>
      </w:r>
      <w:r w:rsidRPr="00DD07E1">
        <w:t xml:space="preserve">make </w:t>
      </w:r>
      <w:r w:rsidRPr="007500E4">
        <w:t>a</w:t>
      </w:r>
      <w:r w:rsidRPr="00DD07E1">
        <w:t xml:space="preserve"> submission</w:t>
      </w:r>
      <w:r>
        <w:t>,</w:t>
      </w:r>
      <w:r w:rsidRPr="00DD07E1">
        <w:t xml:space="preserve"> it </w:t>
      </w:r>
      <w:r w:rsidRPr="007500E4">
        <w:t>may</w:t>
      </w:r>
      <w:r w:rsidRPr="00DD07E1">
        <w:t xml:space="preserve"> </w:t>
      </w:r>
      <w:r w:rsidRPr="007500E4">
        <w:t>be</w:t>
      </w:r>
      <w:r w:rsidRPr="00DD07E1">
        <w:t xml:space="preserve"> </w:t>
      </w:r>
      <w:r w:rsidRPr="007500E4">
        <w:t>necessary</w:t>
      </w:r>
      <w:r w:rsidR="00015D95">
        <w:t>, where practical,</w:t>
      </w:r>
      <w:r w:rsidRPr="00DD07E1">
        <w:t xml:space="preserve"> </w:t>
      </w:r>
      <w:r w:rsidRPr="007500E4">
        <w:t>to</w:t>
      </w:r>
      <w:r w:rsidRPr="00DD07E1">
        <w:t xml:space="preserve"> give them </w:t>
      </w:r>
      <w:r w:rsidRPr="007500E4">
        <w:t>a</w:t>
      </w:r>
      <w:r w:rsidRPr="00DD07E1">
        <w:t xml:space="preserve"> copy </w:t>
      </w:r>
      <w:r w:rsidRPr="007500E4">
        <w:t>of</w:t>
      </w:r>
      <w:r w:rsidRPr="00DD07E1">
        <w:t xml:space="preserve"> the </w:t>
      </w:r>
      <w:r>
        <w:t>document</w:t>
      </w:r>
      <w:r w:rsidRPr="00DD07E1">
        <w:t xml:space="preserve">. </w:t>
      </w:r>
      <w:r w:rsidRPr="007500E4">
        <w:t>This</w:t>
      </w:r>
      <w:r w:rsidRPr="00DD07E1">
        <w:t xml:space="preserve"> c</w:t>
      </w:r>
      <w:r>
        <w:t>an</w:t>
      </w:r>
      <w:r w:rsidRPr="00DD07E1">
        <w:t xml:space="preserve"> </w:t>
      </w:r>
      <w:r w:rsidRPr="007500E4">
        <w:t>be</w:t>
      </w:r>
      <w:r w:rsidRPr="00DD07E1">
        <w:t xml:space="preserve"> done </w:t>
      </w:r>
      <w:r w:rsidRPr="007500E4">
        <w:t>by</w:t>
      </w:r>
      <w:r w:rsidRPr="00DD07E1">
        <w:t xml:space="preserve"> providing </w:t>
      </w:r>
      <w:r w:rsidRPr="007500E4">
        <w:t>an</w:t>
      </w:r>
      <w:r w:rsidRPr="00DD07E1">
        <w:t xml:space="preserve"> edited copy of the document,</w:t>
      </w:r>
      <w:r w:rsidRPr="00DD07E1">
        <w:rPr>
          <w:w w:val="99"/>
        </w:rPr>
        <w:t xml:space="preserve"> </w:t>
      </w:r>
      <w:r w:rsidRPr="007500E4">
        <w:t>for</w:t>
      </w:r>
      <w:r w:rsidRPr="00DD07E1">
        <w:t xml:space="preserve"> </w:t>
      </w:r>
      <w:r w:rsidRPr="007500E4">
        <w:t>example,</w:t>
      </w:r>
      <w:r w:rsidRPr="00DD07E1">
        <w:t xml:space="preserve"> </w:t>
      </w:r>
      <w:r w:rsidRPr="007500E4">
        <w:t>by</w:t>
      </w:r>
      <w:r w:rsidRPr="00DD07E1">
        <w:t xml:space="preserve"> deleting </w:t>
      </w:r>
      <w:r w:rsidRPr="007500E4">
        <w:t>any</w:t>
      </w:r>
      <w:r w:rsidRPr="00DD07E1">
        <w:t xml:space="preserve"> material that </w:t>
      </w:r>
      <w:r w:rsidRPr="007500E4">
        <w:t>may</w:t>
      </w:r>
      <w:r w:rsidRPr="00DD07E1">
        <w:t xml:space="preserve"> </w:t>
      </w:r>
      <w:r w:rsidRPr="007500E4">
        <w:t>be</w:t>
      </w:r>
      <w:r w:rsidRPr="00DD07E1">
        <w:t xml:space="preserve"> exempt under another provision. A</w:t>
      </w:r>
      <w:r w:rsidRPr="007500E4">
        <w:t>genc</w:t>
      </w:r>
      <w:r>
        <w:t xml:space="preserve">ies and ministers </w:t>
      </w:r>
      <w:r w:rsidRPr="00DD07E1">
        <w:t xml:space="preserve">should </w:t>
      </w:r>
      <w:r w:rsidRPr="007500E4">
        <w:t>also</w:t>
      </w:r>
      <w:r w:rsidRPr="00DD07E1">
        <w:t xml:space="preserve"> take care not </w:t>
      </w:r>
      <w:r w:rsidRPr="007500E4">
        <w:t>to</w:t>
      </w:r>
      <w:r w:rsidRPr="00DD07E1">
        <w:t xml:space="preserve"> </w:t>
      </w:r>
      <w:r w:rsidRPr="007500E4">
        <w:t>breach</w:t>
      </w:r>
      <w:r>
        <w:t xml:space="preserve"> their</w:t>
      </w:r>
      <w:r w:rsidRPr="00DD07E1">
        <w:t xml:space="preserve"> obligations under the </w:t>
      </w:r>
      <w:r>
        <w:t xml:space="preserve">Australian Privacy Principles (APPs) in the </w:t>
      </w:r>
      <w:r w:rsidRPr="00DD07E1">
        <w:t xml:space="preserve">Privacy </w:t>
      </w:r>
      <w:r w:rsidRPr="007500E4">
        <w:t>Act</w:t>
      </w:r>
      <w:r w:rsidRPr="00DD07E1">
        <w:rPr>
          <w:w w:val="99"/>
        </w:rPr>
        <w:t xml:space="preserve"> </w:t>
      </w:r>
      <w:r w:rsidRPr="00DD07E1">
        <w:t>during consultation</w:t>
      </w:r>
      <w:r w:rsidRPr="00DD07E1">
        <w:rPr>
          <w:rFonts w:cs="Calibri"/>
          <w:i/>
        </w:rPr>
        <w:t xml:space="preserve">, </w:t>
      </w:r>
      <w:r w:rsidRPr="00DD07E1">
        <w:t xml:space="preserve">for </w:t>
      </w:r>
      <w:r w:rsidRPr="007500E4">
        <w:t>example,</w:t>
      </w:r>
      <w:r w:rsidRPr="00DD07E1">
        <w:t xml:space="preserve"> </w:t>
      </w:r>
      <w:r w:rsidRPr="007500E4">
        <w:lastRenderedPageBreak/>
        <w:t>by</w:t>
      </w:r>
      <w:r w:rsidRPr="00DD07E1">
        <w:t xml:space="preserve"> </w:t>
      </w:r>
      <w:r>
        <w:t>disclosing</w:t>
      </w:r>
      <w:r w:rsidRPr="00DD07E1">
        <w:t xml:space="preserve"> the </w:t>
      </w:r>
      <w:r>
        <w:t xml:space="preserve">FOI </w:t>
      </w:r>
      <w:r w:rsidRPr="00DD07E1">
        <w:t>applicant</w:t>
      </w:r>
      <w:r>
        <w:t>’s personal information to a third party,</w:t>
      </w:r>
      <w:r w:rsidRPr="00DD07E1">
        <w:t xml:space="preserve"> </w:t>
      </w:r>
      <w:r>
        <w:t>unless the FOI applicant has consented or another exception under the APPs applies.</w:t>
      </w:r>
      <w:r>
        <w:rPr>
          <w:rStyle w:val="FootnoteReference"/>
        </w:rPr>
        <w:footnoteReference w:id="153"/>
      </w:r>
      <w:r w:rsidRPr="00DD07E1">
        <w:t xml:space="preserve"> </w:t>
      </w:r>
    </w:p>
    <w:p w14:paraId="51A3FAF3" w14:textId="77777777" w:rsidR="00BB0A82" w:rsidRPr="00DD07E1" w:rsidRDefault="00BB0A82" w:rsidP="002813D6">
      <w:pPr>
        <w:pStyle w:val="Heading3"/>
      </w:pPr>
      <w:bookmarkStart w:id="209" w:name="_Toc11154508"/>
      <w:bookmarkStart w:id="210" w:name="_Toc141875236"/>
      <w:bookmarkEnd w:id="205"/>
      <w:bookmarkEnd w:id="208"/>
      <w:r w:rsidRPr="00DD07E1">
        <w:t>Submissions</w:t>
      </w:r>
      <w:bookmarkEnd w:id="209"/>
      <w:bookmarkEnd w:id="210"/>
    </w:p>
    <w:p w14:paraId="1ADF0A81" w14:textId="351E3A1F" w:rsidR="00BB0A82" w:rsidRPr="007500E4" w:rsidRDefault="00BB0A82" w:rsidP="00B73860">
      <w:pPr>
        <w:pStyle w:val="NumberedParagraphs"/>
        <w:ind w:left="567"/>
      </w:pPr>
      <w:r w:rsidRPr="007500E4">
        <w:t>Where</w:t>
      </w:r>
      <w:r w:rsidRPr="00DD07E1">
        <w:t xml:space="preserve"> consultation occurs, </w:t>
      </w:r>
      <w:r w:rsidRPr="007500E4">
        <w:t>a</w:t>
      </w:r>
      <w:r w:rsidRPr="00DD07E1">
        <w:t xml:space="preserve"> third party </w:t>
      </w:r>
      <w:r>
        <w:t xml:space="preserve">consulted under s 27A </w:t>
      </w:r>
      <w:r w:rsidRPr="00DD07E1">
        <w:t>should be asked</w:t>
      </w:r>
      <w:r w:rsidRPr="007500E4">
        <w:t xml:space="preserve"> </w:t>
      </w:r>
      <w:r w:rsidR="0090344E">
        <w:t>whether</w:t>
      </w:r>
      <w:r w:rsidRPr="00DD07E1">
        <w:t xml:space="preserve"> </w:t>
      </w:r>
      <w:r w:rsidRPr="007500E4">
        <w:t>they</w:t>
      </w:r>
      <w:r w:rsidRPr="00DD07E1">
        <w:t xml:space="preserve"> object </w:t>
      </w:r>
      <w:r w:rsidRPr="007500E4">
        <w:t>to</w:t>
      </w:r>
      <w:r w:rsidRPr="00DD07E1">
        <w:t xml:space="preserve"> disclosure</w:t>
      </w:r>
      <w:r w:rsidRPr="00DD07E1">
        <w:rPr>
          <w:w w:val="99"/>
        </w:rPr>
        <w:t xml:space="preserve"> </w:t>
      </w:r>
      <w:r w:rsidRPr="007500E4">
        <w:t>and</w:t>
      </w:r>
      <w:r w:rsidRPr="00DD07E1">
        <w:t xml:space="preserve"> invited </w:t>
      </w:r>
      <w:r w:rsidRPr="007500E4">
        <w:t>to</w:t>
      </w:r>
      <w:r w:rsidRPr="00DD07E1">
        <w:t xml:space="preserve"> make submissions about whether:</w:t>
      </w:r>
    </w:p>
    <w:p w14:paraId="79A2C29D" w14:textId="63A886D5" w:rsidR="00BB0A82" w:rsidRPr="007500E4" w:rsidRDefault="00BB0A82" w:rsidP="00AD2470">
      <w:pPr>
        <w:pStyle w:val="IndentBullet1"/>
        <w:ind w:left="993" w:hanging="426"/>
      </w:pPr>
      <w:r w:rsidRPr="007500E4">
        <w:t>the</w:t>
      </w:r>
      <w:r w:rsidRPr="00DD07E1">
        <w:t xml:space="preserve"> conditional exemption should </w:t>
      </w:r>
      <w:r w:rsidRPr="007500E4">
        <w:t>apply</w:t>
      </w:r>
      <w:r w:rsidRPr="00DD07E1">
        <w:t xml:space="preserve"> and</w:t>
      </w:r>
    </w:p>
    <w:p w14:paraId="7410F35F" w14:textId="77777777" w:rsidR="00BB0A82" w:rsidRDefault="00BB0A82" w:rsidP="00AD2470">
      <w:pPr>
        <w:pStyle w:val="IndentBullet1"/>
        <w:ind w:left="993" w:hanging="426"/>
      </w:pPr>
      <w:r w:rsidRPr="007500E4">
        <w:t>on</w:t>
      </w:r>
      <w:r w:rsidRPr="00DD07E1">
        <w:t xml:space="preserve"> </w:t>
      </w:r>
      <w:r w:rsidRPr="007500E4">
        <w:t>balance,</w:t>
      </w:r>
      <w:r w:rsidRPr="00DD07E1">
        <w:t xml:space="preserve"> access would be contrary </w:t>
      </w:r>
      <w:r w:rsidRPr="007500E4">
        <w:t>to</w:t>
      </w:r>
      <w:r w:rsidRPr="00DD07E1">
        <w:t xml:space="preserve"> the public interest.</w:t>
      </w:r>
    </w:p>
    <w:p w14:paraId="49558AE8" w14:textId="17279014" w:rsidR="00BB0A82" w:rsidRPr="007500E4" w:rsidRDefault="00BB0A82" w:rsidP="00B73860">
      <w:pPr>
        <w:pStyle w:val="NumberedParagraphs"/>
        <w:ind w:left="567"/>
      </w:pPr>
      <w:r w:rsidRPr="007500E4">
        <w:rPr>
          <w:lang w:eastAsia="en-AU"/>
        </w:rPr>
        <w:t xml:space="preserve">An affected third party who is consulted under s 27A </w:t>
      </w:r>
      <w:r>
        <w:rPr>
          <w:lang w:eastAsia="en-AU"/>
        </w:rPr>
        <w:t>may</w:t>
      </w:r>
      <w:r w:rsidRPr="007500E4">
        <w:rPr>
          <w:lang w:eastAsia="en-AU"/>
        </w:rPr>
        <w:t xml:space="preserve"> contend that s 47F appl</w:t>
      </w:r>
      <w:r w:rsidR="00525C27">
        <w:rPr>
          <w:lang w:eastAsia="en-AU"/>
        </w:rPr>
        <w:t>ies</w:t>
      </w:r>
      <w:r w:rsidR="001B2CDA">
        <w:rPr>
          <w:lang w:eastAsia="en-AU"/>
        </w:rPr>
        <w:t xml:space="preserve"> to the requested document(s)</w:t>
      </w:r>
      <w:r w:rsidR="00525C27">
        <w:rPr>
          <w:lang w:eastAsia="en-AU"/>
        </w:rPr>
        <w:t>.</w:t>
      </w:r>
      <w:r>
        <w:rPr>
          <w:lang w:eastAsia="en-AU"/>
        </w:rPr>
        <w:t xml:space="preserve"> Where the third party contends that exemptions other than s</w:t>
      </w:r>
      <w:r w:rsidR="0090344E">
        <w:rPr>
          <w:lang w:eastAsia="en-AU"/>
        </w:rPr>
        <w:t> </w:t>
      </w:r>
      <w:r>
        <w:rPr>
          <w:lang w:eastAsia="en-AU"/>
        </w:rPr>
        <w:t xml:space="preserve">47F </w:t>
      </w:r>
      <w:r>
        <w:t>apply</w:t>
      </w:r>
      <w:r>
        <w:rPr>
          <w:lang w:eastAsia="en-AU"/>
        </w:rPr>
        <w:t xml:space="preserve">, it is open to </w:t>
      </w:r>
      <w:r w:rsidR="004B1009">
        <w:rPr>
          <w:lang w:eastAsia="en-AU"/>
        </w:rPr>
        <w:t xml:space="preserve">the </w:t>
      </w:r>
      <w:r>
        <w:rPr>
          <w:lang w:eastAsia="en-AU"/>
        </w:rPr>
        <w:t>agency or minister to rely on those exemptions in its decision.</w:t>
      </w:r>
      <w:r>
        <w:rPr>
          <w:rStyle w:val="FootnoteReference"/>
          <w:rFonts w:eastAsia="Times New Roman"/>
          <w:lang w:eastAsia="en-AU"/>
        </w:rPr>
        <w:footnoteReference w:id="154"/>
      </w:r>
      <w:r>
        <w:rPr>
          <w:lang w:eastAsia="en-AU"/>
        </w:rPr>
        <w:t xml:space="preserve"> However, should the agency or minister decide to grant access to the documents, the third party does not have a right to seek review of that decision on grounds other than those specified in s 27A</w:t>
      </w:r>
      <w:r w:rsidR="0090344E">
        <w:rPr>
          <w:lang w:eastAsia="en-AU"/>
        </w:rPr>
        <w:t xml:space="preserve"> (that is, </w:t>
      </w:r>
      <w:r w:rsidR="001B2CDA">
        <w:rPr>
          <w:lang w:eastAsia="en-AU"/>
        </w:rPr>
        <w:t xml:space="preserve">the </w:t>
      </w:r>
      <w:r w:rsidR="0090344E">
        <w:rPr>
          <w:lang w:eastAsia="en-AU"/>
        </w:rPr>
        <w:t xml:space="preserve">decision </w:t>
      </w:r>
      <w:r w:rsidR="001B2CDA">
        <w:rPr>
          <w:lang w:eastAsia="en-AU"/>
        </w:rPr>
        <w:t xml:space="preserve">that </w:t>
      </w:r>
      <w:r w:rsidR="0090344E">
        <w:rPr>
          <w:lang w:eastAsia="en-AU"/>
        </w:rPr>
        <w:t>s 47F</w:t>
      </w:r>
      <w:r w:rsidR="001B2CDA">
        <w:rPr>
          <w:lang w:eastAsia="en-AU"/>
        </w:rPr>
        <w:t xml:space="preserve"> does not apply</w:t>
      </w:r>
      <w:r w:rsidR="0090344E">
        <w:rPr>
          <w:lang w:eastAsia="en-AU"/>
        </w:rPr>
        <w:t>)</w:t>
      </w:r>
      <w:r>
        <w:rPr>
          <w:lang w:eastAsia="en-AU"/>
        </w:rPr>
        <w:t>.</w:t>
      </w:r>
    </w:p>
    <w:p w14:paraId="69455CC0" w14:textId="0177DAAA" w:rsidR="008C3C1B" w:rsidRDefault="00BB0A82" w:rsidP="00B73860">
      <w:pPr>
        <w:pStyle w:val="NumberedParagraphs"/>
        <w:ind w:left="567"/>
      </w:pPr>
      <w:r w:rsidRPr="007500E4">
        <w:t>T</w:t>
      </w:r>
      <w:r>
        <w:t>he third party</w:t>
      </w:r>
      <w:r w:rsidRPr="00DD07E1">
        <w:t xml:space="preserve"> should </w:t>
      </w:r>
      <w:r w:rsidRPr="007500E4">
        <w:t>be</w:t>
      </w:r>
      <w:r w:rsidRPr="00DD07E1">
        <w:t xml:space="preserve"> asked to </w:t>
      </w:r>
      <w:r w:rsidRPr="007500E4">
        <w:t>provide</w:t>
      </w:r>
      <w:r w:rsidRPr="00DD07E1">
        <w:t xml:space="preserve"> reasons and evidence</w:t>
      </w:r>
      <w:r w:rsidR="001B2CDA">
        <w:t xml:space="preserve"> to support </w:t>
      </w:r>
      <w:r w:rsidRPr="00DD07E1">
        <w:t>their submission.</w:t>
      </w:r>
      <w:r w:rsidRPr="007500E4">
        <w:t xml:space="preserve"> </w:t>
      </w:r>
      <w:r w:rsidR="00CD414D">
        <w:t>The third party’s s</w:t>
      </w:r>
      <w:r w:rsidR="004763D8">
        <w:t>ubmissions should address the</w:t>
      </w:r>
      <w:r w:rsidR="00CD414D">
        <w:t>ir</w:t>
      </w:r>
      <w:r w:rsidR="004763D8">
        <w:t xml:space="preserve"> </w:t>
      </w:r>
      <w:r w:rsidR="00A64957">
        <w:t>individual circumstances</w:t>
      </w:r>
      <w:r w:rsidR="00CD414D">
        <w:t xml:space="preserve">; </w:t>
      </w:r>
      <w:r w:rsidR="00A64957">
        <w:t>g</w:t>
      </w:r>
      <w:r w:rsidR="008C3C1B">
        <w:t>eneral</w:t>
      </w:r>
      <w:r w:rsidR="00BF0790">
        <w:t>ised</w:t>
      </w:r>
      <w:r w:rsidR="008C3C1B">
        <w:t xml:space="preserve"> submissions</w:t>
      </w:r>
      <w:r w:rsidR="00BF0790">
        <w:t xml:space="preserve"> </w:t>
      </w:r>
      <w:r w:rsidR="00B23ED9">
        <w:t xml:space="preserve">or assertions </w:t>
      </w:r>
      <w:r w:rsidR="00BF0790">
        <w:t xml:space="preserve">of a theoretical nature </w:t>
      </w:r>
      <w:r w:rsidR="00E15854">
        <w:t>will make it difficult for an agency or minister to accept that</w:t>
      </w:r>
      <w:r w:rsidR="00A53949">
        <w:t xml:space="preserve"> s 47F applies to the document.</w:t>
      </w:r>
      <w:r w:rsidR="00A53949">
        <w:rPr>
          <w:rStyle w:val="FootnoteReference"/>
        </w:rPr>
        <w:footnoteReference w:id="155"/>
      </w:r>
    </w:p>
    <w:p w14:paraId="3F2AA7EF" w14:textId="66BC5A5D" w:rsidR="00BB0A82" w:rsidRPr="007500E4" w:rsidRDefault="00BB0A82" w:rsidP="00B73860">
      <w:pPr>
        <w:pStyle w:val="NumberedParagraphs"/>
        <w:ind w:left="567"/>
      </w:pPr>
      <w:r w:rsidRPr="007500E4">
        <w:t>The</w:t>
      </w:r>
      <w:r w:rsidRPr="00DD07E1">
        <w:t xml:space="preserve"> letter </w:t>
      </w:r>
      <w:r w:rsidRPr="007500E4">
        <w:t>to</w:t>
      </w:r>
      <w:r w:rsidRPr="00DD07E1">
        <w:t xml:space="preserve"> the third party</w:t>
      </w:r>
      <w:r w:rsidRPr="007500E4">
        <w:t xml:space="preserve"> </w:t>
      </w:r>
      <w:r w:rsidR="002E50FA">
        <w:t>should</w:t>
      </w:r>
      <w:r w:rsidRPr="00DD07E1">
        <w:t xml:space="preserve"> </w:t>
      </w:r>
      <w:r w:rsidRPr="007500E4">
        <w:t>also</w:t>
      </w:r>
      <w:r w:rsidRPr="00DD07E1">
        <w:t xml:space="preserve"> include information about </w:t>
      </w:r>
      <w:r w:rsidRPr="007500E4">
        <w:t>the</w:t>
      </w:r>
      <w:r w:rsidRPr="00DD07E1">
        <w:t xml:space="preserve"> obligation </w:t>
      </w:r>
      <w:r w:rsidRPr="007500E4">
        <w:t>o</w:t>
      </w:r>
      <w:r w:rsidR="00AC26E1">
        <w:t>n</w:t>
      </w:r>
      <w:r w:rsidRPr="00DD07E1">
        <w:t xml:space="preserve"> </w:t>
      </w:r>
      <w:r w:rsidRPr="007500E4">
        <w:t>agencies</w:t>
      </w:r>
      <w:r w:rsidRPr="00DD07E1">
        <w:t xml:space="preserve"> and ministers to provide the public with access </w:t>
      </w:r>
      <w:r w:rsidRPr="007500E4">
        <w:t>to</w:t>
      </w:r>
      <w:r w:rsidRPr="00DD07E1">
        <w:t xml:space="preserve"> information that has been released </w:t>
      </w:r>
      <w:r w:rsidRPr="007500E4">
        <w:t>in</w:t>
      </w:r>
      <w:r w:rsidRPr="00DD07E1">
        <w:t xml:space="preserve"> documents provided to an </w:t>
      </w:r>
      <w:r w:rsidR="00A7202D">
        <w:t xml:space="preserve">FOI </w:t>
      </w:r>
      <w:r w:rsidRPr="00DD07E1">
        <w:t>applicant</w:t>
      </w:r>
      <w:r w:rsidR="001B2CDA">
        <w:t>, subject to certain exceptions such as personal or business information that it would be unreasonable to publish</w:t>
      </w:r>
      <w:r w:rsidRPr="00DD07E1">
        <w:t xml:space="preserve"> (s 11C).</w:t>
      </w:r>
    </w:p>
    <w:p w14:paraId="627943AE" w14:textId="62E3A0DD" w:rsidR="00BB0A82" w:rsidRPr="007500E4" w:rsidRDefault="00BB0A82" w:rsidP="00B73860">
      <w:pPr>
        <w:pStyle w:val="NumberedParagraphs"/>
        <w:ind w:left="567"/>
      </w:pPr>
      <w:r w:rsidRPr="007500E4">
        <w:t>An</w:t>
      </w:r>
      <w:r w:rsidRPr="00DD07E1">
        <w:t xml:space="preserve"> agency </w:t>
      </w:r>
      <w:r w:rsidRPr="007500E4">
        <w:t>or</w:t>
      </w:r>
      <w:r w:rsidRPr="00DD07E1">
        <w:t xml:space="preserve"> minister must </w:t>
      </w:r>
      <w:r w:rsidRPr="007500E4">
        <w:t>have</w:t>
      </w:r>
      <w:r w:rsidRPr="00DD07E1">
        <w:t xml:space="preserve"> regard </w:t>
      </w:r>
      <w:r w:rsidR="00A7202D">
        <w:t>to</w:t>
      </w:r>
      <w:r w:rsidRPr="00DD07E1">
        <w:t xml:space="preserve"> </w:t>
      </w:r>
      <w:r w:rsidRPr="007500E4">
        <w:t>any</w:t>
      </w:r>
      <w:r w:rsidRPr="00DD07E1">
        <w:t xml:space="preserve"> </w:t>
      </w:r>
      <w:r w:rsidRPr="007500E4">
        <w:t>submissions</w:t>
      </w:r>
      <w:r w:rsidRPr="00DD07E1">
        <w:t xml:space="preserve"> made </w:t>
      </w:r>
      <w:r w:rsidR="00D003D0">
        <w:t xml:space="preserve">by the third party </w:t>
      </w:r>
      <w:r w:rsidRPr="007500E4">
        <w:t>before</w:t>
      </w:r>
      <w:r w:rsidRPr="00DD07E1">
        <w:t xml:space="preserve"> </w:t>
      </w:r>
      <w:r w:rsidRPr="007500E4">
        <w:t>deciding</w:t>
      </w:r>
      <w:r w:rsidRPr="00DD07E1">
        <w:rPr>
          <w:w w:val="99"/>
        </w:rPr>
        <w:t xml:space="preserve"> </w:t>
      </w:r>
      <w:r w:rsidRPr="00DD07E1">
        <w:t xml:space="preserve">whether to give access to the document </w:t>
      </w:r>
      <w:r w:rsidRPr="007500E4">
        <w:t>(ss</w:t>
      </w:r>
      <w:r w:rsidRPr="00DD07E1">
        <w:t xml:space="preserve"> 27A(3) </w:t>
      </w:r>
      <w:r w:rsidRPr="007500E4">
        <w:t>and</w:t>
      </w:r>
      <w:r w:rsidRPr="00DD07E1">
        <w:t xml:space="preserve"> 27A(4)). </w:t>
      </w:r>
      <w:r w:rsidRPr="007500E4">
        <w:t>The</w:t>
      </w:r>
      <w:r w:rsidRPr="00DD07E1">
        <w:t xml:space="preserve"> third </w:t>
      </w:r>
      <w:r w:rsidRPr="007500E4">
        <w:t>party</w:t>
      </w:r>
      <w:r w:rsidRPr="00DD07E1">
        <w:t xml:space="preserve"> </w:t>
      </w:r>
      <w:r w:rsidRPr="007500E4">
        <w:t>does</w:t>
      </w:r>
      <w:r w:rsidRPr="00DD07E1">
        <w:t xml:space="preserve"> not,</w:t>
      </w:r>
      <w:r w:rsidRPr="00DD07E1">
        <w:rPr>
          <w:w w:val="99"/>
        </w:rPr>
        <w:t xml:space="preserve"> </w:t>
      </w:r>
      <w:r w:rsidRPr="00DD07E1">
        <w:t xml:space="preserve">however, </w:t>
      </w:r>
      <w:r w:rsidRPr="007500E4">
        <w:t>have</w:t>
      </w:r>
      <w:r w:rsidRPr="00DD07E1">
        <w:t xml:space="preserve"> </w:t>
      </w:r>
      <w:r w:rsidRPr="007500E4">
        <w:t>the</w:t>
      </w:r>
      <w:r w:rsidRPr="00DD07E1">
        <w:t xml:space="preserve"> right </w:t>
      </w:r>
      <w:r w:rsidRPr="007500E4">
        <w:t>to</w:t>
      </w:r>
      <w:r w:rsidRPr="00DD07E1">
        <w:t xml:space="preserve"> veto access and agencies should take care that </w:t>
      </w:r>
      <w:r w:rsidRPr="007500E4">
        <w:t>the</w:t>
      </w:r>
      <w:r w:rsidRPr="00DD07E1">
        <w:t xml:space="preserve"> third party </w:t>
      </w:r>
      <w:r w:rsidRPr="007500E4">
        <w:t>is</w:t>
      </w:r>
      <w:r w:rsidRPr="00DD07E1">
        <w:t xml:space="preserve"> </w:t>
      </w:r>
      <w:r w:rsidRPr="007500E4">
        <w:t>not</w:t>
      </w:r>
      <w:r w:rsidRPr="00DD07E1">
        <w:t xml:space="preserve"> under such </w:t>
      </w:r>
      <w:r w:rsidRPr="007500E4">
        <w:t>a</w:t>
      </w:r>
      <w:r w:rsidRPr="00DD07E1">
        <w:t xml:space="preserve"> misapprehension.</w:t>
      </w:r>
    </w:p>
    <w:p w14:paraId="152A0B98" w14:textId="4E30AA14" w:rsidR="00BB0A82" w:rsidRPr="007500E4" w:rsidRDefault="00BB0A82" w:rsidP="00B73860">
      <w:pPr>
        <w:pStyle w:val="NumberedParagraphs"/>
        <w:ind w:left="567"/>
      </w:pPr>
      <w:r w:rsidRPr="007500E4">
        <w:t>Whe</w:t>
      </w:r>
      <w:r w:rsidR="00D003D0">
        <w:t>n</w:t>
      </w:r>
      <w:r w:rsidRPr="00DD07E1">
        <w:t xml:space="preserve"> </w:t>
      </w:r>
      <w:r w:rsidRPr="007500E4">
        <w:t>an</w:t>
      </w:r>
      <w:r w:rsidRPr="00DD07E1">
        <w:t xml:space="preserve"> </w:t>
      </w:r>
      <w:r w:rsidRPr="007500E4">
        <w:t>agency</w:t>
      </w:r>
      <w:r w:rsidRPr="00DD07E1">
        <w:t xml:space="preserve"> </w:t>
      </w:r>
      <w:r w:rsidRPr="007500E4">
        <w:t>or</w:t>
      </w:r>
      <w:r w:rsidRPr="00DD07E1">
        <w:t xml:space="preserve"> minister </w:t>
      </w:r>
      <w:r w:rsidRPr="007500E4">
        <w:t>decides</w:t>
      </w:r>
      <w:r w:rsidRPr="00DD07E1">
        <w:t xml:space="preserve"> </w:t>
      </w:r>
      <w:r w:rsidRPr="007500E4">
        <w:t>to</w:t>
      </w:r>
      <w:r w:rsidRPr="00DD07E1">
        <w:t xml:space="preserve"> give </w:t>
      </w:r>
      <w:r w:rsidRPr="007500E4">
        <w:t>the</w:t>
      </w:r>
      <w:r w:rsidRPr="00DD07E1">
        <w:t xml:space="preserve"> </w:t>
      </w:r>
      <w:r w:rsidR="00AA3E7C">
        <w:t xml:space="preserve">FOI </w:t>
      </w:r>
      <w:r w:rsidRPr="00DD07E1">
        <w:t xml:space="preserve">applicant access </w:t>
      </w:r>
      <w:r w:rsidRPr="007500E4">
        <w:t>to</w:t>
      </w:r>
      <w:r w:rsidRPr="00DD07E1">
        <w:t xml:space="preserve"> documents</w:t>
      </w:r>
      <w:r w:rsidRPr="00693BDA">
        <w:rPr>
          <w:w w:val="99"/>
        </w:rPr>
        <w:t xml:space="preserve"> </w:t>
      </w:r>
      <w:r w:rsidRPr="007500E4">
        <w:t>after</w:t>
      </w:r>
      <w:r w:rsidRPr="00DD07E1">
        <w:t xml:space="preserve"> </w:t>
      </w:r>
      <w:r w:rsidRPr="007500E4">
        <w:t>a</w:t>
      </w:r>
      <w:r w:rsidRPr="00DD07E1">
        <w:t xml:space="preserve"> third party </w:t>
      </w:r>
      <w:r w:rsidRPr="007500E4">
        <w:t>has</w:t>
      </w:r>
      <w:r w:rsidRPr="00DD07E1">
        <w:t xml:space="preserve"> </w:t>
      </w:r>
      <w:r w:rsidR="007B5328">
        <w:t>made</w:t>
      </w:r>
      <w:r w:rsidRPr="00DD07E1">
        <w:t xml:space="preserve"> submission</w:t>
      </w:r>
      <w:r w:rsidR="00D003D0">
        <w:t>s</w:t>
      </w:r>
      <w:r w:rsidRPr="00DD07E1">
        <w:t xml:space="preserve">, they </w:t>
      </w:r>
      <w:r w:rsidRPr="007500E4">
        <w:t>must</w:t>
      </w:r>
      <w:r w:rsidRPr="00DD07E1">
        <w:t xml:space="preserve"> give the third party written notice</w:t>
      </w:r>
      <w:r w:rsidRPr="00693BDA">
        <w:rPr>
          <w:w w:val="99"/>
        </w:rPr>
        <w:t xml:space="preserve"> </w:t>
      </w:r>
      <w:r w:rsidR="00D003D0">
        <w:rPr>
          <w:w w:val="99"/>
        </w:rPr>
        <w:t xml:space="preserve">of the decision </w:t>
      </w:r>
      <w:r w:rsidRPr="00693BDA">
        <w:rPr>
          <w:rFonts w:cs="Calibri"/>
        </w:rPr>
        <w:t xml:space="preserve">(s 27A(5)). Access to a document must not be given to the </w:t>
      </w:r>
      <w:r w:rsidR="00AA3E7C">
        <w:rPr>
          <w:rFonts w:cs="Calibri"/>
        </w:rPr>
        <w:t xml:space="preserve">FOI </w:t>
      </w:r>
      <w:r w:rsidRPr="00693BDA">
        <w:rPr>
          <w:rFonts w:cs="Calibri"/>
        </w:rPr>
        <w:t xml:space="preserve">applicant until the third party’s </w:t>
      </w:r>
      <w:r w:rsidRPr="00DD07E1">
        <w:t xml:space="preserve">opportunities </w:t>
      </w:r>
      <w:r w:rsidRPr="007500E4">
        <w:t>for</w:t>
      </w:r>
      <w:r w:rsidRPr="00DD07E1">
        <w:t xml:space="preserve"> </w:t>
      </w:r>
      <w:r w:rsidRPr="007500E4">
        <w:t>review</w:t>
      </w:r>
      <w:r w:rsidRPr="00DD07E1">
        <w:t xml:space="preserve"> </w:t>
      </w:r>
      <w:r w:rsidRPr="007500E4">
        <w:t>have</w:t>
      </w:r>
      <w:r w:rsidRPr="00DD07E1">
        <w:t xml:space="preserve"> run out, or </w:t>
      </w:r>
      <w:r w:rsidRPr="007500E4">
        <w:t>if</w:t>
      </w:r>
      <w:r w:rsidRPr="00DD07E1">
        <w:t xml:space="preserve"> </w:t>
      </w:r>
      <w:r w:rsidR="00D003D0">
        <w:t xml:space="preserve">a </w:t>
      </w:r>
      <w:r w:rsidRPr="00DD07E1">
        <w:t xml:space="preserve">review </w:t>
      </w:r>
      <w:r w:rsidR="00FE445B">
        <w:t>was undertaken</w:t>
      </w:r>
      <w:r w:rsidRPr="007500E4">
        <w:t>,</w:t>
      </w:r>
      <w:r w:rsidRPr="00DD07E1">
        <w:t xml:space="preserve"> the decision still stands</w:t>
      </w:r>
      <w:r w:rsidR="00693BDA">
        <w:t xml:space="preserve"> </w:t>
      </w:r>
      <w:r w:rsidRPr="00DD07E1">
        <w:t>(s</w:t>
      </w:r>
      <w:r w:rsidR="00090B25">
        <w:t> </w:t>
      </w:r>
      <w:r w:rsidRPr="00DD07E1">
        <w:t>27A(6)).</w:t>
      </w:r>
    </w:p>
    <w:p w14:paraId="1A50BBEE" w14:textId="0E8B63A1" w:rsidR="00BB0A82" w:rsidRPr="007500E4" w:rsidRDefault="00BB0A82" w:rsidP="00B73860">
      <w:pPr>
        <w:pStyle w:val="NumberedParagraphs"/>
        <w:ind w:left="567"/>
      </w:pPr>
      <w:r w:rsidRPr="007500E4">
        <w:t>General</w:t>
      </w:r>
      <w:r w:rsidRPr="00DD07E1">
        <w:t xml:space="preserve"> information about consultation </w:t>
      </w:r>
      <w:r w:rsidRPr="007500E4">
        <w:t>is</w:t>
      </w:r>
      <w:r w:rsidRPr="00DD07E1">
        <w:t xml:space="preserve"> provided in Part </w:t>
      </w:r>
      <w:r w:rsidRPr="007500E4">
        <w:t>3</w:t>
      </w:r>
      <w:r w:rsidR="00AA3E7C">
        <w:t xml:space="preserve"> of these Guidelines</w:t>
      </w:r>
      <w:r w:rsidRPr="007500E4">
        <w:t>.</w:t>
      </w:r>
      <w:r w:rsidRPr="00DD07E1">
        <w:t xml:space="preserve"> That Part provides</w:t>
      </w:r>
      <w:r w:rsidRPr="00DD07E1">
        <w:rPr>
          <w:w w:val="99"/>
        </w:rPr>
        <w:t xml:space="preserve"> </w:t>
      </w:r>
      <w:r w:rsidRPr="007500E4">
        <w:t>guidance</w:t>
      </w:r>
      <w:r w:rsidRPr="00DD07E1">
        <w:t xml:space="preserve"> about extended timeframes, notice</w:t>
      </w:r>
      <w:r w:rsidR="00D003D0">
        <w:t>s</w:t>
      </w:r>
      <w:r w:rsidRPr="00DD07E1">
        <w:t xml:space="preserve"> </w:t>
      </w:r>
      <w:r w:rsidRPr="007500E4">
        <w:t>of</w:t>
      </w:r>
      <w:r w:rsidRPr="00DD07E1">
        <w:t xml:space="preserve"> </w:t>
      </w:r>
      <w:r w:rsidRPr="007500E4">
        <w:t>decision,</w:t>
      </w:r>
      <w:r w:rsidRPr="00DD07E1">
        <w:t xml:space="preserve"> </w:t>
      </w:r>
      <w:r w:rsidRPr="007500E4">
        <w:t>review</w:t>
      </w:r>
      <w:r w:rsidRPr="00DD07E1">
        <w:t xml:space="preserve"> rights and when access </w:t>
      </w:r>
      <w:r w:rsidRPr="007500E4">
        <w:t>to</w:t>
      </w:r>
      <w:r w:rsidRPr="00DD07E1">
        <w:t xml:space="preserve"> documents </w:t>
      </w:r>
      <w:r w:rsidRPr="007500E4">
        <w:t>may</w:t>
      </w:r>
      <w:r w:rsidRPr="00DD07E1">
        <w:t xml:space="preserve"> </w:t>
      </w:r>
      <w:r w:rsidRPr="007500E4">
        <w:t>be</w:t>
      </w:r>
      <w:r w:rsidRPr="00DD07E1">
        <w:t xml:space="preserve"> provided.</w:t>
      </w:r>
    </w:p>
    <w:p w14:paraId="264661D8" w14:textId="051E7C5E" w:rsidR="00BB0A82" w:rsidRPr="00693BDA" w:rsidRDefault="00BB0A82" w:rsidP="002813D6">
      <w:pPr>
        <w:pStyle w:val="Heading3"/>
      </w:pPr>
      <w:bookmarkStart w:id="211" w:name="Access_to_qualified_person_(indirect_acc"/>
      <w:bookmarkStart w:id="212" w:name="_bookmark55"/>
      <w:bookmarkStart w:id="213" w:name="_Toc11154510"/>
      <w:bookmarkStart w:id="214" w:name="_Toc141875237"/>
      <w:bookmarkEnd w:id="211"/>
      <w:bookmarkEnd w:id="212"/>
      <w:r w:rsidRPr="00693BDA">
        <w:t xml:space="preserve">Access </w:t>
      </w:r>
      <w:r w:rsidR="005F21C6">
        <w:t xml:space="preserve">given </w:t>
      </w:r>
      <w:r w:rsidRPr="00693BDA">
        <w:t>to qualified person</w:t>
      </w:r>
      <w:bookmarkEnd w:id="213"/>
      <w:bookmarkEnd w:id="214"/>
    </w:p>
    <w:p w14:paraId="752460C6" w14:textId="77777777" w:rsidR="00BB0A82" w:rsidRPr="007500E4" w:rsidRDefault="00BB0A82" w:rsidP="00B73860">
      <w:pPr>
        <w:pStyle w:val="NumberedParagraphs"/>
        <w:ind w:left="567"/>
      </w:pPr>
      <w:bookmarkStart w:id="215" w:name="_bookmark56"/>
      <w:bookmarkStart w:id="216" w:name="_Ref457393692"/>
      <w:bookmarkEnd w:id="215"/>
      <w:r w:rsidRPr="007500E4">
        <w:t>An</w:t>
      </w:r>
      <w:r w:rsidRPr="00DD07E1">
        <w:t xml:space="preserve"> agency </w:t>
      </w:r>
      <w:r w:rsidRPr="007500E4">
        <w:t>or</w:t>
      </w:r>
      <w:r w:rsidRPr="00DD07E1">
        <w:t xml:space="preserve"> minister may provide </w:t>
      </w:r>
      <w:r w:rsidRPr="007500E4">
        <w:t>a</w:t>
      </w:r>
      <w:r w:rsidRPr="00DD07E1">
        <w:t xml:space="preserve"> qualified person with access to </w:t>
      </w:r>
      <w:r w:rsidRPr="007500E4">
        <w:t>a</w:t>
      </w:r>
      <w:r w:rsidRPr="00DD07E1">
        <w:t xml:space="preserve"> </w:t>
      </w:r>
      <w:r w:rsidRPr="007500E4">
        <w:t>document</w:t>
      </w:r>
      <w:r w:rsidRPr="00DD07E1">
        <w:t xml:space="preserve"> that</w:t>
      </w:r>
      <w:r w:rsidRPr="00DD07E1">
        <w:rPr>
          <w:w w:val="99"/>
        </w:rPr>
        <w:t xml:space="preserve"> </w:t>
      </w:r>
      <w:r w:rsidRPr="00DD07E1">
        <w:t xml:space="preserve">would otherwise </w:t>
      </w:r>
      <w:r w:rsidRPr="007500E4">
        <w:t>be</w:t>
      </w:r>
      <w:r w:rsidRPr="00DD07E1">
        <w:t xml:space="preserve"> provided </w:t>
      </w:r>
      <w:r w:rsidRPr="007500E4">
        <w:t>to</w:t>
      </w:r>
      <w:r w:rsidRPr="00DD07E1">
        <w:t xml:space="preserve"> </w:t>
      </w:r>
      <w:r w:rsidRPr="007500E4">
        <w:t>an</w:t>
      </w:r>
      <w:r w:rsidRPr="00DD07E1">
        <w:t xml:space="preserve"> applicant where:</w:t>
      </w:r>
      <w:bookmarkEnd w:id="216"/>
    </w:p>
    <w:p w14:paraId="0FA18CCF" w14:textId="636FF8B7" w:rsidR="00BB0A82" w:rsidRPr="007500E4" w:rsidRDefault="00BB0A82" w:rsidP="00AD2470">
      <w:pPr>
        <w:pStyle w:val="IndentBullet1"/>
        <w:ind w:left="993" w:hanging="426"/>
      </w:pPr>
      <w:r w:rsidRPr="007500E4">
        <w:lastRenderedPageBreak/>
        <w:t>the</w:t>
      </w:r>
      <w:r w:rsidRPr="00DD07E1">
        <w:t xml:space="preserve"> personal information was provided </w:t>
      </w:r>
      <w:r w:rsidRPr="007500E4">
        <w:t>by</w:t>
      </w:r>
      <w:r w:rsidRPr="00DD07E1">
        <w:t xml:space="preserve"> </w:t>
      </w:r>
      <w:r w:rsidRPr="007500E4">
        <w:t>a</w:t>
      </w:r>
      <w:r w:rsidRPr="00DD07E1">
        <w:t xml:space="preserve"> qualified person acting in their </w:t>
      </w:r>
      <w:r w:rsidRPr="007500E4">
        <w:t>capacity</w:t>
      </w:r>
      <w:r w:rsidRPr="00DD07E1">
        <w:rPr>
          <w:w w:val="99"/>
        </w:rPr>
        <w:t xml:space="preserve"> </w:t>
      </w:r>
      <w:r w:rsidRPr="007500E4">
        <w:t>as</w:t>
      </w:r>
      <w:r w:rsidRPr="00DD07E1">
        <w:t xml:space="preserve"> </w:t>
      </w:r>
      <w:r w:rsidRPr="007500E4">
        <w:t>a</w:t>
      </w:r>
      <w:r w:rsidRPr="00DD07E1">
        <w:t xml:space="preserve"> qualified person</w:t>
      </w:r>
      <w:r w:rsidRPr="007500E4">
        <w:t xml:space="preserve"> </w:t>
      </w:r>
      <w:r w:rsidRPr="00DD07E1">
        <w:t xml:space="preserve">(s 47F(4)(a)) </w:t>
      </w:r>
      <w:r w:rsidRPr="007500E4">
        <w:t>and</w:t>
      </w:r>
    </w:p>
    <w:p w14:paraId="43A3A4DC" w14:textId="2439CF2D" w:rsidR="00BB0A82" w:rsidRPr="00DD07E1" w:rsidRDefault="00BB0A82" w:rsidP="00AD2470">
      <w:pPr>
        <w:pStyle w:val="IndentBullet1"/>
        <w:ind w:left="993" w:hanging="426"/>
      </w:pPr>
      <w:r w:rsidRPr="007500E4">
        <w:t>it</w:t>
      </w:r>
      <w:r w:rsidRPr="00DD07E1">
        <w:t xml:space="preserve"> appears </w:t>
      </w:r>
      <w:r w:rsidRPr="007500E4">
        <w:t>to</w:t>
      </w:r>
      <w:r w:rsidRPr="00DD07E1">
        <w:t xml:space="preserve"> the </w:t>
      </w:r>
      <w:r w:rsidRPr="007500E4">
        <w:t>agency</w:t>
      </w:r>
      <w:r w:rsidRPr="00DD07E1">
        <w:t xml:space="preserve"> </w:t>
      </w:r>
      <w:r w:rsidRPr="007500E4">
        <w:t>or</w:t>
      </w:r>
      <w:r w:rsidRPr="00DD07E1">
        <w:t xml:space="preserve"> minister that disclosing the information to the </w:t>
      </w:r>
      <w:r w:rsidR="00AA3E7C">
        <w:t xml:space="preserve">FOI </w:t>
      </w:r>
      <w:r w:rsidRPr="00DD07E1">
        <w:t>applicant</w:t>
      </w:r>
      <w:r w:rsidRPr="00DD07E1">
        <w:rPr>
          <w:w w:val="99"/>
        </w:rPr>
        <w:t xml:space="preserve"> </w:t>
      </w:r>
      <w:r w:rsidRPr="007500E4">
        <w:t>might</w:t>
      </w:r>
      <w:r w:rsidRPr="00DD07E1">
        <w:t xml:space="preserve"> </w:t>
      </w:r>
      <w:r w:rsidRPr="007500E4">
        <w:t>be</w:t>
      </w:r>
      <w:r w:rsidRPr="00DD07E1">
        <w:t xml:space="preserve"> detrimental to </w:t>
      </w:r>
      <w:r w:rsidRPr="007500E4">
        <w:t>their</w:t>
      </w:r>
      <w:r w:rsidRPr="00DD07E1">
        <w:t xml:space="preserve"> physical </w:t>
      </w:r>
      <w:r w:rsidRPr="007500E4">
        <w:t>or</w:t>
      </w:r>
      <w:r w:rsidRPr="00DD07E1">
        <w:t xml:space="preserve"> mental health, or wellbeing (s 47F(4)(b)).</w:t>
      </w:r>
    </w:p>
    <w:p w14:paraId="0F845A18" w14:textId="77777777" w:rsidR="00BB0A82" w:rsidRPr="007500E4" w:rsidRDefault="00BB0A82" w:rsidP="00B73860">
      <w:pPr>
        <w:pStyle w:val="NumberedParagraphs"/>
        <w:ind w:left="567"/>
        <w:rPr>
          <w:sz w:val="16"/>
          <w:szCs w:val="16"/>
        </w:rPr>
      </w:pPr>
      <w:r w:rsidRPr="007500E4">
        <w:t xml:space="preserve">A </w:t>
      </w:r>
      <w:r w:rsidRPr="00DD07E1">
        <w:t xml:space="preserve">broad approach should </w:t>
      </w:r>
      <w:r w:rsidRPr="007500E4">
        <w:t>be</w:t>
      </w:r>
      <w:r w:rsidRPr="00DD07E1">
        <w:t xml:space="preserve"> taken</w:t>
      </w:r>
      <w:r w:rsidRPr="007500E4">
        <w:t xml:space="preserve"> in</w:t>
      </w:r>
      <w:r w:rsidRPr="00DD07E1">
        <w:t xml:space="preserve"> considering </w:t>
      </w:r>
      <w:r w:rsidRPr="007500E4">
        <w:t>an</w:t>
      </w:r>
      <w:r w:rsidRPr="00DD07E1">
        <w:t xml:space="preserve"> applicant’s health or wellbeing. The possibility of detriment </w:t>
      </w:r>
      <w:r w:rsidRPr="007500E4">
        <w:t>must</w:t>
      </w:r>
      <w:r w:rsidRPr="00DD07E1">
        <w:t xml:space="preserve"> appear </w:t>
      </w:r>
      <w:r w:rsidRPr="007500E4">
        <w:t>to</w:t>
      </w:r>
      <w:r w:rsidRPr="00DD07E1">
        <w:t xml:space="preserve"> </w:t>
      </w:r>
      <w:r w:rsidRPr="007500E4">
        <w:t>be</w:t>
      </w:r>
      <w:r w:rsidRPr="00DD07E1">
        <w:t xml:space="preserve"> </w:t>
      </w:r>
      <w:r w:rsidRPr="007500E4">
        <w:t>real</w:t>
      </w:r>
      <w:r w:rsidRPr="00DD07E1">
        <w:t xml:space="preserve"> or tangible.</w:t>
      </w:r>
      <w:r w:rsidRPr="00DD07E1">
        <w:rPr>
          <w:rStyle w:val="FootnoteReference"/>
        </w:rPr>
        <w:footnoteReference w:id="156"/>
      </w:r>
    </w:p>
    <w:p w14:paraId="6380F6DA" w14:textId="59A56A62" w:rsidR="00BB0A82" w:rsidRPr="00DD07E1" w:rsidRDefault="00BB0A82" w:rsidP="00B73860">
      <w:pPr>
        <w:pStyle w:val="NumberedParagraphs"/>
        <w:ind w:left="567"/>
      </w:pPr>
      <w:r w:rsidRPr="007500E4">
        <w:t>Where</w:t>
      </w:r>
      <w:r w:rsidRPr="00DD07E1">
        <w:t xml:space="preserve"> access </w:t>
      </w:r>
      <w:r w:rsidRPr="007500E4">
        <w:t>is</w:t>
      </w:r>
      <w:r w:rsidRPr="00DD07E1">
        <w:t xml:space="preserve"> </w:t>
      </w:r>
      <w:r w:rsidRPr="007500E4">
        <w:t>to</w:t>
      </w:r>
      <w:r w:rsidRPr="00DD07E1">
        <w:t xml:space="preserve"> </w:t>
      </w:r>
      <w:r w:rsidRPr="007500E4">
        <w:t>be</w:t>
      </w:r>
      <w:r w:rsidRPr="00DD07E1">
        <w:t xml:space="preserve"> provided</w:t>
      </w:r>
      <w:r w:rsidR="00AA3E7C">
        <w:t xml:space="preserve"> by a qualified person</w:t>
      </w:r>
      <w:r w:rsidRPr="00DD07E1">
        <w:t xml:space="preserve">, the </w:t>
      </w:r>
      <w:r w:rsidR="00AA3E7C">
        <w:t xml:space="preserve">FOI </w:t>
      </w:r>
      <w:r w:rsidRPr="00DD07E1">
        <w:t xml:space="preserve">applicant </w:t>
      </w:r>
      <w:r w:rsidRPr="007500E4">
        <w:t>is</w:t>
      </w:r>
      <w:r w:rsidRPr="00DD07E1">
        <w:t xml:space="preserve"> </w:t>
      </w:r>
      <w:r w:rsidRPr="007500E4">
        <w:t>to</w:t>
      </w:r>
      <w:r w:rsidRPr="00DD07E1">
        <w:t xml:space="preserve"> </w:t>
      </w:r>
      <w:r w:rsidRPr="007500E4">
        <w:t>nominate</w:t>
      </w:r>
      <w:r w:rsidRPr="00DD07E1">
        <w:t xml:space="preserve"> </w:t>
      </w:r>
      <w:r w:rsidRPr="007500E4">
        <w:t>a</w:t>
      </w:r>
      <w:r w:rsidRPr="00DD07E1">
        <w:t xml:space="preserve"> qualified </w:t>
      </w:r>
      <w:r w:rsidRPr="007500E4">
        <w:t>person</w:t>
      </w:r>
      <w:r w:rsidRPr="00DD07E1">
        <w:t xml:space="preserve"> (s 47F(5)(b)). The nominated qualified person must carry </w:t>
      </w:r>
      <w:r w:rsidRPr="007500E4">
        <w:t>on</w:t>
      </w:r>
      <w:r w:rsidRPr="00DD07E1">
        <w:t xml:space="preserve"> the same occupation </w:t>
      </w:r>
      <w:r w:rsidRPr="007500E4">
        <w:t>as</w:t>
      </w:r>
      <w:r w:rsidRPr="00DD07E1">
        <w:t xml:space="preserve"> </w:t>
      </w:r>
      <w:r w:rsidRPr="007500E4">
        <w:t>the</w:t>
      </w:r>
      <w:r w:rsidRPr="00DD07E1">
        <w:t xml:space="preserve"> qualified person who provided the document (s </w:t>
      </w:r>
      <w:r w:rsidRPr="007500E4">
        <w:t>47F(5)(a)).</w:t>
      </w:r>
    </w:p>
    <w:p w14:paraId="658AE282" w14:textId="77777777" w:rsidR="00BB0A82" w:rsidRPr="007500E4" w:rsidRDefault="00BB0A82" w:rsidP="00B73860">
      <w:pPr>
        <w:pStyle w:val="NumberedParagraphs"/>
        <w:ind w:left="567"/>
      </w:pPr>
      <w:r w:rsidRPr="007500E4">
        <w:t>A</w:t>
      </w:r>
      <w:r w:rsidRPr="00DD07E1">
        <w:t xml:space="preserve"> qualified </w:t>
      </w:r>
      <w:r w:rsidRPr="007500E4">
        <w:t>person</w:t>
      </w:r>
      <w:r w:rsidRPr="00DD07E1">
        <w:t xml:space="preserve"> means </w:t>
      </w:r>
      <w:r w:rsidRPr="007500E4">
        <w:t>a</w:t>
      </w:r>
      <w:r w:rsidRPr="00DD07E1">
        <w:t xml:space="preserve"> </w:t>
      </w:r>
      <w:r w:rsidRPr="007500E4">
        <w:t>person</w:t>
      </w:r>
      <w:r w:rsidRPr="00DD07E1">
        <w:t xml:space="preserve"> who carries on (and </w:t>
      </w:r>
      <w:r w:rsidRPr="007500E4">
        <w:t>is</w:t>
      </w:r>
      <w:r w:rsidRPr="00DD07E1">
        <w:t xml:space="preserve"> entitled </w:t>
      </w:r>
      <w:r w:rsidRPr="007500E4">
        <w:t>to</w:t>
      </w:r>
      <w:r w:rsidRPr="00DD07E1">
        <w:t xml:space="preserve"> carry on) </w:t>
      </w:r>
      <w:r w:rsidRPr="007500E4">
        <w:t>an</w:t>
      </w:r>
      <w:r w:rsidRPr="00DD07E1">
        <w:t xml:space="preserve"> occupation that involves providing</w:t>
      </w:r>
      <w:r w:rsidRPr="00DD07E1">
        <w:rPr>
          <w:w w:val="99"/>
        </w:rPr>
        <w:t xml:space="preserve"> </w:t>
      </w:r>
      <w:r w:rsidRPr="00DD07E1">
        <w:t xml:space="preserve">care </w:t>
      </w:r>
      <w:r w:rsidRPr="007500E4">
        <w:t>for</w:t>
      </w:r>
      <w:r w:rsidRPr="00DD07E1">
        <w:t xml:space="preserve"> </w:t>
      </w:r>
      <w:r w:rsidRPr="007500E4">
        <w:t>a</w:t>
      </w:r>
      <w:r w:rsidRPr="00DD07E1">
        <w:t xml:space="preserve"> person’s physical or</w:t>
      </w:r>
      <w:r w:rsidRPr="007500E4">
        <w:t xml:space="preserve"> mental</w:t>
      </w:r>
      <w:r w:rsidRPr="00DD07E1">
        <w:t xml:space="preserve"> health </w:t>
      </w:r>
      <w:r w:rsidRPr="007500E4">
        <w:t xml:space="preserve">or </w:t>
      </w:r>
      <w:r w:rsidRPr="00DD07E1">
        <w:t>wellbeing, including:</w:t>
      </w:r>
    </w:p>
    <w:p w14:paraId="1C2082D9" w14:textId="77777777" w:rsidR="00BB0A82" w:rsidRPr="007500E4" w:rsidRDefault="00BB0A82" w:rsidP="00AD2470">
      <w:pPr>
        <w:pStyle w:val="IndentBullet1"/>
        <w:ind w:left="993" w:hanging="426"/>
      </w:pPr>
      <w:r w:rsidRPr="007500E4">
        <w:t>a</w:t>
      </w:r>
      <w:r w:rsidRPr="00DD07E1">
        <w:t xml:space="preserve"> </w:t>
      </w:r>
      <w:r w:rsidRPr="007500E4">
        <w:t>medical</w:t>
      </w:r>
      <w:r w:rsidRPr="00DD07E1">
        <w:t xml:space="preserve"> practitioner</w:t>
      </w:r>
    </w:p>
    <w:p w14:paraId="26488EB5" w14:textId="77777777" w:rsidR="00BB0A82" w:rsidRPr="007500E4" w:rsidRDefault="00BB0A82" w:rsidP="00AD2470">
      <w:pPr>
        <w:pStyle w:val="IndentBullet1"/>
        <w:ind w:left="993" w:hanging="426"/>
      </w:pPr>
      <w:r w:rsidRPr="007500E4">
        <w:t>a</w:t>
      </w:r>
      <w:r w:rsidRPr="00DD07E1">
        <w:t xml:space="preserve"> psychiatrist</w:t>
      </w:r>
    </w:p>
    <w:p w14:paraId="4897815B" w14:textId="77777777" w:rsidR="00BB0A82" w:rsidRPr="007500E4" w:rsidRDefault="00BB0A82" w:rsidP="00AD2470">
      <w:pPr>
        <w:pStyle w:val="IndentBullet1"/>
        <w:ind w:left="993" w:hanging="426"/>
      </w:pPr>
      <w:r w:rsidRPr="007500E4">
        <w:t>a</w:t>
      </w:r>
      <w:r w:rsidRPr="00DD07E1">
        <w:t xml:space="preserve"> psychologist</w:t>
      </w:r>
    </w:p>
    <w:p w14:paraId="774A6476" w14:textId="70AC93D8" w:rsidR="00BB0A82" w:rsidRPr="007500E4" w:rsidRDefault="00BB0A82" w:rsidP="00AD2470">
      <w:pPr>
        <w:pStyle w:val="IndentBullet1"/>
        <w:ind w:left="993" w:hanging="426"/>
        <w:rPr>
          <w:sz w:val="16"/>
          <w:szCs w:val="16"/>
        </w:rPr>
      </w:pPr>
      <w:r w:rsidRPr="007500E4">
        <w:t>a</w:t>
      </w:r>
      <w:r w:rsidRPr="00DD07E1">
        <w:t xml:space="preserve"> counsellor</w:t>
      </w:r>
    </w:p>
    <w:p w14:paraId="7BFCEBFD" w14:textId="77777777" w:rsidR="00BB0A82" w:rsidRPr="007500E4" w:rsidRDefault="00BB0A82" w:rsidP="00AD2470">
      <w:pPr>
        <w:pStyle w:val="IndentBullet1"/>
        <w:ind w:left="993" w:hanging="426"/>
      </w:pPr>
      <w:r w:rsidRPr="007500E4">
        <w:t>a</w:t>
      </w:r>
      <w:r w:rsidRPr="00DD07E1">
        <w:t xml:space="preserve"> social worker (s 47F(7)).</w:t>
      </w:r>
    </w:p>
    <w:p w14:paraId="30F6431F" w14:textId="34F93A22" w:rsidR="00BB0A82" w:rsidRPr="00DD07E1" w:rsidRDefault="00BB0A82" w:rsidP="00B73860">
      <w:pPr>
        <w:pStyle w:val="NumberedParagraphs"/>
        <w:ind w:left="567"/>
        <w:rPr>
          <w:rFonts w:cs="Calibri"/>
        </w:rPr>
      </w:pPr>
      <w:r w:rsidRPr="007500E4">
        <w:t>Where</w:t>
      </w:r>
      <w:r w:rsidRPr="00DD07E1">
        <w:t xml:space="preserve"> access </w:t>
      </w:r>
      <w:r w:rsidRPr="007500E4">
        <w:t>is</w:t>
      </w:r>
      <w:r w:rsidRPr="00DD07E1">
        <w:t xml:space="preserve"> provided to</w:t>
      </w:r>
      <w:r w:rsidRPr="007500E4">
        <w:t xml:space="preserve"> a</w:t>
      </w:r>
      <w:r w:rsidRPr="00DD07E1">
        <w:t xml:space="preserve"> qualified person, it </w:t>
      </w:r>
      <w:r w:rsidRPr="007500E4">
        <w:t>is</w:t>
      </w:r>
      <w:r w:rsidRPr="00DD07E1">
        <w:t xml:space="preserve"> left </w:t>
      </w:r>
      <w:r w:rsidRPr="007500E4">
        <w:t>to</w:t>
      </w:r>
      <w:r w:rsidRPr="00DD07E1">
        <w:t xml:space="preserve"> their discretion </w:t>
      </w:r>
      <w:r w:rsidRPr="007500E4">
        <w:t>as</w:t>
      </w:r>
      <w:r w:rsidRPr="00DD07E1">
        <w:t xml:space="preserve"> </w:t>
      </w:r>
      <w:r w:rsidRPr="007500E4">
        <w:t>to</w:t>
      </w:r>
      <w:r w:rsidRPr="00DD07E1">
        <w:t xml:space="preserve"> </w:t>
      </w:r>
      <w:r w:rsidRPr="007500E4">
        <w:t>how</w:t>
      </w:r>
      <w:r w:rsidRPr="00DD07E1">
        <w:rPr>
          <w:w w:val="99"/>
        </w:rPr>
        <w:t xml:space="preserve"> </w:t>
      </w:r>
      <w:r w:rsidRPr="007500E4">
        <w:rPr>
          <w:rFonts w:cs="Calibri"/>
        </w:rPr>
        <w:t>they</w:t>
      </w:r>
      <w:r w:rsidRPr="00DD07E1">
        <w:rPr>
          <w:rFonts w:cs="Calibri"/>
        </w:rPr>
        <w:t xml:space="preserve"> facilitate the </w:t>
      </w:r>
      <w:r w:rsidR="00D1153A">
        <w:rPr>
          <w:rFonts w:cs="Calibri"/>
        </w:rPr>
        <w:t xml:space="preserve">FOI </w:t>
      </w:r>
      <w:r w:rsidRPr="00DD07E1">
        <w:rPr>
          <w:rFonts w:cs="Calibri"/>
        </w:rPr>
        <w:t>applicant’s</w:t>
      </w:r>
      <w:r w:rsidRPr="007500E4">
        <w:rPr>
          <w:rFonts w:cs="Calibri"/>
        </w:rPr>
        <w:t xml:space="preserve"> </w:t>
      </w:r>
      <w:r w:rsidRPr="00DD07E1">
        <w:rPr>
          <w:rFonts w:cs="Calibri"/>
        </w:rPr>
        <w:t xml:space="preserve">access </w:t>
      </w:r>
      <w:r w:rsidRPr="007500E4">
        <w:rPr>
          <w:rFonts w:cs="Calibri"/>
        </w:rPr>
        <w:t>to</w:t>
      </w:r>
      <w:r w:rsidRPr="00DD07E1">
        <w:rPr>
          <w:rFonts w:cs="Calibri"/>
        </w:rPr>
        <w:t xml:space="preserve"> the document.</w:t>
      </w:r>
    </w:p>
    <w:p w14:paraId="7279B9A0" w14:textId="3E1FAB42" w:rsidR="00BB0A82" w:rsidRPr="007500E4" w:rsidRDefault="00BB0A82" w:rsidP="00B73860">
      <w:pPr>
        <w:pStyle w:val="NumberedParagraphs"/>
        <w:ind w:left="567"/>
        <w:rPr>
          <w:rFonts w:cs="Calibri"/>
        </w:rPr>
      </w:pPr>
      <w:r w:rsidRPr="007500E4">
        <w:t>APP 12.6 of the Privacy Act allows agencies to give an individual access to their personal information through a mutually agreed intermediary.</w:t>
      </w:r>
      <w:r w:rsidRPr="007500E4">
        <w:rPr>
          <w:rStyle w:val="FootnoteReference"/>
        </w:rPr>
        <w:footnoteReference w:id="157"/>
      </w:r>
      <w:r w:rsidRPr="007500E4">
        <w:t xml:space="preserve"> This provision is more flexible than the equivalent provision under s 47F of the FOI Act. For example, an intermediary under APP</w:t>
      </w:r>
      <w:r w:rsidR="00E71020">
        <w:t> </w:t>
      </w:r>
      <w:r w:rsidRPr="007500E4">
        <w:t xml:space="preserve">12 does not have to carry on the same occupation as the person who provided the information. Where giving access in accordance with APP 12.6 </w:t>
      </w:r>
      <w:r w:rsidR="004A1597">
        <w:t>might</w:t>
      </w:r>
      <w:r w:rsidRPr="007500E4">
        <w:t xml:space="preserve"> more satisfactorily meet an FOI applicant’s needs, an agency may wish to suggest </w:t>
      </w:r>
      <w:r w:rsidR="004A1597">
        <w:t xml:space="preserve">they </w:t>
      </w:r>
      <w:r w:rsidR="00085992">
        <w:t xml:space="preserve">request the </w:t>
      </w:r>
      <w:r w:rsidR="004A1597">
        <w:t xml:space="preserve">information they seek </w:t>
      </w:r>
      <w:r w:rsidR="00085992">
        <w:t>under APP 12.6</w:t>
      </w:r>
      <w:r w:rsidRPr="007500E4">
        <w:t xml:space="preserve"> </w:t>
      </w:r>
      <w:bookmarkStart w:id="217" w:name="_Ref459111037"/>
    </w:p>
    <w:p w14:paraId="42D32643" w14:textId="089AEA94" w:rsidR="00BB0A82" w:rsidRPr="00693BDA" w:rsidRDefault="00BB0A82" w:rsidP="00020549">
      <w:pPr>
        <w:pStyle w:val="Heading2"/>
        <w:spacing w:before="240"/>
      </w:pPr>
      <w:bookmarkStart w:id="218" w:name="Business_information"/>
      <w:bookmarkStart w:id="219" w:name="_bookmark57"/>
      <w:bookmarkStart w:id="220" w:name="_Toc11154511"/>
      <w:bookmarkStart w:id="221" w:name="_Toc141875238"/>
      <w:bookmarkEnd w:id="217"/>
      <w:bookmarkEnd w:id="218"/>
      <w:bookmarkEnd w:id="219"/>
      <w:r w:rsidRPr="00693BDA">
        <w:t>Documents disclosing business information (s</w:t>
      </w:r>
      <w:r w:rsidR="00693BDA">
        <w:t> </w:t>
      </w:r>
      <w:r w:rsidRPr="00693BDA">
        <w:t>47G)</w:t>
      </w:r>
      <w:bookmarkEnd w:id="220"/>
      <w:bookmarkEnd w:id="221"/>
    </w:p>
    <w:p w14:paraId="396FAAFD" w14:textId="77777777" w:rsidR="00BB0A82" w:rsidRPr="007500E4" w:rsidRDefault="00BB0A82" w:rsidP="00B73860">
      <w:pPr>
        <w:pStyle w:val="NumberedParagraphs"/>
        <w:ind w:left="567"/>
      </w:pPr>
      <w:bookmarkStart w:id="222" w:name="_bookmark58"/>
      <w:bookmarkStart w:id="223" w:name="_Ref458498663"/>
      <w:bookmarkStart w:id="224" w:name="_Ref459111108"/>
      <w:bookmarkEnd w:id="222"/>
      <w:r w:rsidRPr="007500E4">
        <w:t>Section 47G conditionally exempts documents where disclosure would</w:t>
      </w:r>
      <w:r w:rsidRPr="00DD07E1">
        <w:t xml:space="preserve"> disclose information concerning </w:t>
      </w:r>
      <w:r w:rsidRPr="007500E4">
        <w:t>a</w:t>
      </w:r>
      <w:r w:rsidRPr="00DD07E1">
        <w:t xml:space="preserve"> person in respect </w:t>
      </w:r>
      <w:r w:rsidRPr="007500E4">
        <w:t>of</w:t>
      </w:r>
      <w:r w:rsidRPr="00DD07E1">
        <w:t xml:space="preserve"> </w:t>
      </w:r>
      <w:r w:rsidRPr="007500E4">
        <w:t>his</w:t>
      </w:r>
      <w:r w:rsidRPr="00DD07E1">
        <w:t xml:space="preserve"> </w:t>
      </w:r>
      <w:r w:rsidRPr="007500E4">
        <w:t>or</w:t>
      </w:r>
      <w:r w:rsidRPr="00DD07E1">
        <w:t xml:space="preserve"> </w:t>
      </w:r>
      <w:r w:rsidRPr="007500E4">
        <w:t>her</w:t>
      </w:r>
      <w:r w:rsidRPr="00DD07E1">
        <w:t xml:space="preserve"> business </w:t>
      </w:r>
      <w:r w:rsidRPr="007500E4">
        <w:t>or</w:t>
      </w:r>
      <w:r w:rsidRPr="00DD07E1">
        <w:t xml:space="preserve"> professional affairs, </w:t>
      </w:r>
      <w:r w:rsidRPr="007500E4">
        <w:t>or</w:t>
      </w:r>
      <w:r w:rsidRPr="00DD07E1">
        <w:t xml:space="preserve"> concerning</w:t>
      </w:r>
      <w:r w:rsidRPr="00DD07E1">
        <w:rPr>
          <w:w w:val="99"/>
        </w:rPr>
        <w:t xml:space="preserve"> </w:t>
      </w:r>
      <w:r w:rsidRPr="007500E4">
        <w:t>the</w:t>
      </w:r>
      <w:r w:rsidRPr="00DD07E1">
        <w:t xml:space="preserve"> business, commercial </w:t>
      </w:r>
      <w:r w:rsidRPr="007500E4">
        <w:t>or</w:t>
      </w:r>
      <w:r w:rsidRPr="00DD07E1">
        <w:t xml:space="preserve"> financial affairs </w:t>
      </w:r>
      <w:r w:rsidRPr="007500E4">
        <w:t>of</w:t>
      </w:r>
      <w:r w:rsidRPr="00DD07E1">
        <w:t xml:space="preserve"> </w:t>
      </w:r>
      <w:r w:rsidRPr="007500E4">
        <w:t>an</w:t>
      </w:r>
      <w:r w:rsidRPr="00DD07E1">
        <w:t xml:space="preserve"> organisation </w:t>
      </w:r>
      <w:r w:rsidRPr="007500E4">
        <w:t>or</w:t>
      </w:r>
      <w:r w:rsidRPr="00DD07E1">
        <w:t xml:space="preserve"> undertaking (business information), where the</w:t>
      </w:r>
      <w:r w:rsidRPr="00DD07E1">
        <w:rPr>
          <w:w w:val="99"/>
        </w:rPr>
        <w:t xml:space="preserve"> </w:t>
      </w:r>
      <w:r w:rsidRPr="00DD07E1">
        <w:t xml:space="preserve">disclosure </w:t>
      </w:r>
      <w:r w:rsidRPr="007500E4">
        <w:t>of</w:t>
      </w:r>
      <w:r w:rsidRPr="00DD07E1">
        <w:t xml:space="preserve"> the information:</w:t>
      </w:r>
      <w:bookmarkEnd w:id="223"/>
      <w:bookmarkEnd w:id="224"/>
    </w:p>
    <w:p w14:paraId="0BFF6CCD" w14:textId="5FF9CA75" w:rsidR="00BB0A82" w:rsidRPr="00C12426" w:rsidRDefault="00BB0A82" w:rsidP="00AD2470">
      <w:pPr>
        <w:pStyle w:val="IndentBullet1"/>
        <w:ind w:left="993" w:hanging="426"/>
      </w:pPr>
      <w:r w:rsidRPr="00C12426">
        <w:t>would, or could reasonably be expected to, unreasonably affect the person adversely in respect of his or her lawful business or professional affairs or that organisation or undertaking in respect of its lawful business, commercial or financial affairs (s 47G(1)(a)) or</w:t>
      </w:r>
    </w:p>
    <w:p w14:paraId="60FDB37C" w14:textId="77777777" w:rsidR="00BB0A82" w:rsidRPr="00C12426" w:rsidRDefault="00BB0A82" w:rsidP="00AD2470">
      <w:pPr>
        <w:pStyle w:val="IndentBullet1"/>
        <w:ind w:left="993" w:hanging="426"/>
      </w:pPr>
      <w:r w:rsidRPr="00C12426">
        <w:lastRenderedPageBreak/>
        <w:t>could reasonably be expected to prejudice the future supply of information to the Commonwealth or an agency for the purpose of the administration of a law of the Commonwealth or of a Territory or the administration of matters administered by an agency (s 47G(1)(b)).</w:t>
      </w:r>
    </w:p>
    <w:p w14:paraId="7FDB9308" w14:textId="09112969" w:rsidR="00BB0A82" w:rsidRPr="007F26EA" w:rsidRDefault="00BB0A82" w:rsidP="00B73860">
      <w:pPr>
        <w:pStyle w:val="NumberedParagraphs"/>
        <w:ind w:left="567"/>
      </w:pPr>
      <w:r w:rsidRPr="007500E4">
        <w:t>If</w:t>
      </w:r>
      <w:r w:rsidRPr="00DD07E1">
        <w:t xml:space="preserve"> the business information concerns </w:t>
      </w:r>
      <w:r w:rsidRPr="007500E4">
        <w:t>a</w:t>
      </w:r>
      <w:r w:rsidRPr="00DD07E1">
        <w:t xml:space="preserve"> person, organisation or undertaking other</w:t>
      </w:r>
      <w:r w:rsidRPr="00DD07E1">
        <w:rPr>
          <w:w w:val="99"/>
        </w:rPr>
        <w:t xml:space="preserve"> </w:t>
      </w:r>
      <w:r w:rsidRPr="00DD07E1">
        <w:t xml:space="preserve">than the </w:t>
      </w:r>
      <w:r w:rsidR="00D1153A">
        <w:t xml:space="preserve">FOI </w:t>
      </w:r>
      <w:r w:rsidRPr="00DD07E1">
        <w:t xml:space="preserve">applicant, the decision maker </w:t>
      </w:r>
      <w:r w:rsidRPr="007500E4">
        <w:t>may</w:t>
      </w:r>
      <w:r w:rsidRPr="00DD07E1">
        <w:t xml:space="preserve"> be required </w:t>
      </w:r>
      <w:r w:rsidRPr="007500E4">
        <w:t>to</w:t>
      </w:r>
      <w:r w:rsidRPr="00DD07E1">
        <w:t xml:space="preserve"> consult that third party (</w:t>
      </w:r>
      <w:r w:rsidRPr="007F26EA">
        <w:t>see</w:t>
      </w:r>
      <w:r w:rsidRPr="007F26EA">
        <w:rPr>
          <w:w w:val="99"/>
        </w:rPr>
        <w:t xml:space="preserve"> [</w:t>
      </w:r>
      <w:hyperlink w:anchor="_bookmark67" w:history="1">
        <w:r w:rsidRPr="007F26EA">
          <w:fldChar w:fldCharType="begin"/>
        </w:r>
        <w:r w:rsidRPr="007F26EA">
          <w:instrText xml:space="preserve"> REF _Ref457563259 \r \h  \* MERGEFORMAT </w:instrText>
        </w:r>
        <w:r w:rsidRPr="007F26EA">
          <w:fldChar w:fldCharType="separate"/>
        </w:r>
        <w:r w:rsidR="00A721BB">
          <w:t>6.195</w:t>
        </w:r>
        <w:r w:rsidRPr="007F26EA">
          <w:fldChar w:fldCharType="end"/>
        </w:r>
      </w:hyperlink>
      <w:r w:rsidRPr="007F26EA">
        <w:t>]</w:t>
      </w:r>
      <w:r w:rsidRPr="007F26EA">
        <w:rPr>
          <w:rFonts w:cs="Calibri"/>
        </w:rPr>
        <w:t>–</w:t>
      </w:r>
      <w:r w:rsidR="007F26EA" w:rsidRPr="007F26EA">
        <w:rPr>
          <w:rFonts w:cs="Calibri"/>
        </w:rPr>
        <w:t>[6.198</w:t>
      </w:r>
      <w:r w:rsidRPr="007F26EA">
        <w:t>] below).</w:t>
      </w:r>
    </w:p>
    <w:p w14:paraId="25A484D5" w14:textId="77777777" w:rsidR="00BB0A82" w:rsidRPr="00C12426" w:rsidRDefault="00BB0A82" w:rsidP="002813D6">
      <w:pPr>
        <w:pStyle w:val="Heading3"/>
      </w:pPr>
      <w:bookmarkStart w:id="225" w:name="Exemption_does_not_apply_in_certain_circ"/>
      <w:bookmarkStart w:id="226" w:name="_bookmark59"/>
      <w:bookmarkStart w:id="227" w:name="_Toc11154512"/>
      <w:bookmarkStart w:id="228" w:name="_Toc141875239"/>
      <w:bookmarkEnd w:id="225"/>
      <w:bookmarkEnd w:id="226"/>
      <w:r w:rsidRPr="00C12426">
        <w:t>Exemption does not apply in certain circumstances</w:t>
      </w:r>
      <w:bookmarkEnd w:id="227"/>
      <w:bookmarkEnd w:id="228"/>
    </w:p>
    <w:p w14:paraId="33889AA6" w14:textId="635F9B97" w:rsidR="00BB0A82" w:rsidRPr="007500E4" w:rsidRDefault="00BB0A82" w:rsidP="00B73860">
      <w:pPr>
        <w:pStyle w:val="NumberedParagraphs"/>
        <w:ind w:left="567"/>
      </w:pPr>
      <w:r w:rsidRPr="007500E4">
        <w:t>The</w:t>
      </w:r>
      <w:r w:rsidRPr="00DD07E1">
        <w:t xml:space="preserve"> conditional</w:t>
      </w:r>
      <w:r w:rsidRPr="007500E4">
        <w:t xml:space="preserve"> </w:t>
      </w:r>
      <w:r w:rsidRPr="00DD07E1">
        <w:t xml:space="preserve">exemption </w:t>
      </w:r>
      <w:r w:rsidRPr="007500E4">
        <w:t>does</w:t>
      </w:r>
      <w:r w:rsidRPr="00DD07E1">
        <w:t xml:space="preserve"> not apply if </w:t>
      </w:r>
      <w:r w:rsidRPr="007500E4">
        <w:t>the</w:t>
      </w:r>
      <w:r w:rsidRPr="00DD07E1">
        <w:t xml:space="preserve"> document contains </w:t>
      </w:r>
      <w:r w:rsidRPr="007500E4">
        <w:t>only</w:t>
      </w:r>
      <w:r w:rsidRPr="00DD07E1">
        <w:t xml:space="preserve"> business</w:t>
      </w:r>
      <w:r w:rsidRPr="00DD07E1">
        <w:rPr>
          <w:w w:val="99"/>
        </w:rPr>
        <w:t xml:space="preserve"> </w:t>
      </w:r>
      <w:r w:rsidRPr="00DD07E1">
        <w:t xml:space="preserve">information about the </w:t>
      </w:r>
      <w:r w:rsidR="00D1153A">
        <w:t xml:space="preserve">FOI </w:t>
      </w:r>
      <w:r w:rsidRPr="00DD07E1">
        <w:t xml:space="preserve">applicant (s 47G(3)). Where the business information concerns both </w:t>
      </w:r>
      <w:r w:rsidRPr="007500E4">
        <w:t>the</w:t>
      </w:r>
      <w:r w:rsidRPr="00DD07E1">
        <w:t xml:space="preserve"> </w:t>
      </w:r>
      <w:r w:rsidR="00D1153A">
        <w:t xml:space="preserve">FOI </w:t>
      </w:r>
      <w:r w:rsidRPr="00DD07E1">
        <w:t xml:space="preserve">applicant and another business, </w:t>
      </w:r>
      <w:r w:rsidRPr="007500E4">
        <w:t>the</w:t>
      </w:r>
      <w:r w:rsidRPr="00DD07E1">
        <w:t xml:space="preserve"> provision </w:t>
      </w:r>
      <w:r w:rsidRPr="007500E4">
        <w:t>may</w:t>
      </w:r>
      <w:r w:rsidRPr="00DD07E1">
        <w:t xml:space="preserve"> operate </w:t>
      </w:r>
      <w:r w:rsidRPr="007500E4">
        <w:t>to</w:t>
      </w:r>
      <w:r w:rsidRPr="00DD07E1">
        <w:t xml:space="preserve"> exempt the </w:t>
      </w:r>
      <w:r w:rsidR="00F7048A">
        <w:t xml:space="preserve">FOI </w:t>
      </w:r>
      <w:r w:rsidR="00D1153A">
        <w:t xml:space="preserve">applicant’s </w:t>
      </w:r>
      <w:r w:rsidRPr="00DD07E1">
        <w:t>information</w:t>
      </w:r>
      <w:r w:rsidRPr="00DD07E1">
        <w:rPr>
          <w:rFonts w:cs="Calibri"/>
        </w:rPr>
        <w:t>,</w:t>
      </w:r>
      <w:r w:rsidRPr="007500E4">
        <w:rPr>
          <w:rFonts w:cs="Calibri"/>
        </w:rPr>
        <w:t xml:space="preserve"> </w:t>
      </w:r>
      <w:r w:rsidRPr="00DD07E1">
        <w:rPr>
          <w:rFonts w:cs="Calibri"/>
        </w:rPr>
        <w:t xml:space="preserve">but </w:t>
      </w:r>
      <w:r w:rsidRPr="007500E4">
        <w:rPr>
          <w:rFonts w:cs="Calibri"/>
        </w:rPr>
        <w:t>only</w:t>
      </w:r>
      <w:r w:rsidRPr="00DD07E1">
        <w:rPr>
          <w:rFonts w:cs="Calibri"/>
        </w:rPr>
        <w:t xml:space="preserve"> </w:t>
      </w:r>
      <w:r w:rsidRPr="007500E4">
        <w:rPr>
          <w:rFonts w:cs="Calibri"/>
        </w:rPr>
        <w:t>if</w:t>
      </w:r>
      <w:r w:rsidRPr="00DD07E1">
        <w:rPr>
          <w:rFonts w:cs="Calibri"/>
        </w:rPr>
        <w:t xml:space="preserve"> </w:t>
      </w:r>
      <w:r w:rsidRPr="007500E4">
        <w:rPr>
          <w:rFonts w:cs="Calibri"/>
        </w:rPr>
        <w:t>the</w:t>
      </w:r>
      <w:r w:rsidRPr="00DD07E1">
        <w:rPr>
          <w:rFonts w:cs="Calibri"/>
        </w:rPr>
        <w:t xml:space="preserve"> </w:t>
      </w:r>
      <w:r w:rsidR="00D1153A">
        <w:rPr>
          <w:rFonts w:cs="Calibri"/>
        </w:rPr>
        <w:t xml:space="preserve">FOI </w:t>
      </w:r>
      <w:r w:rsidRPr="00DD07E1">
        <w:rPr>
          <w:rFonts w:cs="Calibri"/>
        </w:rPr>
        <w:t>applicant’s</w:t>
      </w:r>
      <w:r w:rsidRPr="007500E4">
        <w:rPr>
          <w:rFonts w:cs="Calibri"/>
        </w:rPr>
        <w:t xml:space="preserve"> business</w:t>
      </w:r>
      <w:r w:rsidRPr="00DD07E1">
        <w:rPr>
          <w:rFonts w:cs="Calibri"/>
        </w:rPr>
        <w:t xml:space="preserve"> information cannot </w:t>
      </w:r>
      <w:r w:rsidRPr="007500E4">
        <w:rPr>
          <w:rFonts w:cs="Calibri"/>
        </w:rPr>
        <w:t>be</w:t>
      </w:r>
      <w:r w:rsidRPr="00DD07E1">
        <w:rPr>
          <w:rFonts w:cs="Calibri"/>
        </w:rPr>
        <w:t xml:space="preserve"> separated </w:t>
      </w:r>
      <w:r w:rsidRPr="007500E4">
        <w:rPr>
          <w:rFonts w:cs="Calibri"/>
        </w:rPr>
        <w:t>from</w:t>
      </w:r>
      <w:r w:rsidRPr="00DD07E1">
        <w:rPr>
          <w:rFonts w:cs="Calibri"/>
        </w:rPr>
        <w:t xml:space="preserve"> the </w:t>
      </w:r>
      <w:r w:rsidRPr="00DD07E1">
        <w:t xml:space="preserve">information </w:t>
      </w:r>
      <w:r w:rsidRPr="007500E4">
        <w:t>of</w:t>
      </w:r>
      <w:r w:rsidRPr="00DD07E1">
        <w:t xml:space="preserve"> the other business </w:t>
      </w:r>
      <w:r w:rsidRPr="007500E4">
        <w:t>or</w:t>
      </w:r>
      <w:r w:rsidRPr="00DD07E1">
        <w:t xml:space="preserve"> undertaking.</w:t>
      </w:r>
    </w:p>
    <w:p w14:paraId="1AA19FC8" w14:textId="0906100E" w:rsidR="00BB0A82" w:rsidRPr="007500E4" w:rsidRDefault="00BB0A82" w:rsidP="00B73860">
      <w:pPr>
        <w:pStyle w:val="NumberedParagraphs"/>
        <w:ind w:left="567"/>
      </w:pPr>
      <w:r w:rsidRPr="007500E4">
        <w:t>This</w:t>
      </w:r>
      <w:r w:rsidRPr="00DD07E1">
        <w:t xml:space="preserve"> conditional exemption </w:t>
      </w:r>
      <w:r w:rsidRPr="007500E4">
        <w:t>does</w:t>
      </w:r>
      <w:r w:rsidRPr="00DD07E1">
        <w:t xml:space="preserve"> not apply </w:t>
      </w:r>
      <w:r w:rsidRPr="007500E4">
        <w:t>to</w:t>
      </w:r>
      <w:r w:rsidRPr="00DD07E1">
        <w:t xml:space="preserve"> trade secrets </w:t>
      </w:r>
      <w:r w:rsidRPr="007500E4">
        <w:t>or</w:t>
      </w:r>
      <w:r w:rsidRPr="00DD07E1">
        <w:t xml:space="preserve"> other information to which </w:t>
      </w:r>
      <w:r w:rsidRPr="007500E4">
        <w:t>s</w:t>
      </w:r>
      <w:r w:rsidR="0022409B">
        <w:t> </w:t>
      </w:r>
      <w:r w:rsidRPr="007500E4">
        <w:t>47</w:t>
      </w:r>
      <w:r w:rsidRPr="00DD07E1">
        <w:t xml:space="preserve"> applies </w:t>
      </w:r>
      <w:r w:rsidRPr="007500E4">
        <w:t>(s</w:t>
      </w:r>
      <w:r w:rsidRPr="00DD07E1">
        <w:t xml:space="preserve"> 47G(2)). </w:t>
      </w:r>
      <w:r w:rsidRPr="007500E4">
        <w:t>In</w:t>
      </w:r>
      <w:r w:rsidRPr="00DD07E1">
        <w:t xml:space="preserve"> other words, </w:t>
      </w:r>
      <w:r w:rsidRPr="007500E4">
        <w:t>a</w:t>
      </w:r>
      <w:r w:rsidRPr="00DD07E1">
        <w:t xml:space="preserve"> decision maker </w:t>
      </w:r>
      <w:r w:rsidR="008D059E">
        <w:t>may</w:t>
      </w:r>
      <w:r w:rsidRPr="00DD07E1">
        <w:t xml:space="preserve"> </w:t>
      </w:r>
      <w:r w:rsidR="00B377BF">
        <w:t>apply</w:t>
      </w:r>
      <w:r w:rsidRPr="00DD07E1">
        <w:t xml:space="preserve"> </w:t>
      </w:r>
      <w:r w:rsidRPr="007500E4">
        <w:t>an</w:t>
      </w:r>
      <w:r w:rsidRPr="00DD07E1">
        <w:t xml:space="preserve"> exemption under </w:t>
      </w:r>
      <w:r w:rsidRPr="007500E4">
        <w:t>s</w:t>
      </w:r>
      <w:r w:rsidR="0022409B">
        <w:t> </w:t>
      </w:r>
      <w:r w:rsidRPr="007500E4">
        <w:t>47</w:t>
      </w:r>
      <w:r w:rsidRPr="00DD07E1">
        <w:t xml:space="preserve"> </w:t>
      </w:r>
      <w:r w:rsidRPr="007500E4">
        <w:t>for</w:t>
      </w:r>
      <w:r w:rsidRPr="00DD07E1">
        <w:t xml:space="preserve"> documents containing such information </w:t>
      </w:r>
      <w:r w:rsidRPr="007500E4">
        <w:t>if</w:t>
      </w:r>
      <w:r w:rsidRPr="00DD07E1">
        <w:t xml:space="preserve"> the circumstances call </w:t>
      </w:r>
      <w:r w:rsidRPr="007500E4">
        <w:t>for</w:t>
      </w:r>
      <w:r w:rsidRPr="00DD07E1">
        <w:t xml:space="preserve"> </w:t>
      </w:r>
      <w:r w:rsidRPr="007500E4">
        <w:t>it.</w:t>
      </w:r>
      <w:r w:rsidRPr="00DD07E1">
        <w:t xml:space="preserve"> This </w:t>
      </w:r>
      <w:r w:rsidRPr="007500E4">
        <w:t>is</w:t>
      </w:r>
      <w:r w:rsidRPr="00DD07E1">
        <w:t xml:space="preserve"> </w:t>
      </w:r>
      <w:r w:rsidRPr="007500E4">
        <w:t>a</w:t>
      </w:r>
      <w:r w:rsidRPr="00DD07E1">
        <w:t xml:space="preserve"> limited exception </w:t>
      </w:r>
      <w:r w:rsidRPr="007500E4">
        <w:t>to</w:t>
      </w:r>
      <w:r w:rsidRPr="00DD07E1">
        <w:t xml:space="preserve"> the normal rule that more than one exemption </w:t>
      </w:r>
      <w:r w:rsidR="00036B9B">
        <w:t>may</w:t>
      </w:r>
      <w:r w:rsidRPr="00DD07E1">
        <w:t xml:space="preserve"> </w:t>
      </w:r>
      <w:r w:rsidRPr="007500E4">
        <w:t>apply</w:t>
      </w:r>
      <w:r w:rsidRPr="00DD07E1">
        <w:t xml:space="preserve"> </w:t>
      </w:r>
      <w:r w:rsidRPr="007500E4">
        <w:t>to</w:t>
      </w:r>
      <w:r w:rsidRPr="00DD07E1">
        <w:t xml:space="preserve"> the same</w:t>
      </w:r>
      <w:r w:rsidRPr="00DD07E1">
        <w:rPr>
          <w:w w:val="99"/>
        </w:rPr>
        <w:t xml:space="preserve"> </w:t>
      </w:r>
      <w:r w:rsidRPr="00DD07E1">
        <w:t xml:space="preserve">information (see </w:t>
      </w:r>
      <w:r w:rsidRPr="007500E4">
        <w:t>s</w:t>
      </w:r>
      <w:r w:rsidRPr="00DD07E1">
        <w:t xml:space="preserve"> 32).</w:t>
      </w:r>
    </w:p>
    <w:p w14:paraId="457B8E74" w14:textId="77777777" w:rsidR="00BB0A82" w:rsidRPr="00C12426" w:rsidRDefault="00BB0A82" w:rsidP="002813D6">
      <w:pPr>
        <w:pStyle w:val="Heading3"/>
      </w:pPr>
      <w:bookmarkStart w:id="229" w:name="Elements_of_the_exemption"/>
      <w:bookmarkStart w:id="230" w:name="_bookmark60"/>
      <w:bookmarkStart w:id="231" w:name="_Toc11154513"/>
      <w:bookmarkStart w:id="232" w:name="_Toc141875240"/>
      <w:bookmarkEnd w:id="229"/>
      <w:bookmarkEnd w:id="230"/>
      <w:r w:rsidRPr="00C12426">
        <w:t>Elements of the exemption</w:t>
      </w:r>
      <w:bookmarkEnd w:id="231"/>
      <w:bookmarkEnd w:id="232"/>
    </w:p>
    <w:p w14:paraId="3014C6F7" w14:textId="77777777" w:rsidR="00BB0A82" w:rsidRPr="00DD07E1" w:rsidRDefault="00BB0A82" w:rsidP="00B73860">
      <w:pPr>
        <w:pStyle w:val="NumberedParagraphs"/>
        <w:ind w:left="567"/>
      </w:pPr>
      <w:r w:rsidRPr="007500E4">
        <w:t>The</w:t>
      </w:r>
      <w:r w:rsidRPr="00DD07E1">
        <w:t xml:space="preserve"> operation of the business information exemption depends </w:t>
      </w:r>
      <w:r w:rsidRPr="007500E4">
        <w:t>on</w:t>
      </w:r>
      <w:r w:rsidRPr="00DD07E1">
        <w:t xml:space="preserve"> the effect </w:t>
      </w:r>
      <w:r w:rsidRPr="007500E4">
        <w:t>of</w:t>
      </w:r>
      <w:r w:rsidRPr="00DD07E1">
        <w:t xml:space="preserve"> disclosure </w:t>
      </w:r>
      <w:r w:rsidRPr="007500E4">
        <w:t>rather</w:t>
      </w:r>
      <w:r w:rsidRPr="00DD07E1">
        <w:t xml:space="preserve"> than the </w:t>
      </w:r>
      <w:r w:rsidRPr="007500E4">
        <w:t>precise</w:t>
      </w:r>
      <w:r w:rsidRPr="00DD07E1">
        <w:t xml:space="preserve"> nature of </w:t>
      </w:r>
      <w:r w:rsidRPr="007500E4">
        <w:t>the</w:t>
      </w:r>
      <w:r w:rsidRPr="00DD07E1">
        <w:t xml:space="preserve"> information itself. Nevertheless, the</w:t>
      </w:r>
      <w:r w:rsidRPr="00DD07E1">
        <w:rPr>
          <w:w w:val="99"/>
        </w:rPr>
        <w:t xml:space="preserve"> </w:t>
      </w:r>
      <w:r w:rsidRPr="00DD07E1">
        <w:t xml:space="preserve">information in question </w:t>
      </w:r>
      <w:r w:rsidRPr="007500E4">
        <w:t>must</w:t>
      </w:r>
      <w:r w:rsidRPr="00DD07E1">
        <w:t xml:space="preserve"> </w:t>
      </w:r>
      <w:r w:rsidRPr="007500E4">
        <w:t>have</w:t>
      </w:r>
      <w:r w:rsidRPr="00DD07E1">
        <w:t xml:space="preserve"> some relevance </w:t>
      </w:r>
      <w:r w:rsidRPr="007500E4">
        <w:t>to</w:t>
      </w:r>
      <w:r w:rsidRPr="00DD07E1">
        <w:t xml:space="preserve"> </w:t>
      </w:r>
      <w:r w:rsidRPr="007500E4">
        <w:t>a</w:t>
      </w:r>
      <w:r w:rsidRPr="00DD07E1">
        <w:t xml:space="preserve"> person </w:t>
      </w:r>
      <w:r w:rsidRPr="007500E4">
        <w:t>in</w:t>
      </w:r>
      <w:r w:rsidRPr="00DD07E1">
        <w:t xml:space="preserve"> respect </w:t>
      </w:r>
      <w:r w:rsidRPr="007500E4">
        <w:t>of</w:t>
      </w:r>
      <w:r w:rsidRPr="00DD07E1">
        <w:t xml:space="preserve"> </w:t>
      </w:r>
      <w:r w:rsidRPr="007500E4">
        <w:t>his</w:t>
      </w:r>
      <w:r w:rsidRPr="00DD07E1">
        <w:t xml:space="preserve"> </w:t>
      </w:r>
      <w:r w:rsidRPr="007500E4">
        <w:t>or</w:t>
      </w:r>
      <w:r w:rsidRPr="00DD07E1">
        <w:t xml:space="preserve"> her</w:t>
      </w:r>
      <w:r w:rsidRPr="00DD07E1">
        <w:rPr>
          <w:w w:val="99"/>
        </w:rPr>
        <w:t xml:space="preserve"> </w:t>
      </w:r>
      <w:r w:rsidRPr="00DD07E1">
        <w:t xml:space="preserve">business </w:t>
      </w:r>
      <w:r w:rsidRPr="007500E4">
        <w:t>or</w:t>
      </w:r>
      <w:r w:rsidRPr="00DD07E1">
        <w:t xml:space="preserve"> professional </w:t>
      </w:r>
      <w:r w:rsidRPr="007500E4">
        <w:t>affairs</w:t>
      </w:r>
      <w:r w:rsidRPr="00DD07E1">
        <w:t xml:space="preserve"> </w:t>
      </w:r>
      <w:r w:rsidRPr="007500E4">
        <w:t>or</w:t>
      </w:r>
      <w:r w:rsidRPr="00DD07E1">
        <w:t xml:space="preserve"> </w:t>
      </w:r>
      <w:r w:rsidRPr="007500E4">
        <w:t>to</w:t>
      </w:r>
      <w:r w:rsidRPr="00DD07E1">
        <w:t xml:space="preserve"> the business, commercial </w:t>
      </w:r>
      <w:r w:rsidRPr="007500E4">
        <w:t>or</w:t>
      </w:r>
      <w:r w:rsidRPr="00DD07E1">
        <w:t xml:space="preserve"> financial </w:t>
      </w:r>
      <w:r w:rsidRPr="007500E4">
        <w:t>affairs</w:t>
      </w:r>
      <w:r w:rsidRPr="00DD07E1">
        <w:t xml:space="preserve"> </w:t>
      </w:r>
      <w:r w:rsidRPr="007500E4">
        <w:t>of</w:t>
      </w:r>
      <w:r w:rsidRPr="00DD07E1">
        <w:t xml:space="preserve"> </w:t>
      </w:r>
      <w:r w:rsidRPr="007500E4">
        <w:t>an</w:t>
      </w:r>
      <w:r w:rsidRPr="00DD07E1">
        <w:t xml:space="preserve"> organisation </w:t>
      </w:r>
      <w:r w:rsidRPr="007500E4">
        <w:t>or</w:t>
      </w:r>
      <w:r w:rsidRPr="00DD07E1">
        <w:t xml:space="preserve"> undertaking (s 47G(1)(a)).</w:t>
      </w:r>
    </w:p>
    <w:p w14:paraId="2821CEDE" w14:textId="10D7EC55" w:rsidR="00BB0A82" w:rsidRPr="007500E4" w:rsidRDefault="00BB0A82" w:rsidP="00B73860">
      <w:pPr>
        <w:pStyle w:val="NumberedParagraphs"/>
        <w:ind w:left="567"/>
      </w:pPr>
      <w:r w:rsidRPr="007500E4">
        <w:t>For</w:t>
      </w:r>
      <w:r w:rsidRPr="00DD07E1">
        <w:t xml:space="preserve"> </w:t>
      </w:r>
      <w:r w:rsidRPr="007500E4">
        <w:t>the</w:t>
      </w:r>
      <w:r w:rsidRPr="00DD07E1">
        <w:t xml:space="preserve"> purposes of </w:t>
      </w:r>
      <w:r w:rsidRPr="007500E4">
        <w:t>this</w:t>
      </w:r>
      <w:r w:rsidRPr="00DD07E1">
        <w:t xml:space="preserve"> conditional exemption, </w:t>
      </w:r>
      <w:r w:rsidRPr="007500E4">
        <w:t>an</w:t>
      </w:r>
      <w:r w:rsidRPr="00DD07E1">
        <w:t xml:space="preserve"> undertaking includes an undertaking carried on </w:t>
      </w:r>
      <w:r w:rsidRPr="007500E4">
        <w:t>by,</w:t>
      </w:r>
      <w:r w:rsidRPr="00DD07E1">
        <w:t xml:space="preserve"> </w:t>
      </w:r>
      <w:r w:rsidRPr="007500E4">
        <w:t>or</w:t>
      </w:r>
      <w:r w:rsidRPr="00DD07E1">
        <w:t xml:space="preserve"> </w:t>
      </w:r>
      <w:r w:rsidRPr="007500E4">
        <w:t>by</w:t>
      </w:r>
      <w:r w:rsidRPr="00DD07E1">
        <w:t xml:space="preserve"> </w:t>
      </w:r>
      <w:r w:rsidRPr="007500E4">
        <w:t>an</w:t>
      </w:r>
      <w:r w:rsidRPr="00DD07E1">
        <w:t xml:space="preserve"> authority of, </w:t>
      </w:r>
      <w:r>
        <w:t>the</w:t>
      </w:r>
      <w:r w:rsidRPr="00DD07E1">
        <w:t xml:space="preserve"> Commonwealth,</w:t>
      </w:r>
      <w:r w:rsidRPr="00DD07E1">
        <w:rPr>
          <w:w w:val="99"/>
        </w:rPr>
        <w:t xml:space="preserve"> </w:t>
      </w:r>
      <w:r w:rsidRPr="00DD07E1">
        <w:t xml:space="preserve">Norfolk </w:t>
      </w:r>
      <w:r w:rsidRPr="007500E4">
        <w:t>Island</w:t>
      </w:r>
      <w:r w:rsidRPr="00DD07E1">
        <w:t xml:space="preserve"> </w:t>
      </w:r>
      <w:r w:rsidRPr="007500E4">
        <w:t>or</w:t>
      </w:r>
      <w:r w:rsidRPr="00DD07E1">
        <w:t xml:space="preserve"> </w:t>
      </w:r>
      <w:r w:rsidRPr="007500E4">
        <w:t xml:space="preserve">a </w:t>
      </w:r>
      <w:r w:rsidRPr="00DD07E1">
        <w:t xml:space="preserve">state </w:t>
      </w:r>
      <w:r w:rsidRPr="007500E4">
        <w:t>or</w:t>
      </w:r>
      <w:r w:rsidRPr="00DD07E1">
        <w:t xml:space="preserve"> territory government (s 47G(4)). However, </w:t>
      </w:r>
      <w:r w:rsidRPr="007500E4">
        <w:t>it</w:t>
      </w:r>
      <w:r w:rsidRPr="00DD07E1">
        <w:t xml:space="preserve"> has been </w:t>
      </w:r>
      <w:r w:rsidRPr="007500E4">
        <w:t>held</w:t>
      </w:r>
      <w:r w:rsidRPr="00DD07E1">
        <w:t xml:space="preserve"> that</w:t>
      </w:r>
      <w:r w:rsidRPr="007500E4">
        <w:t xml:space="preserve"> the</w:t>
      </w:r>
      <w:r w:rsidRPr="00DD07E1">
        <w:t xml:space="preserve"> business affairs exemption </w:t>
      </w:r>
      <w:r w:rsidRPr="007500E4">
        <w:t>is</w:t>
      </w:r>
      <w:r w:rsidRPr="00DD07E1">
        <w:t xml:space="preserve"> not available to </w:t>
      </w:r>
      <w:r w:rsidRPr="007500E4">
        <w:t>a</w:t>
      </w:r>
      <w:r w:rsidRPr="00DD07E1">
        <w:t xml:space="preserve"> person within </w:t>
      </w:r>
      <w:r w:rsidRPr="007500E4">
        <w:t>a</w:t>
      </w:r>
      <w:r w:rsidRPr="00DD07E1">
        <w:t xml:space="preserve"> government agency </w:t>
      </w:r>
      <w:r w:rsidRPr="007500E4">
        <w:t>or</w:t>
      </w:r>
      <w:r w:rsidRPr="00DD07E1">
        <w:rPr>
          <w:w w:val="99"/>
        </w:rPr>
        <w:t xml:space="preserve"> </w:t>
      </w:r>
      <w:r w:rsidRPr="00DD07E1">
        <w:t xml:space="preserve">undertaking, nor to </w:t>
      </w:r>
      <w:r w:rsidRPr="007500E4">
        <w:t>the</w:t>
      </w:r>
      <w:r w:rsidRPr="00DD07E1">
        <w:t xml:space="preserve"> agency </w:t>
      </w:r>
      <w:r w:rsidRPr="007500E4">
        <w:t>or</w:t>
      </w:r>
      <w:r w:rsidRPr="00DD07E1">
        <w:t xml:space="preserve"> undertaking itself.</w:t>
      </w:r>
      <w:r w:rsidRPr="007500E4">
        <w:rPr>
          <w:rStyle w:val="FootnoteReference"/>
        </w:rPr>
        <w:footnoteReference w:id="158"/>
      </w:r>
      <w:r w:rsidR="00A57792">
        <w:t xml:space="preserve"> </w:t>
      </w:r>
      <w:r w:rsidR="00376F54">
        <w:t>D</w:t>
      </w:r>
      <w:r w:rsidRPr="00DD07E1">
        <w:t xml:space="preserve">ecision </w:t>
      </w:r>
      <w:r w:rsidRPr="00DD07E1">
        <w:rPr>
          <w:rFonts w:cs="Calibri"/>
        </w:rPr>
        <w:t xml:space="preserve">makers should </w:t>
      </w:r>
      <w:r w:rsidRPr="007500E4">
        <w:rPr>
          <w:rFonts w:cs="Calibri"/>
        </w:rPr>
        <w:t>be</w:t>
      </w:r>
      <w:r w:rsidRPr="00DD07E1">
        <w:rPr>
          <w:rFonts w:cs="Calibri"/>
        </w:rPr>
        <w:t xml:space="preserve"> aware that the application of this</w:t>
      </w:r>
      <w:r w:rsidRPr="007500E4">
        <w:rPr>
          <w:rFonts w:cs="Calibri"/>
        </w:rPr>
        <w:t xml:space="preserve"> </w:t>
      </w:r>
      <w:r w:rsidRPr="00DD07E1">
        <w:rPr>
          <w:rFonts w:cs="Calibri"/>
        </w:rPr>
        <w:t>conditional</w:t>
      </w:r>
      <w:r w:rsidRPr="007500E4">
        <w:rPr>
          <w:rFonts w:cs="Calibri"/>
        </w:rPr>
        <w:t xml:space="preserve"> </w:t>
      </w:r>
      <w:r w:rsidRPr="00DD07E1">
        <w:rPr>
          <w:rFonts w:cs="Calibri"/>
        </w:rPr>
        <w:t xml:space="preserve">exemption </w:t>
      </w:r>
      <w:r w:rsidRPr="007500E4">
        <w:rPr>
          <w:rFonts w:cs="Calibri"/>
        </w:rPr>
        <w:t>to</w:t>
      </w:r>
      <w:r w:rsidRPr="00DD07E1">
        <w:rPr>
          <w:rFonts w:cs="Calibri"/>
        </w:rPr>
        <w:t xml:space="preserve"> an agency’s </w:t>
      </w:r>
      <w:r w:rsidRPr="00DD07E1">
        <w:t xml:space="preserve">own business information </w:t>
      </w:r>
      <w:r w:rsidRPr="007500E4">
        <w:t>is</w:t>
      </w:r>
      <w:r w:rsidRPr="00DD07E1">
        <w:t xml:space="preserve"> uncertain and should </w:t>
      </w:r>
      <w:r w:rsidRPr="007500E4">
        <w:t>avoid</w:t>
      </w:r>
      <w:r w:rsidRPr="00DD07E1">
        <w:t xml:space="preserve"> relying </w:t>
      </w:r>
      <w:r w:rsidRPr="007500E4">
        <w:t>on</w:t>
      </w:r>
      <w:r w:rsidRPr="00DD07E1">
        <w:t xml:space="preserve"> </w:t>
      </w:r>
      <w:r w:rsidRPr="007500E4">
        <w:t>it,</w:t>
      </w:r>
      <w:r w:rsidRPr="00DD07E1">
        <w:t xml:space="preserve"> even </w:t>
      </w:r>
      <w:r w:rsidRPr="007500E4">
        <w:t>if</w:t>
      </w:r>
      <w:r w:rsidRPr="00DD07E1">
        <w:t xml:space="preserve"> the </w:t>
      </w:r>
      <w:r w:rsidRPr="007500E4">
        <w:t>agency</w:t>
      </w:r>
      <w:r w:rsidRPr="00DD07E1">
        <w:t xml:space="preserve"> </w:t>
      </w:r>
      <w:r w:rsidRPr="007500E4">
        <w:t>is</w:t>
      </w:r>
      <w:r w:rsidRPr="00DD07E1">
        <w:t xml:space="preserve"> </w:t>
      </w:r>
      <w:r w:rsidRPr="007500E4">
        <w:t>engaged</w:t>
      </w:r>
      <w:r w:rsidRPr="00DD07E1">
        <w:t xml:space="preserve"> </w:t>
      </w:r>
      <w:r w:rsidRPr="007500E4">
        <w:t>in</w:t>
      </w:r>
      <w:r w:rsidRPr="00DD07E1">
        <w:t xml:space="preserve"> competitive business activities.</w:t>
      </w:r>
      <w:r w:rsidRPr="00DD07E1">
        <w:rPr>
          <w:rStyle w:val="FootnoteReference"/>
        </w:rPr>
        <w:footnoteReference w:id="159"/>
      </w:r>
      <w:r w:rsidR="006F4485">
        <w:t xml:space="preserve"> A</w:t>
      </w:r>
      <w:r w:rsidRPr="007500E4">
        <w:t>s</w:t>
      </w:r>
      <w:r w:rsidRPr="00DD07E1">
        <w:t xml:space="preserve"> an </w:t>
      </w:r>
      <w:r w:rsidRPr="007500E4">
        <w:t>alternative,</w:t>
      </w:r>
      <w:r w:rsidRPr="00DD07E1">
        <w:t xml:space="preserve"> one of </w:t>
      </w:r>
      <w:r w:rsidRPr="007500E4">
        <w:t>the</w:t>
      </w:r>
      <w:r w:rsidRPr="00DD07E1">
        <w:t xml:space="preserve"> specific exemptions </w:t>
      </w:r>
      <w:r w:rsidRPr="007500E4">
        <w:t>for</w:t>
      </w:r>
      <w:r w:rsidRPr="00DD07E1">
        <w:t xml:space="preserve"> </w:t>
      </w:r>
      <w:r w:rsidRPr="007500E4">
        <w:t>agencies</w:t>
      </w:r>
      <w:r w:rsidRPr="00DD07E1">
        <w:t xml:space="preserve"> </w:t>
      </w:r>
      <w:r w:rsidRPr="007500E4">
        <w:t>in</w:t>
      </w:r>
      <w:r w:rsidRPr="00DD07E1">
        <w:t xml:space="preserve"> respect </w:t>
      </w:r>
      <w:r w:rsidRPr="007500E4">
        <w:t>of</w:t>
      </w:r>
      <w:r w:rsidRPr="00DD07E1">
        <w:t xml:space="preserve"> particular documents in Part </w:t>
      </w:r>
      <w:r w:rsidRPr="007500E4">
        <w:t>II</w:t>
      </w:r>
      <w:r w:rsidRPr="00DD07E1">
        <w:t xml:space="preserve"> </w:t>
      </w:r>
      <w:r w:rsidRPr="007500E4">
        <w:t>of</w:t>
      </w:r>
      <w:r w:rsidRPr="00DD07E1">
        <w:t xml:space="preserve"> Schedule </w:t>
      </w:r>
      <w:r w:rsidRPr="007500E4">
        <w:t>2</w:t>
      </w:r>
      <w:r w:rsidRPr="00DD07E1">
        <w:t xml:space="preserve"> </w:t>
      </w:r>
      <w:r w:rsidRPr="007500E4">
        <w:t>may</w:t>
      </w:r>
      <w:r w:rsidRPr="00DD07E1">
        <w:t xml:space="preserve"> </w:t>
      </w:r>
      <w:r w:rsidRPr="007500E4">
        <w:t>be</w:t>
      </w:r>
      <w:r w:rsidRPr="00DD07E1">
        <w:rPr>
          <w:w w:val="99"/>
        </w:rPr>
        <w:t xml:space="preserve"> </w:t>
      </w:r>
      <w:r w:rsidRPr="007500E4">
        <w:t>available.</w:t>
      </w:r>
    </w:p>
    <w:p w14:paraId="3409EC06" w14:textId="77777777" w:rsidR="00BB0A82" w:rsidRPr="00C12426" w:rsidRDefault="00BB0A82" w:rsidP="002813D6">
      <w:pPr>
        <w:pStyle w:val="Heading3"/>
      </w:pPr>
      <w:bookmarkStart w:id="233" w:name="Could_reasonably_be_expected"/>
      <w:bookmarkStart w:id="234" w:name="_bookmark61"/>
      <w:bookmarkStart w:id="235" w:name="_Toc11154514"/>
      <w:bookmarkStart w:id="236" w:name="_Toc141875241"/>
      <w:bookmarkEnd w:id="233"/>
      <w:bookmarkEnd w:id="234"/>
      <w:r w:rsidRPr="00C12426">
        <w:lastRenderedPageBreak/>
        <w:t>Could reasonably be expected</w:t>
      </w:r>
      <w:bookmarkEnd w:id="235"/>
      <w:bookmarkEnd w:id="236"/>
    </w:p>
    <w:p w14:paraId="7BB05FB1" w14:textId="4692454E" w:rsidR="00BB0A82" w:rsidRPr="007500E4" w:rsidRDefault="00BB0A82" w:rsidP="00B73860">
      <w:pPr>
        <w:pStyle w:val="NumberedParagraphs"/>
        <w:ind w:left="567"/>
        <w:rPr>
          <w:sz w:val="16"/>
          <w:szCs w:val="16"/>
        </w:rPr>
      </w:pPr>
      <w:r w:rsidRPr="007500E4">
        <w:t>This</w:t>
      </w:r>
      <w:r w:rsidRPr="00DD07E1">
        <w:t xml:space="preserve"> </w:t>
      </w:r>
      <w:r w:rsidRPr="007500E4">
        <w:t>term</w:t>
      </w:r>
      <w:r w:rsidRPr="00DD07E1">
        <w:t xml:space="preserve"> </w:t>
      </w:r>
      <w:r w:rsidRPr="007500E4">
        <w:t>is</w:t>
      </w:r>
      <w:r w:rsidRPr="00DD07E1">
        <w:t xml:space="preserve"> explained </w:t>
      </w:r>
      <w:r w:rsidRPr="007500E4">
        <w:t>in</w:t>
      </w:r>
      <w:r w:rsidRPr="00DD07E1">
        <w:t xml:space="preserve"> </w:t>
      </w:r>
      <w:r w:rsidRPr="007500E4">
        <w:t>Part</w:t>
      </w:r>
      <w:r w:rsidRPr="00DD07E1">
        <w:t xml:space="preserve"> </w:t>
      </w:r>
      <w:r w:rsidRPr="007500E4">
        <w:t>5</w:t>
      </w:r>
      <w:r w:rsidR="00B377BF">
        <w:t xml:space="preserve"> of these Guidelines</w:t>
      </w:r>
      <w:r w:rsidRPr="00DD07E1">
        <w:t xml:space="preserve">. </w:t>
      </w:r>
      <w:r w:rsidRPr="007500E4">
        <w:t>As</w:t>
      </w:r>
      <w:r w:rsidRPr="00DD07E1">
        <w:t xml:space="preserve"> </w:t>
      </w:r>
      <w:r w:rsidRPr="007500E4">
        <w:t>in</w:t>
      </w:r>
      <w:r w:rsidRPr="00DD07E1">
        <w:t xml:space="preserve"> other </w:t>
      </w:r>
      <w:r w:rsidR="00753E6F">
        <w:t>situations</w:t>
      </w:r>
      <w:r w:rsidRPr="00DD07E1">
        <w:t xml:space="preserve">, </w:t>
      </w:r>
      <w:r w:rsidRPr="007500E4">
        <w:t>it</w:t>
      </w:r>
      <w:r w:rsidRPr="00DD07E1">
        <w:t xml:space="preserve"> refers</w:t>
      </w:r>
      <w:r w:rsidRPr="00DD07E1">
        <w:rPr>
          <w:w w:val="99"/>
        </w:rPr>
        <w:t xml:space="preserve"> </w:t>
      </w:r>
      <w:r w:rsidRPr="007500E4">
        <w:t>to</w:t>
      </w:r>
      <w:r w:rsidRPr="00DD07E1">
        <w:t xml:space="preserve"> an expectation that </w:t>
      </w:r>
      <w:r w:rsidRPr="007500E4">
        <w:t>is</w:t>
      </w:r>
      <w:r w:rsidRPr="00DD07E1">
        <w:t xml:space="preserve"> </w:t>
      </w:r>
      <w:r w:rsidRPr="007500E4">
        <w:t>based</w:t>
      </w:r>
      <w:r w:rsidRPr="00DD07E1">
        <w:t xml:space="preserve"> </w:t>
      </w:r>
      <w:r w:rsidRPr="007500E4">
        <w:t>on</w:t>
      </w:r>
      <w:r w:rsidRPr="00DD07E1">
        <w:t xml:space="preserve"> reason. Mere assertion </w:t>
      </w:r>
      <w:r w:rsidRPr="007500E4">
        <w:t>or</w:t>
      </w:r>
      <w:r w:rsidRPr="00DD07E1">
        <w:t xml:space="preserve"> speculative possibility </w:t>
      </w:r>
      <w:r w:rsidRPr="007500E4">
        <w:t>is</w:t>
      </w:r>
      <w:r w:rsidRPr="00DD07E1">
        <w:t xml:space="preserve"> not</w:t>
      </w:r>
      <w:r w:rsidRPr="00DD07E1">
        <w:rPr>
          <w:w w:val="99"/>
        </w:rPr>
        <w:t xml:space="preserve"> </w:t>
      </w:r>
      <w:r w:rsidRPr="00DD07E1">
        <w:t>enough.</w:t>
      </w:r>
      <w:r w:rsidRPr="00DD07E1">
        <w:rPr>
          <w:rStyle w:val="FootnoteReference"/>
        </w:rPr>
        <w:footnoteReference w:id="160"/>
      </w:r>
    </w:p>
    <w:p w14:paraId="38540E60" w14:textId="77777777" w:rsidR="00BB0A82" w:rsidRPr="00C12426" w:rsidRDefault="00BB0A82" w:rsidP="002813D6">
      <w:pPr>
        <w:pStyle w:val="Heading3"/>
      </w:pPr>
      <w:bookmarkStart w:id="237" w:name="Unreasonable_adverse_effect_of_disclosur"/>
      <w:bookmarkStart w:id="238" w:name="_bookmark62"/>
      <w:bookmarkStart w:id="239" w:name="_Toc11154515"/>
      <w:bookmarkStart w:id="240" w:name="_Toc141875242"/>
      <w:bookmarkEnd w:id="237"/>
      <w:bookmarkEnd w:id="238"/>
      <w:r w:rsidRPr="00C12426">
        <w:t>Unreasonable adverse effect of disclosure</w:t>
      </w:r>
      <w:bookmarkEnd w:id="239"/>
      <w:bookmarkEnd w:id="240"/>
    </w:p>
    <w:p w14:paraId="0BB84322" w14:textId="6DA107AE" w:rsidR="00BB0A82" w:rsidRPr="007500E4" w:rsidRDefault="00BB0A82" w:rsidP="00B73860">
      <w:pPr>
        <w:pStyle w:val="NumberedParagraphs"/>
        <w:ind w:left="567"/>
      </w:pPr>
      <w:r w:rsidRPr="007500E4">
        <w:rPr>
          <w:rFonts w:cs="Calibri"/>
        </w:rPr>
        <w:t>The</w:t>
      </w:r>
      <w:r w:rsidRPr="00DD07E1">
        <w:rPr>
          <w:rFonts w:cs="Calibri"/>
        </w:rPr>
        <w:t xml:space="preserve"> </w:t>
      </w:r>
      <w:r w:rsidRPr="00B73860">
        <w:t>presence</w:t>
      </w:r>
      <w:r w:rsidRPr="00DD07E1">
        <w:rPr>
          <w:rFonts w:cs="Calibri"/>
        </w:rPr>
        <w:t xml:space="preserve"> of ‘unreasonably’ </w:t>
      </w:r>
      <w:r w:rsidRPr="007500E4">
        <w:rPr>
          <w:rFonts w:cs="Calibri"/>
        </w:rPr>
        <w:t>in</w:t>
      </w:r>
      <w:r w:rsidRPr="00DD07E1">
        <w:rPr>
          <w:rFonts w:cs="Calibri"/>
        </w:rPr>
        <w:t xml:space="preserve"> </w:t>
      </w:r>
      <w:r w:rsidRPr="007500E4">
        <w:rPr>
          <w:rFonts w:cs="Calibri"/>
        </w:rPr>
        <w:t>s</w:t>
      </w:r>
      <w:r w:rsidRPr="00DD07E1">
        <w:rPr>
          <w:rFonts w:cs="Calibri"/>
        </w:rPr>
        <w:t xml:space="preserve"> </w:t>
      </w:r>
      <w:r w:rsidRPr="007500E4">
        <w:rPr>
          <w:rFonts w:cs="Calibri"/>
        </w:rPr>
        <w:t xml:space="preserve">47G(1) </w:t>
      </w:r>
      <w:r w:rsidRPr="00DD07E1">
        <w:rPr>
          <w:rFonts w:cs="Calibri"/>
        </w:rPr>
        <w:t>implies</w:t>
      </w:r>
      <w:r w:rsidRPr="007500E4">
        <w:rPr>
          <w:rFonts w:cs="Calibri"/>
        </w:rPr>
        <w:t xml:space="preserve"> a </w:t>
      </w:r>
      <w:r w:rsidRPr="00DD07E1">
        <w:rPr>
          <w:rFonts w:cs="Calibri"/>
        </w:rPr>
        <w:t>need to balance public</w:t>
      </w:r>
      <w:r w:rsidRPr="007500E4">
        <w:rPr>
          <w:rFonts w:cs="Calibri"/>
        </w:rPr>
        <w:t xml:space="preserve"> and</w:t>
      </w:r>
      <w:r w:rsidRPr="00DD07E1">
        <w:rPr>
          <w:rFonts w:cs="Calibri"/>
        </w:rPr>
        <w:t xml:space="preserve"> </w:t>
      </w:r>
      <w:r w:rsidRPr="007500E4">
        <w:t>private</w:t>
      </w:r>
      <w:r w:rsidRPr="00DD07E1">
        <w:t xml:space="preserve"> interests</w:t>
      </w:r>
      <w:r>
        <w:t>.</w:t>
      </w:r>
      <w:r w:rsidRPr="00DD07E1">
        <w:t xml:space="preserve"> </w:t>
      </w:r>
      <w:r>
        <w:t>T</w:t>
      </w:r>
      <w:r w:rsidRPr="007500E4">
        <w:t>he public interest, or some aspect of it, will be one of the factors in determining whether the adverse effect of disclosure on a person in respect of his or her business affairs is unreasonable.</w:t>
      </w:r>
      <w:r w:rsidRPr="007500E4">
        <w:rPr>
          <w:rStyle w:val="FootnoteReference"/>
        </w:rPr>
        <w:footnoteReference w:id="161"/>
      </w:r>
      <w:r w:rsidRPr="007500E4">
        <w:t xml:space="preserve"> A decision maker must balance the public and private interest factors to decide whether disclosure is unreasonable for the purposes of s 47G(1)(a); </w:t>
      </w:r>
      <w:r w:rsidRPr="00DD07E1">
        <w:t xml:space="preserve">but this </w:t>
      </w:r>
      <w:r w:rsidRPr="007500E4">
        <w:t>does</w:t>
      </w:r>
      <w:r w:rsidRPr="00DD07E1">
        <w:t xml:space="preserve"> not amount </w:t>
      </w:r>
      <w:r w:rsidRPr="007500E4">
        <w:t>to</w:t>
      </w:r>
      <w:r w:rsidRPr="00DD07E1">
        <w:t xml:space="preserve"> the </w:t>
      </w:r>
      <w:r w:rsidRPr="007500E4">
        <w:t>public</w:t>
      </w:r>
      <w:r w:rsidRPr="00DD07E1">
        <w:t xml:space="preserve"> interest test </w:t>
      </w:r>
      <w:r w:rsidR="00753E6F">
        <w:t>in</w:t>
      </w:r>
      <w:r w:rsidRPr="00DD07E1">
        <w:t xml:space="preserve"> </w:t>
      </w:r>
      <w:r w:rsidRPr="007500E4">
        <w:t>s</w:t>
      </w:r>
      <w:r w:rsidRPr="00DD07E1">
        <w:t xml:space="preserve"> 11A(5) which follows later in </w:t>
      </w:r>
      <w:r w:rsidRPr="007500E4">
        <w:t>the</w:t>
      </w:r>
      <w:r w:rsidRPr="00DD07E1">
        <w:t xml:space="preserve"> decision process. </w:t>
      </w:r>
      <w:r w:rsidRPr="007500E4">
        <w:t>It</w:t>
      </w:r>
      <w:r w:rsidRPr="00DD07E1">
        <w:t xml:space="preserve"> </w:t>
      </w:r>
      <w:r w:rsidRPr="007500E4">
        <w:t>is</w:t>
      </w:r>
      <w:r w:rsidRPr="00DD07E1">
        <w:t xml:space="preserve"> possible that the decision maker </w:t>
      </w:r>
      <w:r w:rsidRPr="007500E4">
        <w:t>may</w:t>
      </w:r>
      <w:r w:rsidRPr="00DD07E1">
        <w:t xml:space="preserve"> need </w:t>
      </w:r>
      <w:r w:rsidRPr="007500E4">
        <w:t>to</w:t>
      </w:r>
      <w:r w:rsidRPr="00DD07E1">
        <w:t xml:space="preserve"> consider one </w:t>
      </w:r>
      <w:r w:rsidRPr="007500E4">
        <w:t>or</w:t>
      </w:r>
      <w:r w:rsidRPr="00DD07E1">
        <w:t xml:space="preserve"> </w:t>
      </w:r>
      <w:r w:rsidRPr="007500E4">
        <w:t>more</w:t>
      </w:r>
      <w:r w:rsidRPr="00DD07E1">
        <w:t xml:space="preserve"> </w:t>
      </w:r>
      <w:r w:rsidRPr="007500E4">
        <w:t>factors</w:t>
      </w:r>
      <w:r w:rsidRPr="00DD07E1">
        <w:t xml:space="preserve"> twice, once </w:t>
      </w:r>
      <w:r w:rsidRPr="007500E4">
        <w:t>to</w:t>
      </w:r>
      <w:r w:rsidRPr="00DD07E1">
        <w:t xml:space="preserve"> determine if </w:t>
      </w:r>
      <w:r w:rsidRPr="007500E4">
        <w:t>a</w:t>
      </w:r>
      <w:r w:rsidRPr="00DD07E1">
        <w:t xml:space="preserve"> projected effect </w:t>
      </w:r>
      <w:r w:rsidRPr="007500E4">
        <w:t>is</w:t>
      </w:r>
      <w:r w:rsidRPr="00DD07E1">
        <w:t xml:space="preserve"> unreasonable </w:t>
      </w:r>
      <w:r w:rsidRPr="007500E4">
        <w:t>and</w:t>
      </w:r>
      <w:r w:rsidRPr="00DD07E1">
        <w:t xml:space="preserve"> again in</w:t>
      </w:r>
      <w:r w:rsidRPr="007500E4">
        <w:t xml:space="preserve"> </w:t>
      </w:r>
      <w:r w:rsidRPr="00DD07E1">
        <w:t>assessing the</w:t>
      </w:r>
      <w:r w:rsidRPr="007500E4">
        <w:t xml:space="preserve"> </w:t>
      </w:r>
      <w:r w:rsidRPr="00DD07E1">
        <w:t xml:space="preserve">public interest </w:t>
      </w:r>
      <w:r w:rsidR="00753E6F">
        <w:t>test</w:t>
      </w:r>
      <w:r w:rsidRPr="00DD07E1">
        <w:t xml:space="preserve">. </w:t>
      </w:r>
      <w:r>
        <w:t>W</w:t>
      </w:r>
      <w:r w:rsidRPr="007500E4">
        <w:t xml:space="preserve">here disclosure </w:t>
      </w:r>
      <w:r w:rsidR="00753E6F">
        <w:t>would be</w:t>
      </w:r>
      <w:r w:rsidRPr="007500E4">
        <w:t xml:space="preserve"> unreasonable, </w:t>
      </w:r>
      <w:r>
        <w:t xml:space="preserve">the decision maker will need to </w:t>
      </w:r>
      <w:r w:rsidRPr="007500E4">
        <w:t>apply the public interest test in s 11A(5). This</w:t>
      </w:r>
      <w:r w:rsidRPr="00DD07E1">
        <w:t xml:space="preserve"> </w:t>
      </w:r>
      <w:r w:rsidRPr="007500E4">
        <w:t>is</w:t>
      </w:r>
      <w:r w:rsidRPr="00DD07E1">
        <w:t xml:space="preserve"> inherent </w:t>
      </w:r>
      <w:r w:rsidRPr="007500E4">
        <w:t>in</w:t>
      </w:r>
      <w:r w:rsidRPr="00DD07E1">
        <w:t xml:space="preserve"> the structure</w:t>
      </w:r>
      <w:r w:rsidRPr="007500E4">
        <w:t xml:space="preserve"> </w:t>
      </w:r>
      <w:r w:rsidRPr="00DD07E1">
        <w:t xml:space="preserve">of </w:t>
      </w:r>
      <w:r w:rsidRPr="007500E4">
        <w:t>the</w:t>
      </w:r>
      <w:r w:rsidRPr="00DD07E1">
        <w:rPr>
          <w:w w:val="99"/>
        </w:rPr>
        <w:t xml:space="preserve"> </w:t>
      </w:r>
      <w:r w:rsidRPr="00DD07E1">
        <w:t>business information exemption.</w:t>
      </w:r>
    </w:p>
    <w:p w14:paraId="36F4230E" w14:textId="20BDE8D4" w:rsidR="00BB0A82" w:rsidRPr="007500E4" w:rsidRDefault="00BB0A82" w:rsidP="00B73860">
      <w:pPr>
        <w:pStyle w:val="NumberedParagraphs"/>
        <w:ind w:left="567"/>
      </w:pPr>
      <w:r w:rsidRPr="007500E4">
        <w:t>The</w:t>
      </w:r>
      <w:r w:rsidRPr="00DD07E1">
        <w:t xml:space="preserve"> </w:t>
      </w:r>
      <w:r w:rsidRPr="007500E4">
        <w:t>test</w:t>
      </w:r>
      <w:r w:rsidRPr="00DD07E1">
        <w:t xml:space="preserve"> of reasonableness applies not </w:t>
      </w:r>
      <w:r w:rsidRPr="007500E4">
        <w:t>to</w:t>
      </w:r>
      <w:r w:rsidRPr="00DD07E1">
        <w:t xml:space="preserve"> the claim </w:t>
      </w:r>
      <w:r w:rsidRPr="007500E4">
        <w:t>of</w:t>
      </w:r>
      <w:r w:rsidRPr="00DD07E1">
        <w:t xml:space="preserve"> </w:t>
      </w:r>
      <w:r w:rsidRPr="007500E4">
        <w:t>harm</w:t>
      </w:r>
      <w:r w:rsidRPr="00DD07E1">
        <w:t xml:space="preserve"> but </w:t>
      </w:r>
      <w:r w:rsidRPr="007500E4">
        <w:t>to</w:t>
      </w:r>
      <w:r w:rsidRPr="00DD07E1">
        <w:t xml:space="preserve"> the objective</w:t>
      </w:r>
      <w:r w:rsidRPr="00DD07E1">
        <w:rPr>
          <w:w w:val="99"/>
        </w:rPr>
        <w:t xml:space="preserve"> </w:t>
      </w:r>
      <w:r w:rsidRPr="007500E4">
        <w:t>assessment</w:t>
      </w:r>
      <w:r w:rsidRPr="00DD07E1">
        <w:t xml:space="preserve"> </w:t>
      </w:r>
      <w:r w:rsidRPr="007500E4">
        <w:t>of</w:t>
      </w:r>
      <w:r w:rsidRPr="00DD07E1">
        <w:t xml:space="preserve"> the expected </w:t>
      </w:r>
      <w:r w:rsidRPr="007500E4">
        <w:t>adverse</w:t>
      </w:r>
      <w:r w:rsidRPr="00DD07E1">
        <w:t xml:space="preserve"> effect. </w:t>
      </w:r>
      <w:r w:rsidRPr="007500E4">
        <w:t>For</w:t>
      </w:r>
      <w:r w:rsidRPr="00DD07E1">
        <w:t xml:space="preserve"> example, </w:t>
      </w:r>
      <w:r w:rsidRPr="007500E4">
        <w:t>the</w:t>
      </w:r>
      <w:r w:rsidRPr="00DD07E1">
        <w:t xml:space="preserve"> disclosure of information that</w:t>
      </w:r>
      <w:r w:rsidRPr="00DD07E1">
        <w:rPr>
          <w:w w:val="99"/>
        </w:rPr>
        <w:t xml:space="preserve"> </w:t>
      </w:r>
      <w:r w:rsidRPr="007500E4">
        <w:rPr>
          <w:rFonts w:cs="Calibri"/>
        </w:rPr>
        <w:t xml:space="preserve">a </w:t>
      </w:r>
      <w:r w:rsidRPr="00DD07E1">
        <w:rPr>
          <w:rFonts w:cs="Calibri"/>
        </w:rPr>
        <w:t>business’</w:t>
      </w:r>
      <w:r w:rsidRPr="007500E4">
        <w:rPr>
          <w:rFonts w:cs="Calibri"/>
        </w:rPr>
        <w:t xml:space="preserve"> </w:t>
      </w:r>
      <w:r w:rsidRPr="00DD07E1">
        <w:rPr>
          <w:rFonts w:cs="Calibri"/>
        </w:rPr>
        <w:t>activities pose</w:t>
      </w:r>
      <w:r w:rsidRPr="007500E4">
        <w:rPr>
          <w:rFonts w:cs="Calibri"/>
        </w:rPr>
        <w:t xml:space="preserve"> a</w:t>
      </w:r>
      <w:r w:rsidRPr="00DD07E1">
        <w:rPr>
          <w:rFonts w:cs="Calibri"/>
        </w:rPr>
        <w:t xml:space="preserve"> threat </w:t>
      </w:r>
      <w:r w:rsidRPr="007500E4">
        <w:rPr>
          <w:rFonts w:cs="Calibri"/>
        </w:rPr>
        <w:t>to</w:t>
      </w:r>
      <w:r w:rsidRPr="00DD07E1">
        <w:rPr>
          <w:rFonts w:cs="Calibri"/>
        </w:rPr>
        <w:t xml:space="preserve"> public</w:t>
      </w:r>
      <w:r w:rsidRPr="007500E4">
        <w:rPr>
          <w:rFonts w:cs="Calibri"/>
        </w:rPr>
        <w:t xml:space="preserve"> </w:t>
      </w:r>
      <w:r w:rsidRPr="00DD07E1">
        <w:rPr>
          <w:rFonts w:cs="Calibri"/>
        </w:rPr>
        <w:t>safety, damage the natural environment</w:t>
      </w:r>
      <w:r w:rsidR="00461FFF">
        <w:rPr>
          <w:rFonts w:cs="Calibri"/>
        </w:rPr>
        <w:t>,</w:t>
      </w:r>
      <w:r w:rsidRPr="007500E4">
        <w:rPr>
          <w:rFonts w:cs="Calibri"/>
        </w:rPr>
        <w:t xml:space="preserve"> or that a service provider has made false claims for government money</w:t>
      </w:r>
      <w:r w:rsidR="00FD2D90">
        <w:rPr>
          <w:rFonts w:cs="Calibri"/>
        </w:rPr>
        <w:t>,</w:t>
      </w:r>
      <w:r w:rsidRPr="007500E4">
        <w:rPr>
          <w:rFonts w:cs="Calibri"/>
        </w:rPr>
        <w:t xml:space="preserve"> may </w:t>
      </w:r>
      <w:r w:rsidRPr="00DD07E1">
        <w:rPr>
          <w:rFonts w:cs="Calibri"/>
        </w:rPr>
        <w:t>have</w:t>
      </w:r>
      <w:r w:rsidRPr="007500E4">
        <w:rPr>
          <w:rFonts w:cs="Calibri"/>
        </w:rPr>
        <w:t xml:space="preserve"> a </w:t>
      </w:r>
      <w:r w:rsidRPr="00DD07E1">
        <w:rPr>
          <w:rFonts w:cs="Calibri"/>
        </w:rPr>
        <w:t>substantial</w:t>
      </w:r>
      <w:r w:rsidRPr="007500E4">
        <w:rPr>
          <w:rFonts w:cs="Calibri"/>
        </w:rPr>
        <w:t xml:space="preserve"> adverse</w:t>
      </w:r>
      <w:r w:rsidRPr="00DD07E1">
        <w:rPr>
          <w:rFonts w:cs="Calibri"/>
        </w:rPr>
        <w:t xml:space="preserve"> effect </w:t>
      </w:r>
      <w:r w:rsidRPr="007500E4">
        <w:rPr>
          <w:rFonts w:cs="Calibri"/>
        </w:rPr>
        <w:t>on</w:t>
      </w:r>
      <w:r w:rsidRPr="00DD07E1">
        <w:rPr>
          <w:rFonts w:cs="Calibri"/>
        </w:rPr>
        <w:t xml:space="preserve"> </w:t>
      </w:r>
      <w:r w:rsidRPr="00DD07E1">
        <w:t xml:space="preserve">that business but </w:t>
      </w:r>
      <w:r w:rsidRPr="007500E4">
        <w:t>may</w:t>
      </w:r>
      <w:r w:rsidRPr="00DD07E1">
        <w:t xml:space="preserve"> </w:t>
      </w:r>
      <w:r w:rsidR="00BB6EDC">
        <w:t xml:space="preserve">not </w:t>
      </w:r>
      <w:r w:rsidRPr="007500E4">
        <w:t>be</w:t>
      </w:r>
      <w:r w:rsidRPr="00DD07E1">
        <w:t xml:space="preserve"> </w:t>
      </w:r>
      <w:r w:rsidR="00BB6EDC">
        <w:t>un</w:t>
      </w:r>
      <w:r w:rsidRPr="00DD07E1">
        <w:t xml:space="preserve">reasonable in </w:t>
      </w:r>
      <w:r w:rsidRPr="007500E4">
        <w:t>the</w:t>
      </w:r>
      <w:r w:rsidRPr="00DD07E1">
        <w:t xml:space="preserve"> circumstances </w:t>
      </w:r>
      <w:r w:rsidRPr="007500E4">
        <w:t>to</w:t>
      </w:r>
      <w:r w:rsidRPr="00DD07E1">
        <w:t xml:space="preserve"> disclose</w:t>
      </w:r>
      <w:r>
        <w:t>.</w:t>
      </w:r>
      <w:r w:rsidRPr="00DD07E1">
        <w:t xml:space="preserve"> Similarly, </w:t>
      </w:r>
      <w:r w:rsidRPr="007500E4">
        <w:t>it</w:t>
      </w:r>
      <w:r w:rsidRPr="00DD07E1">
        <w:t xml:space="preserve"> would </w:t>
      </w:r>
      <w:r w:rsidRPr="007500E4">
        <w:t>not</w:t>
      </w:r>
      <w:r w:rsidRPr="00DD07E1">
        <w:t xml:space="preserve"> </w:t>
      </w:r>
      <w:r w:rsidRPr="007500E4">
        <w:t>be</w:t>
      </w:r>
      <w:r w:rsidRPr="00DD07E1">
        <w:t xml:space="preserve"> unreasonable to disclose information about </w:t>
      </w:r>
      <w:r w:rsidRPr="007500E4">
        <w:t>a</w:t>
      </w:r>
      <w:r w:rsidRPr="00DD07E1">
        <w:t xml:space="preserve"> business that revealed serious criminality.</w:t>
      </w:r>
      <w:r w:rsidRPr="00DD07E1">
        <w:rPr>
          <w:rStyle w:val="FootnoteReference"/>
        </w:rPr>
        <w:footnoteReference w:id="162"/>
      </w:r>
      <w:r w:rsidRPr="007500E4">
        <w:t xml:space="preserve"> These</w:t>
      </w:r>
      <w:r w:rsidRPr="00DD07E1">
        <w:t xml:space="preserve"> considerations </w:t>
      </w:r>
      <w:r>
        <w:t>require</w:t>
      </w:r>
      <w:r w:rsidRPr="00DD07E1">
        <w:t xml:space="preserve"> weighing </w:t>
      </w:r>
      <w:r w:rsidR="00461FFF">
        <w:t>the</w:t>
      </w:r>
      <w:r w:rsidRPr="00DD07E1">
        <w:t xml:space="preserve"> public interest </w:t>
      </w:r>
      <w:r w:rsidRPr="007500E4">
        <w:t>against</w:t>
      </w:r>
      <w:r w:rsidRPr="00DD07E1">
        <w:t xml:space="preserve"> </w:t>
      </w:r>
      <w:r w:rsidRPr="007500E4">
        <w:t>a</w:t>
      </w:r>
      <w:r w:rsidRPr="00DD07E1">
        <w:t xml:space="preserve"> private interest</w:t>
      </w:r>
      <w:r w:rsidR="00461FFF">
        <w:t xml:space="preserve"> –</w:t>
      </w:r>
      <w:r w:rsidRPr="00DD07E1">
        <w:t xml:space="preserve"> preserving the profitability </w:t>
      </w:r>
      <w:r w:rsidRPr="007500E4">
        <w:t>of</w:t>
      </w:r>
      <w:r w:rsidRPr="00DD07E1">
        <w:t xml:space="preserve"> </w:t>
      </w:r>
      <w:r w:rsidRPr="007500E4">
        <w:t>a</w:t>
      </w:r>
      <w:r w:rsidRPr="00DD07E1">
        <w:t xml:space="preserve"> business</w:t>
      </w:r>
      <w:r w:rsidR="00461FFF">
        <w:t xml:space="preserve"> –</w:t>
      </w:r>
      <w:r w:rsidRPr="00DD07E1">
        <w:t xml:space="preserve"> but </w:t>
      </w:r>
      <w:r w:rsidRPr="007500E4">
        <w:t>at</w:t>
      </w:r>
      <w:r w:rsidRPr="00DD07E1">
        <w:t xml:space="preserve"> this stage </w:t>
      </w:r>
      <w:r w:rsidRPr="007500E4">
        <w:t>it</w:t>
      </w:r>
      <w:r w:rsidRPr="00DD07E1">
        <w:t xml:space="preserve"> bears</w:t>
      </w:r>
      <w:r w:rsidRPr="00DD07E1">
        <w:rPr>
          <w:w w:val="99"/>
        </w:rPr>
        <w:t xml:space="preserve"> </w:t>
      </w:r>
      <w:r w:rsidRPr="007500E4">
        <w:t>only</w:t>
      </w:r>
      <w:r w:rsidRPr="00DD07E1">
        <w:t xml:space="preserve"> on </w:t>
      </w:r>
      <w:r w:rsidRPr="007500E4">
        <w:t xml:space="preserve">the </w:t>
      </w:r>
      <w:r w:rsidRPr="00DD07E1">
        <w:t xml:space="preserve">threshold question of whether disclosure would </w:t>
      </w:r>
      <w:r w:rsidRPr="007500E4">
        <w:t>be</w:t>
      </w:r>
      <w:r w:rsidRPr="00DD07E1">
        <w:t xml:space="preserve"> unreasonable.</w:t>
      </w:r>
      <w:r w:rsidRPr="007500E4">
        <w:rPr>
          <w:rStyle w:val="FootnoteReference"/>
        </w:rPr>
        <w:footnoteReference w:id="163"/>
      </w:r>
    </w:p>
    <w:p w14:paraId="4EF1904D" w14:textId="090B3A5B" w:rsidR="00BB0A82" w:rsidRPr="007500E4" w:rsidRDefault="00BB0A82" w:rsidP="00B73860">
      <w:pPr>
        <w:pStyle w:val="NumberedParagraphs"/>
        <w:ind w:left="567"/>
        <w:rPr>
          <w:sz w:val="16"/>
          <w:szCs w:val="16"/>
        </w:rPr>
      </w:pPr>
      <w:r w:rsidRPr="00DD07E1">
        <w:t>The AAT has said</w:t>
      </w:r>
      <w:r w:rsidRPr="007500E4">
        <w:t>, for example, that there is a strong public interest in knowing whether public money was accounted for at the appropriate time and in the manner required</w:t>
      </w:r>
      <w:r w:rsidR="00461FFF">
        <w:t>,</w:t>
      </w:r>
      <w:r w:rsidRPr="007500E4">
        <w:t xml:space="preserve"> and in ensuring that public programs are properly administered.</w:t>
      </w:r>
      <w:r w:rsidRPr="007500E4">
        <w:rPr>
          <w:rStyle w:val="FootnoteReference"/>
        </w:rPr>
        <w:footnoteReference w:id="164"/>
      </w:r>
    </w:p>
    <w:p w14:paraId="2439A700" w14:textId="0ECA6611" w:rsidR="00BB0A82" w:rsidRPr="007500E4" w:rsidRDefault="00BB0A82" w:rsidP="00B73860">
      <w:pPr>
        <w:pStyle w:val="NumberedParagraphs"/>
        <w:ind w:left="567"/>
      </w:pPr>
      <w:r w:rsidRPr="007500E4">
        <w:t>The</w:t>
      </w:r>
      <w:r w:rsidRPr="00DD07E1">
        <w:rPr>
          <w:rFonts w:cs="Calibri"/>
        </w:rPr>
        <w:t xml:space="preserve"> AAT </w:t>
      </w:r>
      <w:r w:rsidRPr="007500E4">
        <w:rPr>
          <w:rFonts w:cs="Calibri"/>
        </w:rPr>
        <w:t>has</w:t>
      </w:r>
      <w:r w:rsidRPr="00DD07E1">
        <w:rPr>
          <w:rFonts w:cs="Calibri"/>
        </w:rPr>
        <w:t xml:space="preserve"> distinguished between ‘truly</w:t>
      </w:r>
      <w:r w:rsidRPr="007500E4">
        <w:rPr>
          <w:rFonts w:cs="Calibri"/>
        </w:rPr>
        <w:t xml:space="preserve"> </w:t>
      </w:r>
      <w:r w:rsidRPr="00DD07E1">
        <w:rPr>
          <w:rFonts w:cs="Calibri"/>
        </w:rPr>
        <w:t xml:space="preserve">government </w:t>
      </w:r>
      <w:proofErr w:type="gramStart"/>
      <w:r w:rsidRPr="00DD07E1">
        <w:rPr>
          <w:rFonts w:cs="Calibri"/>
        </w:rPr>
        <w:t>documents’</w:t>
      </w:r>
      <w:proofErr w:type="gramEnd"/>
      <w:r w:rsidRPr="00DD07E1">
        <w:rPr>
          <w:rFonts w:cs="Calibri"/>
        </w:rPr>
        <w:t xml:space="preserve"> and other </w:t>
      </w:r>
      <w:r w:rsidRPr="00DD07E1">
        <w:t xml:space="preserve">business information collected </w:t>
      </w:r>
      <w:r w:rsidRPr="007500E4">
        <w:t>under</w:t>
      </w:r>
      <w:r w:rsidRPr="00DD07E1">
        <w:t xml:space="preserve"> statutory authority. The </w:t>
      </w:r>
      <w:r w:rsidRPr="007500E4">
        <w:t>first</w:t>
      </w:r>
      <w:r w:rsidRPr="00DD07E1">
        <w:t xml:space="preserve"> category includes</w:t>
      </w:r>
      <w:r w:rsidRPr="00DD07E1">
        <w:rPr>
          <w:w w:val="99"/>
        </w:rPr>
        <w:t xml:space="preserve"> </w:t>
      </w:r>
      <w:r w:rsidRPr="00DD07E1">
        <w:t xml:space="preserve">documents that </w:t>
      </w:r>
      <w:r w:rsidRPr="007500E4">
        <w:t>have</w:t>
      </w:r>
      <w:r w:rsidRPr="00DD07E1">
        <w:t xml:space="preserve"> been created </w:t>
      </w:r>
      <w:r w:rsidRPr="007500E4">
        <w:t>by</w:t>
      </w:r>
      <w:r w:rsidRPr="00DD07E1">
        <w:t xml:space="preserve"> government </w:t>
      </w:r>
      <w:r w:rsidRPr="007500E4">
        <w:t>or</w:t>
      </w:r>
      <w:r w:rsidRPr="00DD07E1">
        <w:t xml:space="preserve"> that form part of </w:t>
      </w:r>
      <w:r w:rsidRPr="007500E4">
        <w:t>a</w:t>
      </w:r>
      <w:r w:rsidRPr="00DD07E1">
        <w:t xml:space="preserve"> </w:t>
      </w:r>
      <w:r w:rsidRPr="007500E4">
        <w:t>flow</w:t>
      </w:r>
      <w:r w:rsidRPr="00DD07E1">
        <w:t xml:space="preserve"> of correspondence and other documents between the government and </w:t>
      </w:r>
      <w:r w:rsidRPr="007500E4">
        <w:t>business.</w:t>
      </w:r>
      <w:r w:rsidRPr="00DD07E1">
        <w:t xml:space="preserve"> The AAT</w:t>
      </w:r>
      <w:r w:rsidRPr="00DD07E1">
        <w:rPr>
          <w:w w:val="99"/>
        </w:rPr>
        <w:t xml:space="preserve"> </w:t>
      </w:r>
      <w:r w:rsidRPr="00DD07E1">
        <w:t xml:space="preserve">concluded that such documents incline more </w:t>
      </w:r>
      <w:r w:rsidRPr="007500E4">
        <w:t>to</w:t>
      </w:r>
      <w:r w:rsidRPr="00DD07E1">
        <w:t xml:space="preserve"> </w:t>
      </w:r>
      <w:r w:rsidRPr="007500E4">
        <w:t>arguments</w:t>
      </w:r>
      <w:r w:rsidRPr="00DD07E1">
        <w:t xml:space="preserve"> favouring scrutiny </w:t>
      </w:r>
      <w:r w:rsidRPr="007500E4">
        <w:t>of</w:t>
      </w:r>
      <w:r w:rsidRPr="00DD07E1">
        <w:t xml:space="preserve"> government activities when considering whether disclosure would be unreasonable.</w:t>
      </w:r>
      <w:r w:rsidRPr="00DD07E1">
        <w:rPr>
          <w:rStyle w:val="FootnoteReference"/>
        </w:rPr>
        <w:footnoteReference w:id="165"/>
      </w:r>
      <w:r w:rsidR="006867B3">
        <w:t xml:space="preserve"> B</w:t>
      </w:r>
      <w:r w:rsidRPr="00DD07E1">
        <w:t>y</w:t>
      </w:r>
      <w:r w:rsidRPr="00DD07E1">
        <w:rPr>
          <w:w w:val="99"/>
        </w:rPr>
        <w:t xml:space="preserve"> </w:t>
      </w:r>
      <w:r w:rsidRPr="00DD07E1">
        <w:t xml:space="preserve">implication, </w:t>
      </w:r>
      <w:r w:rsidRPr="007500E4">
        <w:t>the</w:t>
      </w:r>
      <w:r w:rsidRPr="00DD07E1">
        <w:t xml:space="preserve"> exemption </w:t>
      </w:r>
      <w:r w:rsidRPr="007500E4">
        <w:t>is</w:t>
      </w:r>
      <w:r w:rsidRPr="00DD07E1">
        <w:t xml:space="preserve"> </w:t>
      </w:r>
      <w:r w:rsidRPr="007500E4">
        <w:t>more</w:t>
      </w:r>
      <w:r w:rsidRPr="00DD07E1">
        <w:t xml:space="preserve"> likely </w:t>
      </w:r>
      <w:r w:rsidRPr="007500E4">
        <w:t>to</w:t>
      </w:r>
      <w:r w:rsidRPr="00DD07E1">
        <w:t xml:space="preserve"> protect documents obtained from third party businesses.</w:t>
      </w:r>
    </w:p>
    <w:p w14:paraId="52C87A59" w14:textId="77777777" w:rsidR="00BB0A82" w:rsidRPr="007500E4" w:rsidRDefault="00BB0A82" w:rsidP="00B73860">
      <w:pPr>
        <w:pStyle w:val="NumberedParagraphs"/>
        <w:ind w:left="567"/>
        <w:rPr>
          <w:sz w:val="16"/>
          <w:szCs w:val="16"/>
        </w:rPr>
      </w:pPr>
      <w:r w:rsidRPr="007500E4">
        <w:lastRenderedPageBreak/>
        <w:t>Where</w:t>
      </w:r>
      <w:r w:rsidRPr="00DD07E1">
        <w:t xml:space="preserve"> disclosure would </w:t>
      </w:r>
      <w:r w:rsidRPr="007500E4">
        <w:t>result</w:t>
      </w:r>
      <w:r w:rsidRPr="00DD07E1">
        <w:t xml:space="preserve"> </w:t>
      </w:r>
      <w:r w:rsidRPr="007500E4">
        <w:t>in</w:t>
      </w:r>
      <w:r w:rsidRPr="00DD07E1">
        <w:t xml:space="preserve"> the release </w:t>
      </w:r>
      <w:r w:rsidRPr="007500E4">
        <w:t>of</w:t>
      </w:r>
      <w:r w:rsidRPr="00DD07E1">
        <w:t xml:space="preserve"> facts already </w:t>
      </w:r>
      <w:r w:rsidRPr="007500E4">
        <w:t>in</w:t>
      </w:r>
      <w:r w:rsidRPr="00DD07E1">
        <w:t xml:space="preserve"> the public </w:t>
      </w:r>
      <w:r w:rsidRPr="007500E4">
        <w:t>domain,</w:t>
      </w:r>
      <w:r w:rsidRPr="00DD07E1">
        <w:rPr>
          <w:w w:val="99"/>
        </w:rPr>
        <w:t xml:space="preserve"> </w:t>
      </w:r>
      <w:r w:rsidRPr="00DD07E1">
        <w:t xml:space="preserve">that disclosure would not amount </w:t>
      </w:r>
      <w:r w:rsidRPr="007500E4">
        <w:t>to</w:t>
      </w:r>
      <w:r w:rsidRPr="00DD07E1">
        <w:t xml:space="preserve"> an unreasonable adverse effect </w:t>
      </w:r>
      <w:r w:rsidRPr="007500E4">
        <w:t>on</w:t>
      </w:r>
      <w:r w:rsidRPr="00DD07E1">
        <w:t xml:space="preserve"> business affairs.</w:t>
      </w:r>
      <w:r w:rsidRPr="007500E4">
        <w:rPr>
          <w:rStyle w:val="FootnoteReference"/>
        </w:rPr>
        <w:footnoteReference w:id="166"/>
      </w:r>
    </w:p>
    <w:p w14:paraId="700A8FE1" w14:textId="77777777" w:rsidR="00BB0A82" w:rsidRPr="00C12426" w:rsidRDefault="00BB0A82" w:rsidP="002813D6">
      <w:pPr>
        <w:pStyle w:val="Heading3"/>
      </w:pPr>
      <w:bookmarkStart w:id="241" w:name="Business_or_professional_affairs"/>
      <w:bookmarkStart w:id="242" w:name="_bookmark63"/>
      <w:bookmarkStart w:id="243" w:name="_Toc11154516"/>
      <w:bookmarkStart w:id="244" w:name="_Toc141875243"/>
      <w:bookmarkEnd w:id="241"/>
      <w:bookmarkEnd w:id="242"/>
      <w:r w:rsidRPr="00C12426">
        <w:t>Business or professional affairs</w:t>
      </w:r>
      <w:bookmarkEnd w:id="243"/>
      <w:bookmarkEnd w:id="244"/>
    </w:p>
    <w:p w14:paraId="603EABFD" w14:textId="77777777" w:rsidR="00BB0A82" w:rsidRPr="007500E4" w:rsidRDefault="00BB0A82" w:rsidP="00B73860">
      <w:pPr>
        <w:pStyle w:val="NumberedParagraphs"/>
        <w:ind w:left="567"/>
      </w:pPr>
      <w:r w:rsidRPr="007500E4">
        <w:t>The</w:t>
      </w:r>
      <w:r w:rsidRPr="00DD07E1">
        <w:t xml:space="preserve"> </w:t>
      </w:r>
      <w:r w:rsidRPr="007500E4">
        <w:t>use</w:t>
      </w:r>
      <w:r w:rsidRPr="00DD07E1">
        <w:t xml:space="preserve"> </w:t>
      </w:r>
      <w:r w:rsidRPr="007500E4">
        <w:t>of</w:t>
      </w:r>
      <w:r w:rsidRPr="00DD07E1">
        <w:t xml:space="preserve"> the </w:t>
      </w:r>
      <w:r w:rsidRPr="007500E4">
        <w:t>term</w:t>
      </w:r>
      <w:r w:rsidRPr="00DD07E1">
        <w:t xml:space="preserve"> ‘business</w:t>
      </w:r>
      <w:r w:rsidRPr="007500E4">
        <w:t xml:space="preserve"> or</w:t>
      </w:r>
      <w:r w:rsidRPr="00DD07E1">
        <w:t xml:space="preserve"> professional</w:t>
      </w:r>
      <w:r w:rsidRPr="007500E4">
        <w:t xml:space="preserve"> </w:t>
      </w:r>
      <w:r w:rsidRPr="00DD07E1">
        <w:t>affairs’</w:t>
      </w:r>
      <w:r w:rsidRPr="007500E4">
        <w:t xml:space="preserve"> </w:t>
      </w:r>
      <w:r w:rsidRPr="00DD07E1">
        <w:t>distinguishes</w:t>
      </w:r>
      <w:r w:rsidRPr="007500E4">
        <w:t xml:space="preserve"> </w:t>
      </w:r>
      <w:r w:rsidRPr="00DD07E1">
        <w:t>an individual’s personal</w:t>
      </w:r>
      <w:r w:rsidRPr="007500E4">
        <w:t xml:space="preserve"> or</w:t>
      </w:r>
      <w:r w:rsidRPr="00DD07E1">
        <w:t xml:space="preserve"> private affairs</w:t>
      </w:r>
      <w:r w:rsidRPr="007500E4">
        <w:t xml:space="preserve"> and</w:t>
      </w:r>
      <w:r w:rsidRPr="00DD07E1">
        <w:t xml:space="preserve"> </w:t>
      </w:r>
      <w:r w:rsidRPr="007500E4">
        <w:t>an</w:t>
      </w:r>
      <w:r w:rsidRPr="00DD07E1">
        <w:t xml:space="preserve"> organisation’s</w:t>
      </w:r>
      <w:r w:rsidRPr="007500E4">
        <w:t xml:space="preserve"> </w:t>
      </w:r>
      <w:r w:rsidRPr="00DD07E1">
        <w:t>internal</w:t>
      </w:r>
      <w:r w:rsidRPr="007500E4">
        <w:t xml:space="preserve"> </w:t>
      </w:r>
      <w:r w:rsidRPr="00DD07E1">
        <w:t>affairs.</w:t>
      </w:r>
      <w:r w:rsidRPr="007500E4">
        <w:t xml:space="preserve"> </w:t>
      </w:r>
      <w:r w:rsidRPr="00DD07E1">
        <w:t xml:space="preserve">The </w:t>
      </w:r>
      <w:r w:rsidRPr="007500E4">
        <w:t>term</w:t>
      </w:r>
      <w:r w:rsidRPr="00DD07E1">
        <w:t xml:space="preserve"> ‘business</w:t>
      </w:r>
      <w:r w:rsidRPr="007500E4">
        <w:t xml:space="preserve"> </w:t>
      </w:r>
      <w:r w:rsidRPr="00DD07E1">
        <w:t>affairs’</w:t>
      </w:r>
      <w:r w:rsidRPr="007500E4">
        <w:t xml:space="preserve"> has</w:t>
      </w:r>
      <w:r w:rsidRPr="00DD07E1">
        <w:t xml:space="preserve"> been interpreted </w:t>
      </w:r>
      <w:r w:rsidRPr="007500E4">
        <w:t>to</w:t>
      </w:r>
      <w:r w:rsidRPr="00DD07E1">
        <w:t xml:space="preserve"> </w:t>
      </w:r>
      <w:r w:rsidRPr="007500E4">
        <w:t>mean</w:t>
      </w:r>
      <w:r w:rsidRPr="00DD07E1">
        <w:t xml:space="preserve"> ‘the totality of </w:t>
      </w:r>
      <w:r w:rsidRPr="007500E4">
        <w:t>the</w:t>
      </w:r>
      <w:r w:rsidRPr="00DD07E1">
        <w:t xml:space="preserve"> </w:t>
      </w:r>
      <w:r w:rsidRPr="007500E4">
        <w:t>money-making</w:t>
      </w:r>
      <w:r w:rsidRPr="00DD07E1">
        <w:t xml:space="preserve"> affairs </w:t>
      </w:r>
      <w:r w:rsidRPr="007500E4">
        <w:t>of</w:t>
      </w:r>
      <w:r w:rsidRPr="00DD07E1">
        <w:t xml:space="preserve"> </w:t>
      </w:r>
      <w:r w:rsidRPr="007500E4">
        <w:t>an</w:t>
      </w:r>
      <w:r w:rsidRPr="00DD07E1">
        <w:t xml:space="preserve"> organisation </w:t>
      </w:r>
      <w:r w:rsidRPr="007500E4">
        <w:t>or</w:t>
      </w:r>
      <w:r w:rsidRPr="00DD07E1">
        <w:rPr>
          <w:w w:val="99"/>
        </w:rPr>
        <w:t xml:space="preserve"> </w:t>
      </w:r>
      <w:r w:rsidRPr="00DD07E1">
        <w:t xml:space="preserve">undertaking </w:t>
      </w:r>
      <w:r w:rsidRPr="007500E4">
        <w:t>as</w:t>
      </w:r>
      <w:r w:rsidRPr="00DD07E1">
        <w:t xml:space="preserve"> distinct from </w:t>
      </w:r>
      <w:r w:rsidRPr="007500E4">
        <w:t>its</w:t>
      </w:r>
      <w:r w:rsidRPr="00DD07E1">
        <w:t xml:space="preserve"> private </w:t>
      </w:r>
      <w:r w:rsidRPr="007500E4">
        <w:t>or</w:t>
      </w:r>
      <w:r w:rsidRPr="00DD07E1">
        <w:t xml:space="preserve"> internal </w:t>
      </w:r>
      <w:r w:rsidRPr="007500E4">
        <w:t>affairs’.</w:t>
      </w:r>
      <w:r w:rsidRPr="007500E4">
        <w:rPr>
          <w:rStyle w:val="FootnoteReference"/>
        </w:rPr>
        <w:footnoteReference w:id="167"/>
      </w:r>
    </w:p>
    <w:p w14:paraId="5F58EF7C" w14:textId="05BA45B7" w:rsidR="00BB0A82" w:rsidRPr="007500E4" w:rsidRDefault="00BB0A82" w:rsidP="00B73860">
      <w:pPr>
        <w:pStyle w:val="NumberedParagraphs"/>
        <w:ind w:left="567"/>
      </w:pPr>
      <w:r w:rsidRPr="007500E4">
        <w:t>The internal affairs of an organisation include its governance processes</w:t>
      </w:r>
      <w:r w:rsidR="001A1F49">
        <w:t xml:space="preserve"> and</w:t>
      </w:r>
      <w:r w:rsidRPr="007500E4">
        <w:t xml:space="preserve"> the processes by which organisations are directed and controlled. For example, documents relating to member voting processes are not exempt under s 47G, because member voting forms part of the governance affairs of an organisation.</w:t>
      </w:r>
      <w:r w:rsidRPr="007500E4">
        <w:rPr>
          <w:rStyle w:val="FootnoteReference"/>
          <w:rFonts w:cs="Calibri"/>
        </w:rPr>
        <w:footnoteReference w:id="168"/>
      </w:r>
    </w:p>
    <w:p w14:paraId="71E85B6F" w14:textId="6AEAF0F8" w:rsidR="00BB0A82" w:rsidRPr="007500E4" w:rsidRDefault="00BB0A82" w:rsidP="00B73860">
      <w:pPr>
        <w:pStyle w:val="NumberedParagraphs"/>
        <w:ind w:left="567"/>
      </w:pPr>
      <w:r w:rsidRPr="007500E4">
        <w:t>In</w:t>
      </w:r>
      <w:r w:rsidRPr="00DD07E1">
        <w:t xml:space="preserve"> the absence </w:t>
      </w:r>
      <w:r w:rsidRPr="007500E4">
        <w:t>of</w:t>
      </w:r>
      <w:r w:rsidRPr="00DD07E1">
        <w:t xml:space="preserve"> </w:t>
      </w:r>
      <w:r w:rsidRPr="007500E4">
        <w:t>a</w:t>
      </w:r>
      <w:r w:rsidRPr="00DD07E1">
        <w:t xml:space="preserve"> definition</w:t>
      </w:r>
      <w:r w:rsidRPr="007500E4">
        <w:t xml:space="preserve"> in </w:t>
      </w:r>
      <w:r w:rsidRPr="00DD07E1">
        <w:t xml:space="preserve">the </w:t>
      </w:r>
      <w:r w:rsidRPr="007500E4">
        <w:t xml:space="preserve">FOI </w:t>
      </w:r>
      <w:r w:rsidRPr="00DD07E1">
        <w:t>Act,</w:t>
      </w:r>
      <w:r w:rsidRPr="007500E4">
        <w:t xml:space="preserve"> </w:t>
      </w:r>
      <w:r w:rsidRPr="00DD07E1">
        <w:t xml:space="preserve">‘professional’ </w:t>
      </w:r>
      <w:r w:rsidRPr="007500E4">
        <w:t>bears</w:t>
      </w:r>
      <w:r w:rsidRPr="00DD07E1">
        <w:t xml:space="preserve"> </w:t>
      </w:r>
      <w:r w:rsidRPr="007500E4">
        <w:t>its</w:t>
      </w:r>
      <w:r w:rsidRPr="00DD07E1">
        <w:t xml:space="preserve"> </w:t>
      </w:r>
      <w:r w:rsidRPr="007500E4">
        <w:t>usual</w:t>
      </w:r>
      <w:r w:rsidRPr="00DD07E1">
        <w:t xml:space="preserve"> meaning. </w:t>
      </w:r>
      <w:r w:rsidRPr="007500E4">
        <w:t>For</w:t>
      </w:r>
      <w:r w:rsidRPr="00DD07E1">
        <w:rPr>
          <w:w w:val="99"/>
        </w:rPr>
        <w:t xml:space="preserve"> </w:t>
      </w:r>
      <w:r w:rsidRPr="007500E4">
        <w:t>FOI</w:t>
      </w:r>
      <w:r w:rsidRPr="00DD07E1">
        <w:t xml:space="preserve"> purposes, ‘profession’ </w:t>
      </w:r>
      <w:r w:rsidRPr="007500E4">
        <w:t>is</w:t>
      </w:r>
      <w:r w:rsidRPr="00DD07E1">
        <w:t xml:space="preserve"> </w:t>
      </w:r>
      <w:r w:rsidRPr="007500E4">
        <w:t>not</w:t>
      </w:r>
      <w:r w:rsidRPr="00DD07E1">
        <w:t xml:space="preserve"> static and</w:t>
      </w:r>
      <w:r w:rsidRPr="007500E4">
        <w:t xml:space="preserve"> </w:t>
      </w:r>
      <w:r w:rsidRPr="00DD07E1">
        <w:t xml:space="preserve">may extend beyond the occupations that </w:t>
      </w:r>
      <w:r w:rsidRPr="007500E4">
        <w:t>have</w:t>
      </w:r>
      <w:r w:rsidRPr="00DD07E1">
        <w:rPr>
          <w:w w:val="99"/>
        </w:rPr>
        <w:t xml:space="preserve"> </w:t>
      </w:r>
      <w:r w:rsidRPr="00DD07E1">
        <w:t xml:space="preserve">traditionally been recognised </w:t>
      </w:r>
      <w:r w:rsidRPr="007500E4">
        <w:t>as</w:t>
      </w:r>
      <w:r w:rsidRPr="00DD07E1">
        <w:t xml:space="preserve"> professions, reflecting changes in community acceptance </w:t>
      </w:r>
      <w:r w:rsidRPr="007500E4">
        <w:t>of</w:t>
      </w:r>
      <w:r w:rsidRPr="00DD07E1">
        <w:t xml:space="preserve"> </w:t>
      </w:r>
      <w:r w:rsidRPr="007500E4">
        <w:t>these</w:t>
      </w:r>
      <w:r w:rsidRPr="00DD07E1">
        <w:t xml:space="preserve"> matters.</w:t>
      </w:r>
      <w:r w:rsidRPr="00DD07E1">
        <w:rPr>
          <w:rStyle w:val="FootnoteReference"/>
        </w:rPr>
        <w:footnoteReference w:id="169"/>
      </w:r>
      <w:r w:rsidR="00A64EB7">
        <w:t xml:space="preserve"> F</w:t>
      </w:r>
      <w:r w:rsidRPr="00DD07E1">
        <w:t>or example, the Information Commissioner accepts that medical and scientific researchers have professional affairs.</w:t>
      </w:r>
      <w:r w:rsidRPr="00DD07E1">
        <w:rPr>
          <w:rStyle w:val="FootnoteReference"/>
        </w:rPr>
        <w:footnoteReference w:id="170"/>
      </w:r>
      <w:r w:rsidRPr="00DD07E1">
        <w:t xml:space="preserve"> </w:t>
      </w:r>
      <w:r w:rsidRPr="007500E4">
        <w:t>The</w:t>
      </w:r>
      <w:r w:rsidRPr="00DD07E1">
        <w:t xml:space="preserve"> word ‘profession’ </w:t>
      </w:r>
      <w:r w:rsidRPr="007500E4">
        <w:t>is</w:t>
      </w:r>
      <w:r w:rsidRPr="00DD07E1">
        <w:t xml:space="preserve"> clearly intended </w:t>
      </w:r>
      <w:r w:rsidRPr="007500E4">
        <w:t xml:space="preserve">to </w:t>
      </w:r>
      <w:r w:rsidRPr="00DD07E1">
        <w:t xml:space="preserve">cover the work </w:t>
      </w:r>
      <w:r w:rsidRPr="007500E4">
        <w:t>activities</w:t>
      </w:r>
      <w:r w:rsidRPr="00DD07E1">
        <w:t xml:space="preserve"> </w:t>
      </w:r>
      <w:r w:rsidRPr="007500E4">
        <w:t>of</w:t>
      </w:r>
      <w:r w:rsidRPr="00DD07E1">
        <w:t xml:space="preserve"> </w:t>
      </w:r>
      <w:r w:rsidRPr="007500E4">
        <w:t>a person</w:t>
      </w:r>
      <w:r w:rsidRPr="00DD07E1">
        <w:t xml:space="preserve"> who </w:t>
      </w:r>
      <w:r w:rsidRPr="007500E4">
        <w:t>is</w:t>
      </w:r>
      <w:r w:rsidRPr="00DD07E1">
        <w:t xml:space="preserve"> admitted to </w:t>
      </w:r>
      <w:r w:rsidRPr="007500E4">
        <w:t>a</w:t>
      </w:r>
      <w:r w:rsidRPr="00DD07E1">
        <w:t xml:space="preserve"> recognised profession and who ordinarily offers professional services </w:t>
      </w:r>
      <w:r w:rsidRPr="007500E4">
        <w:t>to</w:t>
      </w:r>
      <w:r w:rsidRPr="00DD07E1">
        <w:t xml:space="preserve"> the public for </w:t>
      </w:r>
      <w:r w:rsidRPr="007500E4">
        <w:t>a</w:t>
      </w:r>
      <w:r w:rsidRPr="00DD07E1">
        <w:t xml:space="preserve"> </w:t>
      </w:r>
      <w:r w:rsidRPr="007500E4">
        <w:t>fee.</w:t>
      </w:r>
      <w:r w:rsidRPr="00DD07E1">
        <w:t xml:space="preserve"> </w:t>
      </w:r>
      <w:r w:rsidRPr="007500E4">
        <w:t>In</w:t>
      </w:r>
      <w:r w:rsidRPr="00DD07E1">
        <w:t xml:space="preserve"> addition, </w:t>
      </w:r>
      <w:r w:rsidRPr="007500E4">
        <w:t>s</w:t>
      </w:r>
      <w:r w:rsidRPr="00DD07E1">
        <w:t xml:space="preserve"> </w:t>
      </w:r>
      <w:r w:rsidRPr="007500E4">
        <w:t>47G(5)</w:t>
      </w:r>
      <w:r w:rsidRPr="00DD07E1">
        <w:t xml:space="preserve"> makes </w:t>
      </w:r>
      <w:r w:rsidRPr="007500E4">
        <w:t>it</w:t>
      </w:r>
      <w:r w:rsidRPr="00DD07E1">
        <w:t xml:space="preserve"> clear that </w:t>
      </w:r>
      <w:r w:rsidRPr="007500E4">
        <w:t>the</w:t>
      </w:r>
      <w:r w:rsidRPr="00DD07E1">
        <w:t xml:space="preserve"> conditional exemption </w:t>
      </w:r>
      <w:r w:rsidRPr="007500E4">
        <w:t>does</w:t>
      </w:r>
      <w:r w:rsidRPr="00DD07E1">
        <w:t xml:space="preserve"> not apply</w:t>
      </w:r>
      <w:r w:rsidRPr="007500E4">
        <w:t xml:space="preserve"> merely </w:t>
      </w:r>
      <w:r w:rsidRPr="00DD07E1">
        <w:t xml:space="preserve">because the information refers to </w:t>
      </w:r>
      <w:r w:rsidRPr="007500E4">
        <w:t>a</w:t>
      </w:r>
      <w:r w:rsidRPr="00DD07E1">
        <w:t xml:space="preserve"> person’s</w:t>
      </w:r>
      <w:r w:rsidRPr="007500E4">
        <w:t xml:space="preserve"> </w:t>
      </w:r>
      <w:r w:rsidRPr="00DD07E1">
        <w:t>professional status.</w:t>
      </w:r>
    </w:p>
    <w:p w14:paraId="7A08A709" w14:textId="7687025E" w:rsidR="00BB0A82" w:rsidRPr="007500E4" w:rsidRDefault="00BB0A82" w:rsidP="00B73860">
      <w:pPr>
        <w:pStyle w:val="NumberedParagraphs"/>
        <w:ind w:left="567"/>
        <w:rPr>
          <w:sz w:val="16"/>
          <w:szCs w:val="16"/>
        </w:rPr>
      </w:pPr>
      <w:r w:rsidRPr="007500E4">
        <w:t>Any</w:t>
      </w:r>
      <w:r w:rsidRPr="00DD07E1">
        <w:t xml:space="preserve"> extension of </w:t>
      </w:r>
      <w:r w:rsidRPr="007500E4">
        <w:t>the</w:t>
      </w:r>
      <w:r w:rsidRPr="00DD07E1">
        <w:t xml:space="preserve"> </w:t>
      </w:r>
      <w:r w:rsidRPr="007500E4">
        <w:t>normal</w:t>
      </w:r>
      <w:r w:rsidRPr="00DD07E1">
        <w:t xml:space="preserve"> meaning </w:t>
      </w:r>
      <w:r w:rsidRPr="007500E4">
        <w:t>of</w:t>
      </w:r>
      <w:r w:rsidRPr="00DD07E1">
        <w:t xml:space="preserve"> ‘profession’ will require evidence </w:t>
      </w:r>
      <w:r w:rsidRPr="007500E4">
        <w:t>of</w:t>
      </w:r>
      <w:r w:rsidRPr="00DD07E1">
        <w:t xml:space="preserve"> community acceptance that the occupation in question should </w:t>
      </w:r>
      <w:r w:rsidRPr="007500E4">
        <w:t>be</w:t>
      </w:r>
      <w:r w:rsidRPr="00DD07E1">
        <w:t xml:space="preserve"> regarded </w:t>
      </w:r>
      <w:r w:rsidRPr="007500E4">
        <w:t>as</w:t>
      </w:r>
      <w:r w:rsidRPr="00DD07E1">
        <w:t xml:space="preserve"> </w:t>
      </w:r>
      <w:r w:rsidRPr="007500E4">
        <w:t>a</w:t>
      </w:r>
      <w:r w:rsidRPr="00DD07E1">
        <w:t xml:space="preserve"> profession. For example, </w:t>
      </w:r>
      <w:r w:rsidRPr="007500E4">
        <w:t>the</w:t>
      </w:r>
      <w:r w:rsidRPr="00DD07E1">
        <w:t xml:space="preserve"> absence </w:t>
      </w:r>
      <w:r w:rsidRPr="007500E4">
        <w:t>of</w:t>
      </w:r>
      <w:r w:rsidRPr="00DD07E1">
        <w:t xml:space="preserve"> </w:t>
      </w:r>
      <w:r w:rsidRPr="007500E4">
        <w:t>any</w:t>
      </w:r>
      <w:r w:rsidRPr="00DD07E1">
        <w:t xml:space="preserve"> evidence indicating</w:t>
      </w:r>
      <w:r w:rsidR="0093206D">
        <w:t>,</w:t>
      </w:r>
      <w:r w:rsidR="007F051B">
        <w:t xml:space="preserve"> at that time</w:t>
      </w:r>
      <w:r w:rsidR="0093206D">
        <w:t xml:space="preserve">, </w:t>
      </w:r>
      <w:r w:rsidRPr="00DD07E1">
        <w:t xml:space="preserve">community acceptance </w:t>
      </w:r>
      <w:r w:rsidR="00CD7FA2">
        <w:t xml:space="preserve">of </w:t>
      </w:r>
      <w:r w:rsidRPr="007500E4">
        <w:t>the</w:t>
      </w:r>
      <w:r w:rsidRPr="00DD07E1">
        <w:t xml:space="preserve"> audit </w:t>
      </w:r>
      <w:r w:rsidRPr="007500E4">
        <w:t>activities</w:t>
      </w:r>
      <w:r w:rsidRPr="00DD07E1">
        <w:t xml:space="preserve"> </w:t>
      </w:r>
      <w:r w:rsidRPr="007500E4">
        <w:t>of</w:t>
      </w:r>
      <w:r w:rsidRPr="00DD07E1">
        <w:t xml:space="preserve"> officers</w:t>
      </w:r>
      <w:r w:rsidRPr="007500E4">
        <w:t xml:space="preserve"> </w:t>
      </w:r>
      <w:r w:rsidRPr="00DD07E1">
        <w:t xml:space="preserve">of </w:t>
      </w:r>
      <w:r w:rsidRPr="007500E4">
        <w:t xml:space="preserve">the </w:t>
      </w:r>
      <w:r w:rsidRPr="00DD07E1">
        <w:t xml:space="preserve">Australian Taxation Office </w:t>
      </w:r>
      <w:r w:rsidR="0057492D">
        <w:t xml:space="preserve">as </w:t>
      </w:r>
      <w:r w:rsidRPr="00DD07E1">
        <w:t>constitut</w:t>
      </w:r>
      <w:r w:rsidR="00CD7FA2">
        <w:t>ing</w:t>
      </w:r>
      <w:r w:rsidRPr="00DD07E1">
        <w:t xml:space="preserve"> ‘professional affairs’</w:t>
      </w:r>
      <w:r w:rsidRPr="007500E4">
        <w:t xml:space="preserve"> </w:t>
      </w:r>
      <w:r w:rsidRPr="00DD07E1">
        <w:t xml:space="preserve">led </w:t>
      </w:r>
      <w:r w:rsidRPr="007500E4">
        <w:t>the</w:t>
      </w:r>
      <w:r w:rsidRPr="00DD07E1">
        <w:t xml:space="preserve"> </w:t>
      </w:r>
      <w:r w:rsidRPr="007500E4">
        <w:t>AAT</w:t>
      </w:r>
      <w:r w:rsidRPr="00DD07E1">
        <w:t xml:space="preserve"> </w:t>
      </w:r>
      <w:r w:rsidRPr="007500E4">
        <w:t>to</w:t>
      </w:r>
      <w:r w:rsidRPr="00DD07E1">
        <w:t xml:space="preserve"> refuse </w:t>
      </w:r>
      <w:r w:rsidRPr="007500E4">
        <w:t>to</w:t>
      </w:r>
      <w:r w:rsidRPr="00DD07E1">
        <w:t xml:space="preserve"> extend the ordinary meaning </w:t>
      </w:r>
      <w:r w:rsidRPr="007500E4">
        <w:t>of</w:t>
      </w:r>
      <w:r w:rsidRPr="00DD07E1">
        <w:t xml:space="preserve"> the expression </w:t>
      </w:r>
      <w:r w:rsidRPr="007500E4">
        <w:t>in</w:t>
      </w:r>
      <w:r w:rsidRPr="00DD07E1">
        <w:t xml:space="preserve"> that case.</w:t>
      </w:r>
      <w:r w:rsidRPr="007500E4">
        <w:rPr>
          <w:rStyle w:val="FootnoteReference"/>
        </w:rPr>
        <w:footnoteReference w:id="171"/>
      </w:r>
    </w:p>
    <w:p w14:paraId="38FCEBE5" w14:textId="77777777" w:rsidR="00BB0A82" w:rsidRPr="007500E4" w:rsidRDefault="00BB0A82" w:rsidP="002813D6">
      <w:pPr>
        <w:pStyle w:val="Heading3"/>
        <w:rPr>
          <w:b/>
          <w:bCs w:val="0"/>
          <w:i/>
        </w:rPr>
      </w:pPr>
      <w:bookmarkStart w:id="245" w:name="Organisation_or_undertaking"/>
      <w:bookmarkStart w:id="246" w:name="_bookmark64"/>
      <w:bookmarkStart w:id="247" w:name="_Toc11154517"/>
      <w:bookmarkStart w:id="248" w:name="_Toc141875244"/>
      <w:bookmarkEnd w:id="245"/>
      <w:bookmarkEnd w:id="246"/>
      <w:r w:rsidRPr="00DD07E1">
        <w:t xml:space="preserve">Organisation </w:t>
      </w:r>
      <w:r w:rsidRPr="007500E4">
        <w:t>or</w:t>
      </w:r>
      <w:r w:rsidRPr="00DD07E1">
        <w:t xml:space="preserve"> undertaking</w:t>
      </w:r>
      <w:bookmarkEnd w:id="247"/>
      <w:bookmarkEnd w:id="248"/>
    </w:p>
    <w:p w14:paraId="59F2921F" w14:textId="77777777" w:rsidR="00BB0A82" w:rsidRPr="007500E4" w:rsidRDefault="00BB0A82" w:rsidP="00B73860">
      <w:pPr>
        <w:pStyle w:val="NumberedParagraphs"/>
        <w:ind w:left="567"/>
      </w:pPr>
      <w:r w:rsidRPr="007500E4">
        <w:rPr>
          <w:rFonts w:cs="Calibri"/>
        </w:rPr>
        <w:t>The</w:t>
      </w:r>
      <w:r w:rsidRPr="00DD07E1">
        <w:rPr>
          <w:rFonts w:cs="Calibri"/>
        </w:rPr>
        <w:t xml:space="preserve"> </w:t>
      </w:r>
      <w:r w:rsidRPr="007500E4">
        <w:rPr>
          <w:rFonts w:cs="Calibri"/>
        </w:rPr>
        <w:t>term</w:t>
      </w:r>
      <w:r w:rsidRPr="00DD07E1">
        <w:rPr>
          <w:rFonts w:cs="Calibri"/>
        </w:rPr>
        <w:t xml:space="preserve"> ‘organisation or</w:t>
      </w:r>
      <w:r w:rsidRPr="007500E4">
        <w:rPr>
          <w:rFonts w:cs="Calibri"/>
        </w:rPr>
        <w:t xml:space="preserve"> </w:t>
      </w:r>
      <w:r w:rsidRPr="00DD07E1">
        <w:rPr>
          <w:rFonts w:cs="Calibri"/>
        </w:rPr>
        <w:t>undertaking’</w:t>
      </w:r>
      <w:r w:rsidRPr="007500E4">
        <w:rPr>
          <w:rFonts w:cs="Calibri"/>
        </w:rPr>
        <w:t xml:space="preserve"> </w:t>
      </w:r>
      <w:r w:rsidRPr="00DD07E1">
        <w:rPr>
          <w:rFonts w:cs="Calibri"/>
        </w:rPr>
        <w:t xml:space="preserve">should </w:t>
      </w:r>
      <w:r w:rsidRPr="007500E4">
        <w:rPr>
          <w:rFonts w:cs="Calibri"/>
        </w:rPr>
        <w:t>be</w:t>
      </w:r>
      <w:r w:rsidRPr="00DD07E1">
        <w:rPr>
          <w:rFonts w:cs="Calibri"/>
        </w:rPr>
        <w:t xml:space="preserve"> given </w:t>
      </w:r>
      <w:r w:rsidRPr="007500E4">
        <w:rPr>
          <w:rFonts w:cs="Calibri"/>
        </w:rPr>
        <w:t>a</w:t>
      </w:r>
      <w:r w:rsidRPr="00DD07E1">
        <w:rPr>
          <w:rFonts w:cs="Calibri"/>
        </w:rPr>
        <w:t xml:space="preserve"> broad application, </w:t>
      </w:r>
      <w:r w:rsidRPr="007500E4">
        <w:rPr>
          <w:rFonts w:cs="Calibri"/>
        </w:rPr>
        <w:t>in</w:t>
      </w:r>
      <w:r w:rsidRPr="007500E4">
        <w:t>cluding</w:t>
      </w:r>
      <w:r w:rsidRPr="00DD07E1">
        <w:rPr>
          <w:w w:val="99"/>
        </w:rPr>
        <w:t xml:space="preserve"> </w:t>
      </w:r>
      <w:r w:rsidRPr="00DD07E1">
        <w:t xml:space="preserve">Commonwealth, Norfolk </w:t>
      </w:r>
      <w:r w:rsidRPr="007500E4">
        <w:t xml:space="preserve">Island </w:t>
      </w:r>
      <w:r w:rsidRPr="00DD07E1">
        <w:t xml:space="preserve">or State undertakings (s 47G(4)). </w:t>
      </w:r>
      <w:r w:rsidRPr="007500E4">
        <w:t>An</w:t>
      </w:r>
      <w:r w:rsidRPr="00DD07E1">
        <w:t xml:space="preserve"> organisation </w:t>
      </w:r>
      <w:r w:rsidRPr="007500E4">
        <w:t>or</w:t>
      </w:r>
      <w:r w:rsidRPr="00DD07E1">
        <w:rPr>
          <w:w w:val="99"/>
        </w:rPr>
        <w:t xml:space="preserve"> </w:t>
      </w:r>
      <w:r w:rsidRPr="00DD07E1">
        <w:t xml:space="preserve">undertaking need not </w:t>
      </w:r>
      <w:r w:rsidRPr="007500E4">
        <w:t>be</w:t>
      </w:r>
      <w:r w:rsidRPr="00DD07E1">
        <w:t xml:space="preserve"> </w:t>
      </w:r>
      <w:r w:rsidRPr="007500E4">
        <w:t>a</w:t>
      </w:r>
      <w:r w:rsidRPr="00DD07E1">
        <w:t xml:space="preserve"> </w:t>
      </w:r>
      <w:r w:rsidRPr="007500E4">
        <w:t>legal</w:t>
      </w:r>
      <w:r w:rsidRPr="00DD07E1">
        <w:t xml:space="preserve"> person. However, </w:t>
      </w:r>
      <w:r w:rsidRPr="007500E4">
        <w:t>a</w:t>
      </w:r>
      <w:r w:rsidRPr="00DD07E1">
        <w:t xml:space="preserve"> natural individual cannot </w:t>
      </w:r>
      <w:r w:rsidRPr="007500E4">
        <w:t>be</w:t>
      </w:r>
      <w:r w:rsidRPr="00DD07E1">
        <w:t xml:space="preserve"> </w:t>
      </w:r>
      <w:r w:rsidRPr="007500E4">
        <w:t>an</w:t>
      </w:r>
      <w:r w:rsidRPr="00DD07E1">
        <w:t xml:space="preserve"> organisation but may </w:t>
      </w:r>
      <w:r w:rsidRPr="007500E4">
        <w:t>be</w:t>
      </w:r>
      <w:r w:rsidRPr="00DD07E1">
        <w:t xml:space="preserve"> </w:t>
      </w:r>
      <w:r w:rsidRPr="007500E4">
        <w:t>the</w:t>
      </w:r>
      <w:r w:rsidRPr="00DD07E1">
        <w:t xml:space="preserve"> proprietor </w:t>
      </w:r>
      <w:r w:rsidRPr="007500E4">
        <w:t>of</w:t>
      </w:r>
      <w:r w:rsidRPr="00DD07E1">
        <w:t xml:space="preserve"> </w:t>
      </w:r>
      <w:r w:rsidRPr="007500E4">
        <w:t>an</w:t>
      </w:r>
      <w:r w:rsidRPr="00DD07E1">
        <w:t xml:space="preserve"> </w:t>
      </w:r>
      <w:r w:rsidRPr="007500E4">
        <w:t>undertaking,</w:t>
      </w:r>
      <w:r w:rsidRPr="00DD07E1">
        <w:t xml:space="preserve"> </w:t>
      </w:r>
      <w:r w:rsidRPr="007500E4">
        <w:t>for</w:t>
      </w:r>
      <w:r w:rsidRPr="00DD07E1">
        <w:t xml:space="preserve"> example, when the individual </w:t>
      </w:r>
      <w:r w:rsidRPr="007500E4">
        <w:t>is</w:t>
      </w:r>
      <w:r w:rsidRPr="00DD07E1">
        <w:t xml:space="preserve"> </w:t>
      </w:r>
      <w:r w:rsidRPr="007500E4">
        <w:t>a</w:t>
      </w:r>
      <w:r w:rsidRPr="00DD07E1">
        <w:t xml:space="preserve"> sole trader. </w:t>
      </w:r>
      <w:r w:rsidRPr="007500E4">
        <w:t>The</w:t>
      </w:r>
      <w:r w:rsidRPr="00DD07E1">
        <w:t xml:space="preserve"> exemption</w:t>
      </w:r>
      <w:r w:rsidRPr="007500E4">
        <w:t xml:space="preserve"> may</w:t>
      </w:r>
      <w:r w:rsidRPr="00DD07E1">
        <w:t xml:space="preserve"> apply to</w:t>
      </w:r>
      <w:r w:rsidRPr="007500E4">
        <w:t xml:space="preserve"> </w:t>
      </w:r>
      <w:r w:rsidRPr="00DD07E1">
        <w:t xml:space="preserve">information about </w:t>
      </w:r>
      <w:r w:rsidRPr="007500E4">
        <w:t>an</w:t>
      </w:r>
      <w:r w:rsidRPr="00DD07E1">
        <w:t xml:space="preserve"> individual</w:t>
      </w:r>
      <w:r w:rsidRPr="007500E4">
        <w:t xml:space="preserve"> </w:t>
      </w:r>
      <w:r w:rsidRPr="00DD07E1">
        <w:t xml:space="preserve">who </w:t>
      </w:r>
      <w:r w:rsidRPr="007500E4">
        <w:t>is</w:t>
      </w:r>
      <w:r w:rsidRPr="00DD07E1">
        <w:t xml:space="preserve"> </w:t>
      </w:r>
      <w:r w:rsidRPr="007500E4">
        <w:t>a</w:t>
      </w:r>
      <w:r w:rsidRPr="00DD07E1">
        <w:t xml:space="preserve"> sole </w:t>
      </w:r>
      <w:r w:rsidRPr="00DD07E1">
        <w:rPr>
          <w:rFonts w:cs="Calibri"/>
        </w:rPr>
        <w:t xml:space="preserve">trader to </w:t>
      </w:r>
      <w:r w:rsidRPr="007500E4">
        <w:rPr>
          <w:rFonts w:cs="Calibri"/>
        </w:rPr>
        <w:t>the</w:t>
      </w:r>
      <w:r w:rsidRPr="00DD07E1">
        <w:rPr>
          <w:rFonts w:cs="Calibri"/>
        </w:rPr>
        <w:t xml:space="preserve"> extent that </w:t>
      </w:r>
      <w:r w:rsidRPr="007500E4">
        <w:rPr>
          <w:rFonts w:cs="Calibri"/>
        </w:rPr>
        <w:t>the</w:t>
      </w:r>
      <w:r w:rsidRPr="00DD07E1">
        <w:rPr>
          <w:rFonts w:cs="Calibri"/>
        </w:rPr>
        <w:t xml:space="preserve"> information concerns</w:t>
      </w:r>
      <w:r w:rsidRPr="007500E4">
        <w:rPr>
          <w:rFonts w:cs="Calibri"/>
        </w:rPr>
        <w:t xml:space="preserve"> the</w:t>
      </w:r>
      <w:r w:rsidRPr="00DD07E1">
        <w:rPr>
          <w:rFonts w:cs="Calibri"/>
        </w:rPr>
        <w:t xml:space="preserve"> undertaking’s </w:t>
      </w:r>
      <w:r w:rsidRPr="00DD07E1">
        <w:t>business,</w:t>
      </w:r>
      <w:r w:rsidRPr="007500E4">
        <w:t xml:space="preserve"> </w:t>
      </w:r>
      <w:r w:rsidRPr="00DD07E1">
        <w:t xml:space="preserve">commercial </w:t>
      </w:r>
      <w:r w:rsidRPr="007500E4">
        <w:t xml:space="preserve">or </w:t>
      </w:r>
      <w:r w:rsidRPr="00DD07E1">
        <w:t>financial affairs.</w:t>
      </w:r>
    </w:p>
    <w:p w14:paraId="49DC989C" w14:textId="77777777" w:rsidR="00BB0A82" w:rsidRPr="007500E4" w:rsidRDefault="00BB0A82" w:rsidP="002813D6">
      <w:pPr>
        <w:pStyle w:val="Heading3"/>
        <w:rPr>
          <w:b/>
          <w:bCs w:val="0"/>
          <w:i/>
        </w:rPr>
      </w:pPr>
      <w:bookmarkStart w:id="249" w:name="Prejudice_future_supply_of_information"/>
      <w:bookmarkStart w:id="250" w:name="_bookmark65"/>
      <w:bookmarkStart w:id="251" w:name="_Toc11154518"/>
      <w:bookmarkStart w:id="252" w:name="_Toc141875245"/>
      <w:bookmarkEnd w:id="249"/>
      <w:bookmarkEnd w:id="250"/>
      <w:r w:rsidRPr="00DD07E1">
        <w:lastRenderedPageBreak/>
        <w:t xml:space="preserve">Prejudice future supply </w:t>
      </w:r>
      <w:r w:rsidRPr="007500E4">
        <w:t>of</w:t>
      </w:r>
      <w:r w:rsidRPr="00DD07E1">
        <w:t xml:space="preserve"> information</w:t>
      </w:r>
      <w:bookmarkEnd w:id="251"/>
      <w:bookmarkEnd w:id="252"/>
    </w:p>
    <w:p w14:paraId="2ED78159" w14:textId="0DB6E92E" w:rsidR="00BB0A82" w:rsidRPr="007500E4" w:rsidRDefault="00BB0A82" w:rsidP="00B73860">
      <w:pPr>
        <w:pStyle w:val="NumberedParagraphs"/>
        <w:ind w:left="567"/>
      </w:pPr>
      <w:r w:rsidRPr="007500E4">
        <w:t>A</w:t>
      </w:r>
      <w:r w:rsidRPr="00DD07E1">
        <w:t xml:space="preserve"> document that discloses the kind of information </w:t>
      </w:r>
      <w:r w:rsidRPr="00424829">
        <w:t>described in [</w:t>
      </w:r>
      <w:hyperlink w:anchor="_bookmark58" w:history="1">
        <w:r w:rsidRPr="00424829">
          <w:fldChar w:fldCharType="begin"/>
        </w:r>
        <w:r w:rsidRPr="00424829">
          <w:instrText xml:space="preserve"> REF _Ref458498663 \r \h  \* MERGEFORMAT </w:instrText>
        </w:r>
        <w:r w:rsidRPr="00424829">
          <w:fldChar w:fldCharType="separate"/>
        </w:r>
        <w:r w:rsidR="00A721BB">
          <w:t>6.173</w:t>
        </w:r>
        <w:r w:rsidRPr="00424829">
          <w:fldChar w:fldCharType="end"/>
        </w:r>
      </w:hyperlink>
      <w:r w:rsidRPr="00424829">
        <w:t>]</w:t>
      </w:r>
      <w:r w:rsidRPr="00424829">
        <w:rPr>
          <w:w w:val="99"/>
        </w:rPr>
        <w:t xml:space="preserve"> </w:t>
      </w:r>
      <w:r w:rsidRPr="00424829">
        <w:t>above</w:t>
      </w:r>
      <w:r w:rsidRPr="00DD07E1">
        <w:t xml:space="preserve"> will </w:t>
      </w:r>
      <w:r w:rsidRPr="007500E4">
        <w:t>be</w:t>
      </w:r>
      <w:r w:rsidRPr="00DD07E1">
        <w:t xml:space="preserve"> conditionally </w:t>
      </w:r>
      <w:r w:rsidRPr="007500E4">
        <w:t>exempt</w:t>
      </w:r>
      <w:r w:rsidRPr="00DD07E1">
        <w:t xml:space="preserve"> </w:t>
      </w:r>
      <w:r w:rsidRPr="007500E4">
        <w:t>if</w:t>
      </w:r>
      <w:r w:rsidRPr="00DD07E1">
        <w:t xml:space="preserve"> the disclosure could reasonably </w:t>
      </w:r>
      <w:r w:rsidRPr="007500E4">
        <w:t>be</w:t>
      </w:r>
      <w:r w:rsidRPr="00DD07E1">
        <w:t xml:space="preserve"> expected to prejudice </w:t>
      </w:r>
      <w:r w:rsidRPr="007500E4">
        <w:t>the</w:t>
      </w:r>
      <w:r w:rsidRPr="00DD07E1">
        <w:t xml:space="preserve"> future supply </w:t>
      </w:r>
      <w:r w:rsidRPr="007500E4">
        <w:t>of</w:t>
      </w:r>
      <w:r w:rsidRPr="00DD07E1">
        <w:t xml:space="preserve"> information </w:t>
      </w:r>
      <w:r w:rsidRPr="007500E4">
        <w:t>to</w:t>
      </w:r>
      <w:r w:rsidRPr="00DD07E1">
        <w:t xml:space="preserve"> </w:t>
      </w:r>
      <w:r w:rsidRPr="007500E4">
        <w:t>the</w:t>
      </w:r>
      <w:r w:rsidRPr="00DD07E1">
        <w:t xml:space="preserve"> </w:t>
      </w:r>
      <w:r w:rsidRPr="007500E4">
        <w:t xml:space="preserve">Commonwealth </w:t>
      </w:r>
      <w:r w:rsidRPr="00DD07E1">
        <w:t xml:space="preserve">or </w:t>
      </w:r>
      <w:r w:rsidRPr="007500E4">
        <w:t>an</w:t>
      </w:r>
      <w:r w:rsidRPr="00DD07E1">
        <w:t xml:space="preserve"> </w:t>
      </w:r>
      <w:r w:rsidRPr="007500E4">
        <w:t>agency</w:t>
      </w:r>
      <w:r w:rsidRPr="00DD07E1">
        <w:t xml:space="preserve"> </w:t>
      </w:r>
      <w:r w:rsidRPr="007500E4">
        <w:t>for</w:t>
      </w:r>
      <w:r w:rsidRPr="00DD07E1">
        <w:t xml:space="preserve"> the purpose of the administration</w:t>
      </w:r>
      <w:r w:rsidRPr="007500E4">
        <w:t xml:space="preserve"> </w:t>
      </w:r>
      <w:r w:rsidRPr="00DD07E1">
        <w:t xml:space="preserve">of </w:t>
      </w:r>
      <w:r w:rsidRPr="007500E4">
        <w:t>a</w:t>
      </w:r>
      <w:r w:rsidRPr="00DD07E1">
        <w:t xml:space="preserve"> </w:t>
      </w:r>
      <w:r w:rsidRPr="007500E4">
        <w:t>law</w:t>
      </w:r>
      <w:r w:rsidRPr="00DD07E1">
        <w:t xml:space="preserve"> </w:t>
      </w:r>
      <w:r w:rsidRPr="007500E4">
        <w:t>of</w:t>
      </w:r>
      <w:r w:rsidRPr="00DD07E1">
        <w:t xml:space="preserve"> </w:t>
      </w:r>
      <w:r w:rsidRPr="007500E4">
        <w:t>the</w:t>
      </w:r>
      <w:r w:rsidRPr="00DD07E1">
        <w:t xml:space="preserve"> Commonwealth </w:t>
      </w:r>
      <w:r w:rsidRPr="007500E4">
        <w:t>or</w:t>
      </w:r>
      <w:r w:rsidRPr="00DD07E1">
        <w:t xml:space="preserve"> of </w:t>
      </w:r>
      <w:r w:rsidRPr="007500E4">
        <w:t>a</w:t>
      </w:r>
      <w:r w:rsidRPr="00DD07E1">
        <w:t xml:space="preserve"> Territory </w:t>
      </w:r>
      <w:r w:rsidRPr="007500E4">
        <w:t>or</w:t>
      </w:r>
      <w:r w:rsidRPr="00DD07E1">
        <w:t xml:space="preserve"> the administration of matters administered </w:t>
      </w:r>
      <w:r w:rsidRPr="007500E4">
        <w:t>by</w:t>
      </w:r>
      <w:r w:rsidRPr="00DD07E1">
        <w:t xml:space="preserve"> </w:t>
      </w:r>
      <w:r w:rsidRPr="007500E4">
        <w:t>an</w:t>
      </w:r>
      <w:r w:rsidRPr="00DD07E1">
        <w:t xml:space="preserve"> agency (s </w:t>
      </w:r>
      <w:r w:rsidRPr="007500E4">
        <w:t>47G(1)(b)).</w:t>
      </w:r>
    </w:p>
    <w:p w14:paraId="1C8A03A8" w14:textId="3006C89B" w:rsidR="00BB0A82" w:rsidRPr="007500E4" w:rsidRDefault="00BB0A82" w:rsidP="00B73860">
      <w:pPr>
        <w:pStyle w:val="NumberedParagraphs"/>
        <w:ind w:left="567"/>
      </w:pPr>
      <w:r w:rsidRPr="007500E4">
        <w:t>This</w:t>
      </w:r>
      <w:r w:rsidRPr="00DD07E1">
        <w:t xml:space="preserve"> limb of </w:t>
      </w:r>
      <w:r w:rsidRPr="007500E4">
        <w:t>the</w:t>
      </w:r>
      <w:r w:rsidRPr="00DD07E1">
        <w:t xml:space="preserve"> conditional exemption comprises </w:t>
      </w:r>
      <w:r w:rsidR="009C4213">
        <w:t>2</w:t>
      </w:r>
      <w:r w:rsidRPr="00DD07E1">
        <w:t xml:space="preserve"> parts:</w:t>
      </w:r>
    </w:p>
    <w:p w14:paraId="75BB1314" w14:textId="77777777" w:rsidR="00BB0A82" w:rsidRPr="007500E4" w:rsidRDefault="00BB0A82" w:rsidP="00AD2470">
      <w:pPr>
        <w:pStyle w:val="IndentBullet1"/>
        <w:ind w:left="993" w:hanging="426"/>
      </w:pPr>
      <w:r w:rsidRPr="007500E4">
        <w:t>a</w:t>
      </w:r>
      <w:r w:rsidRPr="00DD07E1">
        <w:t xml:space="preserve"> reasonable expectation</w:t>
      </w:r>
      <w:r w:rsidRPr="007500E4">
        <w:t xml:space="preserve"> </w:t>
      </w:r>
      <w:r w:rsidRPr="00DD07E1">
        <w:t xml:space="preserve">of </w:t>
      </w:r>
      <w:r w:rsidRPr="007500E4">
        <w:t>a</w:t>
      </w:r>
      <w:r w:rsidRPr="00DD07E1">
        <w:t xml:space="preserve"> reduction in </w:t>
      </w:r>
      <w:r w:rsidRPr="007500E4">
        <w:t>the</w:t>
      </w:r>
      <w:r w:rsidRPr="00DD07E1">
        <w:t xml:space="preserve"> quantity or</w:t>
      </w:r>
      <w:r w:rsidRPr="007500E4">
        <w:t xml:space="preserve"> </w:t>
      </w:r>
      <w:r w:rsidRPr="00DD07E1">
        <w:t xml:space="preserve">quality </w:t>
      </w:r>
      <w:r w:rsidRPr="007500E4">
        <w:t>of</w:t>
      </w:r>
      <w:r w:rsidRPr="00DD07E1">
        <w:t xml:space="preserve"> business affairs information </w:t>
      </w:r>
      <w:r w:rsidRPr="007500E4">
        <w:t>to</w:t>
      </w:r>
      <w:r w:rsidRPr="00DD07E1">
        <w:t xml:space="preserve"> the government</w:t>
      </w:r>
    </w:p>
    <w:p w14:paraId="24D7D84F" w14:textId="77777777" w:rsidR="00BB0A82" w:rsidRPr="007500E4" w:rsidRDefault="00BB0A82" w:rsidP="00AD2470">
      <w:pPr>
        <w:pStyle w:val="IndentBullet1"/>
        <w:ind w:left="993" w:hanging="426"/>
        <w:rPr>
          <w:sz w:val="16"/>
          <w:szCs w:val="16"/>
        </w:rPr>
      </w:pPr>
      <w:r w:rsidRPr="007500E4">
        <w:t>the</w:t>
      </w:r>
      <w:r w:rsidRPr="00DD07E1">
        <w:t xml:space="preserve"> reduction will prejudice the operations </w:t>
      </w:r>
      <w:r w:rsidRPr="007500E4">
        <w:t>of</w:t>
      </w:r>
      <w:r w:rsidRPr="00DD07E1">
        <w:t xml:space="preserve"> the agency.</w:t>
      </w:r>
      <w:r w:rsidRPr="007500E4">
        <w:rPr>
          <w:rStyle w:val="FootnoteReference"/>
        </w:rPr>
        <w:footnoteReference w:id="172"/>
      </w:r>
    </w:p>
    <w:p w14:paraId="0A10AB81" w14:textId="6418C7DB" w:rsidR="00BB0A82" w:rsidRPr="007500E4" w:rsidRDefault="00BB0A82" w:rsidP="00B73860">
      <w:pPr>
        <w:pStyle w:val="NumberedParagraphs"/>
        <w:ind w:left="567"/>
      </w:pPr>
      <w:r w:rsidRPr="007500E4">
        <w:t>There</w:t>
      </w:r>
      <w:r w:rsidRPr="00DD07E1">
        <w:t xml:space="preserve"> must </w:t>
      </w:r>
      <w:r w:rsidRPr="007500E4">
        <w:t>be</w:t>
      </w:r>
      <w:r w:rsidRPr="00DD07E1">
        <w:t xml:space="preserve"> </w:t>
      </w:r>
      <w:r w:rsidRPr="007500E4">
        <w:t>a</w:t>
      </w:r>
      <w:r w:rsidRPr="00DD07E1">
        <w:t xml:space="preserve"> reasonable likelihood</w:t>
      </w:r>
      <w:r w:rsidRPr="007500E4">
        <w:t xml:space="preserve"> </w:t>
      </w:r>
      <w:r w:rsidRPr="00DD07E1">
        <w:t>that disclosure w</w:t>
      </w:r>
      <w:r w:rsidR="001A1F49">
        <w:t>ill</w:t>
      </w:r>
      <w:r w:rsidRPr="007500E4">
        <w:t xml:space="preserve"> </w:t>
      </w:r>
      <w:r w:rsidRPr="00DD07E1">
        <w:t xml:space="preserve">result </w:t>
      </w:r>
      <w:r w:rsidRPr="007500E4">
        <w:t>in</w:t>
      </w:r>
      <w:r w:rsidRPr="00DD07E1">
        <w:t xml:space="preserve"> </w:t>
      </w:r>
      <w:r w:rsidRPr="007500E4">
        <w:t>a</w:t>
      </w:r>
      <w:r w:rsidRPr="00DD07E1">
        <w:t xml:space="preserve"> reduction in </w:t>
      </w:r>
      <w:r w:rsidR="00CD3614">
        <w:t>either</w:t>
      </w:r>
      <w:r w:rsidRPr="00DD07E1">
        <w:t xml:space="preserve"> </w:t>
      </w:r>
      <w:r w:rsidRPr="007500E4">
        <w:t>the</w:t>
      </w:r>
      <w:r w:rsidRPr="00DD07E1">
        <w:t xml:space="preserve"> quantity </w:t>
      </w:r>
      <w:r w:rsidR="00CD3614">
        <w:t>or</w:t>
      </w:r>
      <w:r w:rsidRPr="00DD07E1">
        <w:t xml:space="preserve"> quality of business information </w:t>
      </w:r>
      <w:r w:rsidRPr="007500E4">
        <w:t>flowing</w:t>
      </w:r>
      <w:r w:rsidRPr="00DD07E1">
        <w:t xml:space="preserve"> to the government.</w:t>
      </w:r>
      <w:r w:rsidRPr="007500E4">
        <w:rPr>
          <w:rStyle w:val="FootnoteReference"/>
        </w:rPr>
        <w:footnoteReference w:id="173"/>
      </w:r>
      <w:r w:rsidRPr="00DD07E1">
        <w:rPr>
          <w:position w:val="11"/>
          <w:sz w:val="16"/>
          <w:szCs w:val="16"/>
        </w:rPr>
        <w:t xml:space="preserve"> </w:t>
      </w:r>
      <w:r w:rsidR="00CD3614">
        <w:t xml:space="preserve"> I</w:t>
      </w:r>
      <w:r w:rsidRPr="007500E4">
        <w:t>n</w:t>
      </w:r>
      <w:r w:rsidRPr="00DD07E1">
        <w:t xml:space="preserve"> some</w:t>
      </w:r>
      <w:r w:rsidRPr="00DD07E1">
        <w:rPr>
          <w:w w:val="99"/>
        </w:rPr>
        <w:t xml:space="preserve"> </w:t>
      </w:r>
      <w:r w:rsidRPr="00DD07E1">
        <w:t xml:space="preserve">cases, disclosing the identity of the person providing the business information </w:t>
      </w:r>
      <w:r w:rsidRPr="007500E4">
        <w:t>may</w:t>
      </w:r>
      <w:r w:rsidRPr="00DD07E1">
        <w:t xml:space="preserve"> </w:t>
      </w:r>
      <w:r w:rsidRPr="007500E4">
        <w:t>be</w:t>
      </w:r>
      <w:r w:rsidRPr="00DD07E1">
        <w:rPr>
          <w:w w:val="99"/>
        </w:rPr>
        <w:t xml:space="preserve"> </w:t>
      </w:r>
      <w:r w:rsidRPr="00DD07E1">
        <w:t xml:space="preserve">sufficient </w:t>
      </w:r>
      <w:r w:rsidRPr="007500E4">
        <w:t>to</w:t>
      </w:r>
      <w:r w:rsidRPr="00DD07E1">
        <w:t xml:space="preserve"> prejudice the</w:t>
      </w:r>
      <w:r w:rsidRPr="007500E4">
        <w:t xml:space="preserve"> </w:t>
      </w:r>
      <w:r w:rsidRPr="00DD07E1">
        <w:t xml:space="preserve">future supply </w:t>
      </w:r>
      <w:r w:rsidRPr="007500E4">
        <w:t>of</w:t>
      </w:r>
      <w:r w:rsidRPr="00DD07E1">
        <w:t xml:space="preserve"> information</w:t>
      </w:r>
      <w:r w:rsidR="005C6AB5">
        <w:t>.</w:t>
      </w:r>
      <w:r w:rsidRPr="007500E4">
        <w:rPr>
          <w:rStyle w:val="FootnoteReference"/>
        </w:rPr>
        <w:footnoteReference w:id="174"/>
      </w:r>
      <w:r w:rsidRPr="001A1F49">
        <w:rPr>
          <w:position w:val="11"/>
          <w:sz w:val="16"/>
          <w:szCs w:val="16"/>
          <w:vertAlign w:val="superscript"/>
        </w:rPr>
        <w:t xml:space="preserve"> </w:t>
      </w:r>
      <w:r w:rsidR="001A1F49">
        <w:rPr>
          <w:rFonts w:cs="Calibri"/>
        </w:rPr>
        <w:t xml:space="preserve"> </w:t>
      </w:r>
      <w:r w:rsidRPr="00DD07E1">
        <w:rPr>
          <w:rFonts w:cs="Calibri"/>
        </w:rPr>
        <w:t xml:space="preserve">Disclosure of </w:t>
      </w:r>
      <w:r w:rsidRPr="007500E4">
        <w:rPr>
          <w:rFonts w:cs="Calibri"/>
        </w:rPr>
        <w:t>the</w:t>
      </w:r>
      <w:r w:rsidRPr="00DD07E1">
        <w:rPr>
          <w:rFonts w:cs="Calibri"/>
        </w:rPr>
        <w:t xml:space="preserve"> person’s identity </w:t>
      </w:r>
      <w:r w:rsidRPr="007500E4">
        <w:t>may</w:t>
      </w:r>
      <w:r w:rsidRPr="00DD07E1">
        <w:t xml:space="preserve"> </w:t>
      </w:r>
      <w:r w:rsidRPr="007500E4">
        <w:t>also</w:t>
      </w:r>
      <w:r w:rsidRPr="00DD07E1">
        <w:t xml:space="preserve"> be conditionally exempt under </w:t>
      </w:r>
      <w:r w:rsidRPr="007500E4">
        <w:t>s</w:t>
      </w:r>
      <w:r w:rsidRPr="00DD07E1">
        <w:t xml:space="preserve"> 47F (personal privacy). </w:t>
      </w:r>
      <w:r w:rsidRPr="007500E4">
        <w:t>In</w:t>
      </w:r>
      <w:r w:rsidRPr="00DD07E1">
        <w:t xml:space="preserve"> these cases,</w:t>
      </w:r>
      <w:r w:rsidRPr="00DD07E1">
        <w:rPr>
          <w:w w:val="99"/>
        </w:rPr>
        <w:t xml:space="preserve"> </w:t>
      </w:r>
      <w:r w:rsidRPr="00DD07E1">
        <w:t xml:space="preserve">consideration should be given to whether the information </w:t>
      </w:r>
      <w:r w:rsidRPr="007500E4">
        <w:t>may</w:t>
      </w:r>
      <w:r w:rsidRPr="00DD07E1">
        <w:t xml:space="preserve"> </w:t>
      </w:r>
      <w:r w:rsidRPr="007500E4">
        <w:t>be</w:t>
      </w:r>
      <w:r w:rsidRPr="00DD07E1">
        <w:t xml:space="preserve"> disclosed without also disclosing </w:t>
      </w:r>
      <w:r w:rsidRPr="007500E4">
        <w:t>the</w:t>
      </w:r>
      <w:r w:rsidRPr="00DD07E1">
        <w:t xml:space="preserve"> identity of </w:t>
      </w:r>
      <w:r w:rsidRPr="007500E4">
        <w:t>the</w:t>
      </w:r>
      <w:r w:rsidRPr="00DD07E1">
        <w:t xml:space="preserve"> person supplying </w:t>
      </w:r>
      <w:r w:rsidRPr="007500E4">
        <w:t>the</w:t>
      </w:r>
      <w:r w:rsidRPr="00DD07E1">
        <w:t xml:space="preserve"> information.</w:t>
      </w:r>
    </w:p>
    <w:p w14:paraId="3C901967" w14:textId="77777777" w:rsidR="00BB0A82" w:rsidRPr="00DD07E1" w:rsidRDefault="00BB0A82" w:rsidP="00B73860">
      <w:pPr>
        <w:pStyle w:val="NumberedParagraphs"/>
        <w:ind w:left="567"/>
        <w:rPr>
          <w:sz w:val="16"/>
          <w:szCs w:val="16"/>
        </w:rPr>
      </w:pPr>
      <w:r w:rsidRPr="007500E4">
        <w:t>Where</w:t>
      </w:r>
      <w:r w:rsidRPr="00DD07E1">
        <w:t xml:space="preserve"> the business information </w:t>
      </w:r>
      <w:r w:rsidRPr="007500E4">
        <w:t>in</w:t>
      </w:r>
      <w:r w:rsidRPr="00DD07E1">
        <w:t xml:space="preserve"> question can be obtained compulsorily, </w:t>
      </w:r>
      <w:r w:rsidRPr="007500E4">
        <w:t>or</w:t>
      </w:r>
      <w:r w:rsidRPr="00DD07E1">
        <w:t xml:space="preserve"> </w:t>
      </w:r>
      <w:r w:rsidRPr="007500E4">
        <w:t>is</w:t>
      </w:r>
      <w:r w:rsidRPr="00DD07E1">
        <w:t xml:space="preserve"> required </w:t>
      </w:r>
      <w:r w:rsidRPr="007500E4">
        <w:t>for</w:t>
      </w:r>
      <w:r w:rsidRPr="00DD07E1">
        <w:t xml:space="preserve"> some benefit </w:t>
      </w:r>
      <w:r w:rsidRPr="007500E4">
        <w:t>or</w:t>
      </w:r>
      <w:r w:rsidRPr="00DD07E1">
        <w:t xml:space="preserve"> grant, </w:t>
      </w:r>
      <w:r w:rsidRPr="007500E4">
        <w:t>no</w:t>
      </w:r>
      <w:r w:rsidRPr="00DD07E1">
        <w:t xml:space="preserve"> claim </w:t>
      </w:r>
      <w:r w:rsidRPr="007500E4">
        <w:t>of</w:t>
      </w:r>
      <w:r w:rsidRPr="00DD07E1">
        <w:t xml:space="preserve"> prejudice can </w:t>
      </w:r>
      <w:r w:rsidRPr="007500E4">
        <w:t>be</w:t>
      </w:r>
      <w:r w:rsidRPr="00DD07E1">
        <w:t xml:space="preserve"> made. </w:t>
      </w:r>
      <w:r w:rsidRPr="007500E4">
        <w:t>No</w:t>
      </w:r>
      <w:r w:rsidRPr="00DD07E1">
        <w:t xml:space="preserve"> prejudice will occur </w:t>
      </w:r>
      <w:r w:rsidRPr="007500E4">
        <w:t>if</w:t>
      </w:r>
      <w:r w:rsidRPr="00DD07E1">
        <w:t xml:space="preserve"> the information in </w:t>
      </w:r>
      <w:r w:rsidRPr="007500E4">
        <w:t>issue</w:t>
      </w:r>
      <w:r w:rsidRPr="00DD07E1">
        <w:t xml:space="preserve"> </w:t>
      </w:r>
      <w:r w:rsidRPr="007500E4">
        <w:t>is</w:t>
      </w:r>
      <w:r w:rsidRPr="00DD07E1">
        <w:t xml:space="preserve"> routine </w:t>
      </w:r>
      <w:r w:rsidRPr="007500E4">
        <w:t>or</w:t>
      </w:r>
      <w:r w:rsidRPr="00DD07E1">
        <w:t xml:space="preserve"> administrative (that </w:t>
      </w:r>
      <w:r w:rsidRPr="007500E4">
        <w:t>is,</w:t>
      </w:r>
      <w:r w:rsidRPr="00DD07E1">
        <w:t xml:space="preserve"> generated </w:t>
      </w:r>
      <w:r w:rsidRPr="007500E4">
        <w:t>as</w:t>
      </w:r>
      <w:r w:rsidRPr="00DD07E1">
        <w:t xml:space="preserve"> </w:t>
      </w:r>
      <w:r w:rsidRPr="007500E4">
        <w:t>a</w:t>
      </w:r>
      <w:r w:rsidRPr="00DD07E1">
        <w:t xml:space="preserve"> matter</w:t>
      </w:r>
      <w:r w:rsidRPr="00DD07E1">
        <w:rPr>
          <w:w w:val="99"/>
        </w:rPr>
        <w:t xml:space="preserve"> </w:t>
      </w:r>
      <w:r w:rsidRPr="007500E4">
        <w:t>of</w:t>
      </w:r>
      <w:r w:rsidRPr="00DD07E1">
        <w:t xml:space="preserve"> practice).</w:t>
      </w:r>
      <w:r w:rsidRPr="00DD07E1">
        <w:rPr>
          <w:rStyle w:val="FootnoteReference"/>
        </w:rPr>
        <w:footnoteReference w:id="175"/>
      </w:r>
    </w:p>
    <w:p w14:paraId="7F2B5E54" w14:textId="0613676E" w:rsidR="00BB0A82" w:rsidRPr="007500E4" w:rsidRDefault="00BB0A82" w:rsidP="00B73860">
      <w:pPr>
        <w:pStyle w:val="NumberedParagraphs"/>
        <w:ind w:left="567"/>
        <w:rPr>
          <w:sz w:val="16"/>
          <w:szCs w:val="16"/>
        </w:rPr>
      </w:pPr>
      <w:r w:rsidRPr="007500E4">
        <w:t>The agency will usually be best placed to identify, and be concerned about</w:t>
      </w:r>
      <w:r w:rsidR="00472B3A">
        <w:t>,</w:t>
      </w:r>
      <w:r w:rsidRPr="007500E4">
        <w:t xml:space="preserve"> the circumstances where the disclosure of documents might reasonably be expected to prejudice the future supply of information to it.</w:t>
      </w:r>
      <w:r w:rsidRPr="007500E4">
        <w:rPr>
          <w:rStyle w:val="FootnoteReference"/>
        </w:rPr>
        <w:footnoteReference w:id="176"/>
      </w:r>
    </w:p>
    <w:p w14:paraId="3DCEBB85" w14:textId="77777777" w:rsidR="00BB0A82" w:rsidRPr="00C12426" w:rsidRDefault="00BB0A82" w:rsidP="002813D6">
      <w:pPr>
        <w:pStyle w:val="Heading3"/>
      </w:pPr>
      <w:bookmarkStart w:id="253" w:name="Consultation"/>
      <w:bookmarkStart w:id="254" w:name="_bookmark66"/>
      <w:bookmarkStart w:id="255" w:name="_Toc11154519"/>
      <w:bookmarkStart w:id="256" w:name="_Toc141875246"/>
      <w:bookmarkEnd w:id="253"/>
      <w:bookmarkEnd w:id="254"/>
      <w:r w:rsidRPr="00C12426">
        <w:t>Consultation</w:t>
      </w:r>
      <w:bookmarkEnd w:id="255"/>
      <w:bookmarkEnd w:id="256"/>
    </w:p>
    <w:p w14:paraId="3EFCB2A9" w14:textId="0C2449F0" w:rsidR="00BB0A82" w:rsidRPr="007500E4" w:rsidRDefault="00BB0A82" w:rsidP="00B73860">
      <w:pPr>
        <w:pStyle w:val="NumberedParagraphs"/>
        <w:ind w:left="567"/>
      </w:pPr>
      <w:bookmarkStart w:id="257" w:name="_bookmark67"/>
      <w:bookmarkStart w:id="258" w:name="_Ref457563259"/>
      <w:bookmarkEnd w:id="257"/>
      <w:r w:rsidRPr="007500E4">
        <w:t>Where</w:t>
      </w:r>
      <w:r w:rsidRPr="00DD07E1">
        <w:t xml:space="preserve"> </w:t>
      </w:r>
      <w:r w:rsidRPr="007500E4">
        <w:t>a</w:t>
      </w:r>
      <w:r w:rsidRPr="00DD07E1">
        <w:t xml:space="preserve"> document includes business information relating </w:t>
      </w:r>
      <w:r w:rsidRPr="007500E4">
        <w:t>to</w:t>
      </w:r>
      <w:r w:rsidRPr="00DD07E1">
        <w:t xml:space="preserve"> </w:t>
      </w:r>
      <w:r w:rsidRPr="007500E4">
        <w:t>a</w:t>
      </w:r>
      <w:r w:rsidRPr="00DD07E1">
        <w:t xml:space="preserve"> person, organisation </w:t>
      </w:r>
      <w:r w:rsidRPr="007500E4">
        <w:t>or</w:t>
      </w:r>
      <w:r w:rsidRPr="00DD07E1">
        <w:t xml:space="preserve"> undertaking other than the </w:t>
      </w:r>
      <w:r w:rsidR="006F20AF">
        <w:t xml:space="preserve">FOI </w:t>
      </w:r>
      <w:r w:rsidRPr="00DD07E1">
        <w:t xml:space="preserve">applicant, </w:t>
      </w:r>
      <w:r w:rsidRPr="007500E4">
        <w:t>an</w:t>
      </w:r>
      <w:r w:rsidRPr="00DD07E1">
        <w:t xml:space="preserve"> agency </w:t>
      </w:r>
      <w:r w:rsidRPr="007500E4">
        <w:t>or</w:t>
      </w:r>
      <w:r w:rsidRPr="00DD07E1">
        <w:t xml:space="preserve"> minister should give that individual </w:t>
      </w:r>
      <w:r w:rsidRPr="007500E4">
        <w:t>or</w:t>
      </w:r>
      <w:r w:rsidRPr="00DD07E1">
        <w:rPr>
          <w:w w:val="99"/>
        </w:rPr>
        <w:t xml:space="preserve"> </w:t>
      </w:r>
      <w:r w:rsidRPr="00DD07E1">
        <w:t xml:space="preserve">organisation (the third party) </w:t>
      </w:r>
      <w:r w:rsidRPr="007500E4">
        <w:t>a</w:t>
      </w:r>
      <w:r w:rsidRPr="00DD07E1">
        <w:t xml:space="preserve"> reasonable opportunity </w:t>
      </w:r>
      <w:r w:rsidRPr="007500E4">
        <w:t>to</w:t>
      </w:r>
      <w:r w:rsidRPr="00DD07E1">
        <w:t xml:space="preserve"> make </w:t>
      </w:r>
      <w:r w:rsidRPr="007500E4">
        <w:t>a</w:t>
      </w:r>
      <w:r w:rsidRPr="00DD07E1">
        <w:t xml:space="preserve"> submission that </w:t>
      </w:r>
      <w:r w:rsidRPr="007500E4">
        <w:t>the</w:t>
      </w:r>
      <w:r w:rsidRPr="00DD07E1">
        <w:rPr>
          <w:w w:val="99"/>
        </w:rPr>
        <w:t xml:space="preserve"> </w:t>
      </w:r>
      <w:r w:rsidRPr="00DD07E1">
        <w:t xml:space="preserve">document </w:t>
      </w:r>
      <w:r w:rsidR="006F20AF">
        <w:t xml:space="preserve">is </w:t>
      </w:r>
      <w:r w:rsidRPr="00DD07E1">
        <w:t xml:space="preserve">exempt </w:t>
      </w:r>
      <w:r w:rsidRPr="007500E4">
        <w:t>from</w:t>
      </w:r>
      <w:r w:rsidRPr="00DD07E1">
        <w:t xml:space="preserve"> disclosure under </w:t>
      </w:r>
      <w:r w:rsidRPr="007500E4">
        <w:t>s</w:t>
      </w:r>
      <w:r w:rsidRPr="00DD07E1">
        <w:t xml:space="preserve"> 47 (trade secrets) or conditionally </w:t>
      </w:r>
      <w:r w:rsidRPr="007500E4">
        <w:t>exempt</w:t>
      </w:r>
      <w:r w:rsidRPr="00DD07E1">
        <w:t xml:space="preserve"> under </w:t>
      </w:r>
      <w:r w:rsidRPr="007500E4">
        <w:t>s</w:t>
      </w:r>
      <w:r w:rsidRPr="00DD07E1">
        <w:t xml:space="preserve"> 47G</w:t>
      </w:r>
      <w:r w:rsidR="00394F6C">
        <w:t>,</w:t>
      </w:r>
      <w:r w:rsidRPr="00DD07E1">
        <w:t xml:space="preserve"> and that</w:t>
      </w:r>
      <w:r w:rsidRPr="007500E4">
        <w:t xml:space="preserve"> </w:t>
      </w:r>
      <w:r w:rsidRPr="00DD07E1">
        <w:t xml:space="preserve">disclosure would </w:t>
      </w:r>
      <w:r w:rsidRPr="007500E4">
        <w:t>be</w:t>
      </w:r>
      <w:r w:rsidRPr="00DD07E1">
        <w:t xml:space="preserve"> contrary </w:t>
      </w:r>
      <w:r w:rsidRPr="007500E4">
        <w:t>to</w:t>
      </w:r>
      <w:r w:rsidRPr="00DD07E1">
        <w:t xml:space="preserve"> the public </w:t>
      </w:r>
      <w:r w:rsidRPr="007500E4">
        <w:t>interest,</w:t>
      </w:r>
      <w:r w:rsidRPr="00DD07E1">
        <w:t xml:space="preserve"> before</w:t>
      </w:r>
      <w:r w:rsidRPr="00DD07E1">
        <w:rPr>
          <w:w w:val="99"/>
        </w:rPr>
        <w:t xml:space="preserve"> </w:t>
      </w:r>
      <w:r w:rsidRPr="00DD07E1">
        <w:t xml:space="preserve">making </w:t>
      </w:r>
      <w:r w:rsidRPr="007500E4">
        <w:t>a</w:t>
      </w:r>
      <w:r w:rsidRPr="00DD07E1">
        <w:t xml:space="preserve"> </w:t>
      </w:r>
      <w:r w:rsidRPr="007500E4">
        <w:t>decision</w:t>
      </w:r>
      <w:r w:rsidRPr="00DD07E1">
        <w:t xml:space="preserve"> </w:t>
      </w:r>
      <w:r w:rsidRPr="007500E4">
        <w:t>to</w:t>
      </w:r>
      <w:r w:rsidRPr="00DD07E1">
        <w:t xml:space="preserve"> give access (s 27).</w:t>
      </w:r>
      <w:bookmarkEnd w:id="258"/>
    </w:p>
    <w:p w14:paraId="7F5ED2F6" w14:textId="77777777" w:rsidR="00BB0A82" w:rsidRPr="007500E4" w:rsidRDefault="00BB0A82" w:rsidP="00B73860">
      <w:pPr>
        <w:pStyle w:val="NumberedParagraphs"/>
        <w:ind w:left="567"/>
      </w:pPr>
      <w:r w:rsidRPr="00DD07E1">
        <w:t xml:space="preserve">For the purposes </w:t>
      </w:r>
      <w:r w:rsidRPr="007500E4">
        <w:t>of</w:t>
      </w:r>
      <w:r w:rsidRPr="00DD07E1">
        <w:t xml:space="preserve"> consulting </w:t>
      </w:r>
      <w:r w:rsidRPr="007500E4">
        <w:t>a</w:t>
      </w:r>
      <w:r w:rsidRPr="00DD07E1">
        <w:t xml:space="preserve"> third </w:t>
      </w:r>
      <w:r w:rsidRPr="007500E4">
        <w:t>party,</w:t>
      </w:r>
      <w:r w:rsidRPr="00DD07E1">
        <w:t xml:space="preserve"> business information means:</w:t>
      </w:r>
    </w:p>
    <w:p w14:paraId="73D011D6" w14:textId="2FD30697" w:rsidR="00BB0A82" w:rsidRPr="007500E4" w:rsidRDefault="00BB0A82" w:rsidP="00AD2470">
      <w:pPr>
        <w:pStyle w:val="List"/>
        <w:numPr>
          <w:ilvl w:val="0"/>
          <w:numId w:val="54"/>
        </w:numPr>
        <w:ind w:left="993" w:hanging="426"/>
      </w:pPr>
      <w:r w:rsidRPr="00DD07E1">
        <w:t xml:space="preserve">information about </w:t>
      </w:r>
      <w:r w:rsidRPr="007500E4">
        <w:t>an</w:t>
      </w:r>
      <w:r w:rsidRPr="00DD07E1">
        <w:t xml:space="preserve"> individual</w:t>
      </w:r>
      <w:r w:rsidR="00A11E70">
        <w:t>’</w:t>
      </w:r>
      <w:r w:rsidRPr="00DD07E1">
        <w:t>s business</w:t>
      </w:r>
      <w:r w:rsidRPr="007500E4">
        <w:t xml:space="preserve"> or</w:t>
      </w:r>
      <w:r w:rsidRPr="00DD07E1">
        <w:t xml:space="preserve"> professional</w:t>
      </w:r>
      <w:r w:rsidRPr="007500E4">
        <w:t xml:space="preserve"> </w:t>
      </w:r>
      <w:r w:rsidRPr="00DD07E1">
        <w:t>affairs</w:t>
      </w:r>
    </w:p>
    <w:p w14:paraId="1049434B" w14:textId="77777777" w:rsidR="00BB0A82" w:rsidRPr="007500E4" w:rsidRDefault="00BB0A82" w:rsidP="00AD2470">
      <w:pPr>
        <w:pStyle w:val="List"/>
        <w:numPr>
          <w:ilvl w:val="0"/>
          <w:numId w:val="54"/>
        </w:numPr>
        <w:ind w:left="993" w:hanging="426"/>
      </w:pPr>
      <w:r w:rsidRPr="00DD07E1">
        <w:t>information about the business, commercial or financial affairs of an organisation</w:t>
      </w:r>
      <w:r w:rsidRPr="007500E4">
        <w:t xml:space="preserve"> </w:t>
      </w:r>
      <w:r w:rsidRPr="00DD07E1">
        <w:t>or</w:t>
      </w:r>
      <w:r w:rsidRPr="00C12426">
        <w:rPr>
          <w:w w:val="99"/>
        </w:rPr>
        <w:t xml:space="preserve"> </w:t>
      </w:r>
      <w:r w:rsidRPr="00DD07E1">
        <w:t>undertaking (s 47G(2)).</w:t>
      </w:r>
    </w:p>
    <w:p w14:paraId="65A75428" w14:textId="30A9D5F3" w:rsidR="00BB0A82" w:rsidRPr="007500E4" w:rsidRDefault="00BB0A82" w:rsidP="00B73860">
      <w:pPr>
        <w:pStyle w:val="NumberedParagraphs"/>
        <w:ind w:left="567"/>
      </w:pPr>
      <w:r w:rsidRPr="00DD07E1">
        <w:lastRenderedPageBreak/>
        <w:t xml:space="preserve">Because the requirement to consult covers </w:t>
      </w:r>
      <w:r w:rsidRPr="007500E4">
        <w:t>a</w:t>
      </w:r>
      <w:r w:rsidRPr="00DD07E1">
        <w:t xml:space="preserve"> third party who </w:t>
      </w:r>
      <w:r w:rsidRPr="007500E4">
        <w:t>may</w:t>
      </w:r>
      <w:r w:rsidRPr="00DD07E1">
        <w:t xml:space="preserve"> wish </w:t>
      </w:r>
      <w:r w:rsidRPr="007500E4">
        <w:t>to</w:t>
      </w:r>
      <w:r w:rsidRPr="00DD07E1">
        <w:t xml:space="preserve"> contend that </w:t>
      </w:r>
      <w:r w:rsidRPr="007500E4">
        <w:t>a</w:t>
      </w:r>
      <w:r w:rsidRPr="00DD07E1">
        <w:t xml:space="preserve"> document </w:t>
      </w:r>
      <w:r w:rsidRPr="007500E4">
        <w:t>is</w:t>
      </w:r>
      <w:r w:rsidRPr="00DD07E1">
        <w:t xml:space="preserve"> exempt under </w:t>
      </w:r>
      <w:r w:rsidRPr="007500E4">
        <w:t>s</w:t>
      </w:r>
      <w:r w:rsidRPr="00DD07E1">
        <w:t xml:space="preserve"> </w:t>
      </w:r>
      <w:r w:rsidRPr="007500E4">
        <w:t>47</w:t>
      </w:r>
      <w:r w:rsidRPr="00DD07E1">
        <w:t xml:space="preserve"> </w:t>
      </w:r>
      <w:r w:rsidRPr="007500E4">
        <w:t>as</w:t>
      </w:r>
      <w:r w:rsidRPr="00DD07E1">
        <w:t xml:space="preserve"> well </w:t>
      </w:r>
      <w:r w:rsidRPr="007500E4">
        <w:t>as</w:t>
      </w:r>
      <w:r w:rsidRPr="00DD07E1">
        <w:t xml:space="preserve"> </w:t>
      </w:r>
      <w:r w:rsidRPr="007500E4">
        <w:t>s</w:t>
      </w:r>
      <w:r w:rsidRPr="00DD07E1">
        <w:t xml:space="preserve"> </w:t>
      </w:r>
      <w:r w:rsidRPr="007500E4">
        <w:t>47G,</w:t>
      </w:r>
      <w:r w:rsidRPr="00DD07E1">
        <w:t xml:space="preserve"> business information includes</w:t>
      </w:r>
      <w:r w:rsidRPr="00DD07E1">
        <w:rPr>
          <w:w w:val="99"/>
        </w:rPr>
        <w:t xml:space="preserve"> </w:t>
      </w:r>
      <w:r w:rsidRPr="00DD07E1">
        <w:t xml:space="preserve">information about trade secrets and any business information the value </w:t>
      </w:r>
      <w:r w:rsidRPr="007500E4">
        <w:t>of</w:t>
      </w:r>
      <w:r w:rsidRPr="00DD07E1">
        <w:t xml:space="preserve"> which would </w:t>
      </w:r>
      <w:r w:rsidRPr="007500E4">
        <w:t>be</w:t>
      </w:r>
      <w:r w:rsidRPr="00DD07E1">
        <w:rPr>
          <w:w w:val="99"/>
        </w:rPr>
        <w:t xml:space="preserve"> </w:t>
      </w:r>
      <w:r w:rsidRPr="00DD07E1">
        <w:t xml:space="preserve">destroyed </w:t>
      </w:r>
      <w:r w:rsidRPr="007500E4">
        <w:t>or</w:t>
      </w:r>
      <w:r w:rsidRPr="00DD07E1">
        <w:t xml:space="preserve"> diminished </w:t>
      </w:r>
      <w:r w:rsidRPr="007500E4">
        <w:t>if</w:t>
      </w:r>
      <w:r w:rsidRPr="00DD07E1">
        <w:t xml:space="preserve"> disclosed. See Part </w:t>
      </w:r>
      <w:r w:rsidRPr="007500E4">
        <w:t>5</w:t>
      </w:r>
      <w:r w:rsidRPr="00DD07E1">
        <w:t xml:space="preserve"> </w:t>
      </w:r>
      <w:r w:rsidR="006F20AF">
        <w:t xml:space="preserve">of these Guidelines </w:t>
      </w:r>
      <w:r w:rsidRPr="007500E4">
        <w:t>for</w:t>
      </w:r>
      <w:r w:rsidRPr="00DD07E1">
        <w:t xml:space="preserve"> further guidance on </w:t>
      </w:r>
      <w:r w:rsidRPr="007500E4">
        <w:t>the</w:t>
      </w:r>
      <w:r w:rsidRPr="00DD07E1">
        <w:t xml:space="preserve"> application</w:t>
      </w:r>
      <w:r w:rsidRPr="007500E4">
        <w:t xml:space="preserve"> </w:t>
      </w:r>
      <w:r w:rsidRPr="00DD07E1">
        <w:t>of</w:t>
      </w:r>
      <w:r w:rsidRPr="007500E4">
        <w:t xml:space="preserve"> s</w:t>
      </w:r>
      <w:r>
        <w:t> </w:t>
      </w:r>
      <w:r w:rsidRPr="007500E4">
        <w:t>47.</w:t>
      </w:r>
    </w:p>
    <w:p w14:paraId="5F548069" w14:textId="77777777" w:rsidR="00BB0A82" w:rsidRPr="007500E4" w:rsidRDefault="00BB0A82" w:rsidP="00B73860">
      <w:pPr>
        <w:pStyle w:val="NumberedParagraphs"/>
        <w:ind w:left="567"/>
      </w:pPr>
      <w:r w:rsidRPr="00DD07E1">
        <w:t>Consultation should occur where:</w:t>
      </w:r>
    </w:p>
    <w:p w14:paraId="47CF1BFA" w14:textId="74E557E5" w:rsidR="00BB0A82" w:rsidRPr="007500E4" w:rsidRDefault="00BB0A82" w:rsidP="00AD2470">
      <w:pPr>
        <w:pStyle w:val="List"/>
        <w:numPr>
          <w:ilvl w:val="0"/>
          <w:numId w:val="55"/>
        </w:numPr>
        <w:ind w:left="993" w:hanging="426"/>
      </w:pPr>
      <w:r w:rsidRPr="007500E4">
        <w:t>it</w:t>
      </w:r>
      <w:r w:rsidRPr="00DD07E1">
        <w:t xml:space="preserve"> </w:t>
      </w:r>
      <w:r w:rsidRPr="007500E4">
        <w:t>is</w:t>
      </w:r>
      <w:r w:rsidRPr="00DD07E1">
        <w:t xml:space="preserve"> reasonably practicable. </w:t>
      </w:r>
      <w:r w:rsidRPr="007500E4">
        <w:t>This</w:t>
      </w:r>
      <w:r w:rsidRPr="00DD07E1">
        <w:t xml:space="preserve"> will depend on all the circumstances</w:t>
      </w:r>
      <w:r w:rsidR="00D06DC7">
        <w:t>,</w:t>
      </w:r>
      <w:r w:rsidRPr="00DD07E1">
        <w:t xml:space="preserve"> including </w:t>
      </w:r>
      <w:r w:rsidRPr="007500E4">
        <w:t>the</w:t>
      </w:r>
      <w:r w:rsidRPr="00C12426">
        <w:rPr>
          <w:w w:val="99"/>
        </w:rPr>
        <w:t xml:space="preserve"> </w:t>
      </w:r>
      <w:r w:rsidRPr="007500E4">
        <w:t>time</w:t>
      </w:r>
      <w:r w:rsidRPr="00DD07E1">
        <w:t xml:space="preserve"> limits </w:t>
      </w:r>
      <w:r w:rsidRPr="007500E4">
        <w:t>for</w:t>
      </w:r>
      <w:r w:rsidRPr="00DD07E1">
        <w:t xml:space="preserve"> processing the </w:t>
      </w:r>
      <w:r w:rsidR="00D06DC7">
        <w:t xml:space="preserve">FOI </w:t>
      </w:r>
      <w:r w:rsidRPr="00DD07E1">
        <w:t xml:space="preserve">request (s 27(5)). </w:t>
      </w:r>
      <w:r w:rsidRPr="007500E4">
        <w:t>For</w:t>
      </w:r>
      <w:r w:rsidRPr="00DD07E1">
        <w:t xml:space="preserve"> example, it </w:t>
      </w:r>
      <w:r w:rsidRPr="007500E4">
        <w:t>may</w:t>
      </w:r>
      <w:r w:rsidRPr="00DD07E1">
        <w:t xml:space="preserve"> not be</w:t>
      </w:r>
      <w:r w:rsidRPr="00C12426">
        <w:rPr>
          <w:w w:val="99"/>
        </w:rPr>
        <w:t xml:space="preserve"> </w:t>
      </w:r>
      <w:r w:rsidRPr="00DD07E1">
        <w:t xml:space="preserve">reasonably practicable </w:t>
      </w:r>
      <w:r w:rsidRPr="007500E4">
        <w:t>if</w:t>
      </w:r>
      <w:r w:rsidRPr="00DD07E1">
        <w:t xml:space="preserve"> </w:t>
      </w:r>
      <w:r w:rsidRPr="007500E4">
        <w:t>the</w:t>
      </w:r>
      <w:r w:rsidRPr="00DD07E1">
        <w:t xml:space="preserve"> </w:t>
      </w:r>
      <w:r w:rsidRPr="007500E4">
        <w:t>agency</w:t>
      </w:r>
      <w:r w:rsidRPr="00DD07E1">
        <w:t xml:space="preserve"> cannot locate the third party in </w:t>
      </w:r>
      <w:r w:rsidRPr="007500E4">
        <w:t>a</w:t>
      </w:r>
      <w:r w:rsidRPr="00DD07E1">
        <w:t xml:space="preserve"> timely </w:t>
      </w:r>
      <w:r w:rsidRPr="007500E4">
        <w:t>and</w:t>
      </w:r>
      <w:r w:rsidRPr="00DD07E1">
        <w:t xml:space="preserve"> effective way.</w:t>
      </w:r>
      <w:r w:rsidR="00C4474C">
        <w:rPr>
          <w:rStyle w:val="FootnoteReference"/>
        </w:rPr>
        <w:footnoteReference w:id="177"/>
      </w:r>
    </w:p>
    <w:p w14:paraId="6F712BDF" w14:textId="0D3626FC" w:rsidR="00BB0A82" w:rsidRPr="007500E4" w:rsidRDefault="00BB0A82" w:rsidP="00AD2470">
      <w:pPr>
        <w:pStyle w:val="List"/>
        <w:numPr>
          <w:ilvl w:val="0"/>
          <w:numId w:val="55"/>
        </w:numPr>
        <w:ind w:left="993" w:hanging="426"/>
      </w:pPr>
      <w:r w:rsidRPr="007500E4">
        <w:t>it</w:t>
      </w:r>
      <w:r w:rsidRPr="00DD07E1">
        <w:t xml:space="preserve"> appears </w:t>
      </w:r>
      <w:r w:rsidRPr="007500E4">
        <w:t>to</w:t>
      </w:r>
      <w:r w:rsidRPr="00DD07E1">
        <w:t xml:space="preserve"> the </w:t>
      </w:r>
      <w:r w:rsidRPr="007500E4">
        <w:t>agency</w:t>
      </w:r>
      <w:r w:rsidRPr="00DD07E1">
        <w:t xml:space="preserve"> </w:t>
      </w:r>
      <w:r w:rsidRPr="007500E4">
        <w:t>or</w:t>
      </w:r>
      <w:r w:rsidRPr="00DD07E1">
        <w:t xml:space="preserve"> minister that the third party might reasonably wish </w:t>
      </w:r>
      <w:r w:rsidRPr="007500E4">
        <w:t>to</w:t>
      </w:r>
      <w:r w:rsidRPr="00DD07E1">
        <w:t xml:space="preserve"> make </w:t>
      </w:r>
      <w:r w:rsidRPr="007500E4">
        <w:t>a</w:t>
      </w:r>
      <w:r w:rsidRPr="00DD07E1">
        <w:t xml:space="preserve"> submission that the document </w:t>
      </w:r>
      <w:r w:rsidR="00D06DC7">
        <w:t>is</w:t>
      </w:r>
      <w:r w:rsidRPr="00DD07E1">
        <w:t xml:space="preserve"> </w:t>
      </w:r>
      <w:r w:rsidRPr="007500E4">
        <w:t>exempt</w:t>
      </w:r>
      <w:r w:rsidRPr="00DD07E1">
        <w:t xml:space="preserve"> from disclosure under</w:t>
      </w:r>
      <w:r w:rsidRPr="00D06DC7">
        <w:t xml:space="preserve"> </w:t>
      </w:r>
      <w:r w:rsidRPr="00DD07E1">
        <w:t xml:space="preserve">either </w:t>
      </w:r>
      <w:r w:rsidRPr="007500E4">
        <w:t>s</w:t>
      </w:r>
      <w:r w:rsidRPr="00DD07E1">
        <w:t xml:space="preserve"> </w:t>
      </w:r>
      <w:r w:rsidRPr="007500E4">
        <w:t>47</w:t>
      </w:r>
      <w:r w:rsidRPr="00DD07E1">
        <w:t xml:space="preserve"> </w:t>
      </w:r>
      <w:r w:rsidRPr="007500E4">
        <w:t>or</w:t>
      </w:r>
      <w:r w:rsidRPr="00DD07E1">
        <w:t xml:space="preserve"> </w:t>
      </w:r>
      <w:r w:rsidRPr="007500E4">
        <w:t>s</w:t>
      </w:r>
      <w:r w:rsidRPr="00DD07E1">
        <w:t xml:space="preserve"> </w:t>
      </w:r>
      <w:r w:rsidRPr="007500E4">
        <w:t>47G</w:t>
      </w:r>
      <w:r w:rsidRPr="00DD07E1">
        <w:t xml:space="preserve"> having regard </w:t>
      </w:r>
      <w:r w:rsidRPr="007500E4">
        <w:t>to:</w:t>
      </w:r>
    </w:p>
    <w:p w14:paraId="63ACF2FC" w14:textId="77777777" w:rsidR="00BB0A82" w:rsidRPr="007500E4" w:rsidRDefault="00BB0A82" w:rsidP="00AD2470">
      <w:pPr>
        <w:pStyle w:val="IndentBullet2"/>
        <w:ind w:left="1276" w:hanging="283"/>
      </w:pPr>
      <w:r w:rsidRPr="007500E4">
        <w:t>the</w:t>
      </w:r>
      <w:r w:rsidRPr="00DD07E1">
        <w:t xml:space="preserve"> extent </w:t>
      </w:r>
      <w:r w:rsidRPr="007500E4">
        <w:t>to</w:t>
      </w:r>
      <w:r w:rsidRPr="00DD07E1">
        <w:t xml:space="preserve"> which the information </w:t>
      </w:r>
      <w:r w:rsidRPr="007500E4">
        <w:t>is</w:t>
      </w:r>
      <w:r w:rsidRPr="00DD07E1">
        <w:t xml:space="preserve"> well known</w:t>
      </w:r>
    </w:p>
    <w:p w14:paraId="7CF299D1" w14:textId="77777777" w:rsidR="00BB0A82" w:rsidRPr="007500E4" w:rsidRDefault="00BB0A82" w:rsidP="00AD2470">
      <w:pPr>
        <w:pStyle w:val="IndentBullet2"/>
        <w:ind w:left="1276" w:hanging="283"/>
      </w:pPr>
      <w:r w:rsidRPr="00DD07E1">
        <w:t xml:space="preserve">whether the person </w:t>
      </w:r>
      <w:r w:rsidRPr="007500E4">
        <w:t>to</w:t>
      </w:r>
      <w:r w:rsidRPr="00DD07E1">
        <w:t xml:space="preserve"> whom </w:t>
      </w:r>
      <w:r w:rsidRPr="007500E4">
        <w:t>the</w:t>
      </w:r>
      <w:r w:rsidRPr="00DD07E1">
        <w:t xml:space="preserve"> information relates </w:t>
      </w:r>
      <w:r w:rsidRPr="007500E4">
        <w:t>is</w:t>
      </w:r>
      <w:r w:rsidRPr="00DD07E1">
        <w:t xml:space="preserve"> known </w:t>
      </w:r>
      <w:r w:rsidRPr="007500E4">
        <w:t>to</w:t>
      </w:r>
      <w:r w:rsidRPr="00DD07E1">
        <w:t xml:space="preserve"> </w:t>
      </w:r>
      <w:r w:rsidRPr="007500E4">
        <w:t>be</w:t>
      </w:r>
      <w:r w:rsidRPr="00DD07E1">
        <w:t xml:space="preserve"> (or to </w:t>
      </w:r>
      <w:r w:rsidRPr="007500E4">
        <w:t>have</w:t>
      </w:r>
      <w:r w:rsidRPr="00DD07E1">
        <w:rPr>
          <w:w w:val="99"/>
        </w:rPr>
        <w:t xml:space="preserve"> </w:t>
      </w:r>
      <w:r w:rsidRPr="007500E4">
        <w:t>been)</w:t>
      </w:r>
      <w:r w:rsidRPr="00DD07E1">
        <w:t xml:space="preserve"> associated with the matters dealt with in the information</w:t>
      </w:r>
    </w:p>
    <w:p w14:paraId="0203D2D4" w14:textId="77777777" w:rsidR="00BB0A82" w:rsidRPr="007500E4" w:rsidRDefault="00BB0A82" w:rsidP="00AD2470">
      <w:pPr>
        <w:pStyle w:val="IndentBullet2"/>
        <w:ind w:left="1276" w:hanging="283"/>
      </w:pPr>
      <w:r w:rsidRPr="00DD07E1">
        <w:t xml:space="preserve">whether the information </w:t>
      </w:r>
      <w:r w:rsidRPr="007500E4">
        <w:t>is</w:t>
      </w:r>
      <w:r w:rsidRPr="00DD07E1">
        <w:t xml:space="preserve"> publicly available, </w:t>
      </w:r>
      <w:r w:rsidRPr="007500E4">
        <w:t>and</w:t>
      </w:r>
    </w:p>
    <w:p w14:paraId="67BBB1B5" w14:textId="77777777" w:rsidR="00BB0A82" w:rsidRPr="007500E4" w:rsidRDefault="00BB0A82" w:rsidP="00AD2470">
      <w:pPr>
        <w:pStyle w:val="IndentBullet2"/>
        <w:ind w:left="1276" w:hanging="283"/>
      </w:pPr>
      <w:r w:rsidRPr="007500E4">
        <w:t>any</w:t>
      </w:r>
      <w:r w:rsidRPr="00DD07E1">
        <w:t xml:space="preserve"> other relevant matters (s 27(3)).</w:t>
      </w:r>
    </w:p>
    <w:p w14:paraId="269D4A6B" w14:textId="7182592D" w:rsidR="00BB0A82" w:rsidRPr="007500E4" w:rsidRDefault="00BB0A82" w:rsidP="00B73860">
      <w:pPr>
        <w:pStyle w:val="NumberedParagraphs"/>
        <w:ind w:left="567"/>
      </w:pPr>
      <w:r w:rsidRPr="007500E4">
        <w:t>Agencies</w:t>
      </w:r>
      <w:r w:rsidRPr="00DD07E1">
        <w:t xml:space="preserve"> and ministers</w:t>
      </w:r>
      <w:r w:rsidRPr="007500E4">
        <w:t xml:space="preserve"> </w:t>
      </w:r>
      <w:r w:rsidRPr="00DD07E1">
        <w:t>should</w:t>
      </w:r>
      <w:r w:rsidRPr="007500E4">
        <w:t xml:space="preserve"> </w:t>
      </w:r>
      <w:r w:rsidRPr="00DD07E1">
        <w:t xml:space="preserve">generally start from the position that </w:t>
      </w:r>
      <w:r w:rsidRPr="007500E4">
        <w:t>a</w:t>
      </w:r>
      <w:r w:rsidRPr="00DD07E1">
        <w:t xml:space="preserve"> third party</w:t>
      </w:r>
      <w:r w:rsidRPr="00DD07E1">
        <w:rPr>
          <w:w w:val="99"/>
        </w:rPr>
        <w:t xml:space="preserve"> </w:t>
      </w:r>
      <w:r w:rsidRPr="007500E4">
        <w:t>might</w:t>
      </w:r>
      <w:r w:rsidRPr="00DD07E1">
        <w:t xml:space="preserve"> reasonably wish </w:t>
      </w:r>
      <w:r w:rsidRPr="007500E4">
        <w:t>to</w:t>
      </w:r>
      <w:r w:rsidRPr="00DD07E1">
        <w:t xml:space="preserve"> make </w:t>
      </w:r>
      <w:r w:rsidRPr="007500E4">
        <w:t>a</w:t>
      </w:r>
      <w:r w:rsidR="003F0521">
        <w:t>n exemption contention</w:t>
      </w:r>
      <w:r w:rsidRPr="00DD07E1">
        <w:t xml:space="preserve">. This </w:t>
      </w:r>
      <w:r w:rsidRPr="007500E4">
        <w:t>is</w:t>
      </w:r>
      <w:r w:rsidRPr="00DD07E1">
        <w:t xml:space="preserve"> because </w:t>
      </w:r>
      <w:r w:rsidRPr="007500E4">
        <w:t>the</w:t>
      </w:r>
      <w:r w:rsidRPr="00DD07E1">
        <w:t xml:space="preserve"> third party </w:t>
      </w:r>
      <w:r w:rsidRPr="007500E4">
        <w:t>may</w:t>
      </w:r>
      <w:r w:rsidRPr="00DD07E1">
        <w:t xml:space="preserve"> bring to </w:t>
      </w:r>
      <w:r w:rsidRPr="007500E4">
        <w:rPr>
          <w:rFonts w:cs="Calibri"/>
        </w:rPr>
        <w:t>the</w:t>
      </w:r>
      <w:r w:rsidRPr="00DD07E1">
        <w:rPr>
          <w:rFonts w:cs="Calibri"/>
        </w:rPr>
        <w:t xml:space="preserve"> </w:t>
      </w:r>
      <w:r w:rsidRPr="007500E4">
        <w:rPr>
          <w:rFonts w:cs="Calibri"/>
        </w:rPr>
        <w:t>agency</w:t>
      </w:r>
      <w:r w:rsidRPr="00DD07E1">
        <w:rPr>
          <w:rFonts w:cs="Calibri"/>
        </w:rPr>
        <w:t xml:space="preserve"> or minister’s attention</w:t>
      </w:r>
      <w:r w:rsidRPr="007500E4">
        <w:rPr>
          <w:rFonts w:cs="Calibri"/>
        </w:rPr>
        <w:t xml:space="preserve"> </w:t>
      </w:r>
      <w:r w:rsidRPr="00DD07E1">
        <w:rPr>
          <w:rFonts w:cs="Calibri"/>
        </w:rPr>
        <w:t>sensitivities that</w:t>
      </w:r>
      <w:r w:rsidRPr="007500E4">
        <w:rPr>
          <w:rFonts w:cs="Calibri"/>
        </w:rPr>
        <w:t xml:space="preserve"> may</w:t>
      </w:r>
      <w:r w:rsidRPr="00DD07E1">
        <w:rPr>
          <w:rFonts w:cs="Calibri"/>
        </w:rPr>
        <w:t xml:space="preserve"> not </w:t>
      </w:r>
      <w:r w:rsidRPr="00DD07E1">
        <w:t>otherwise have been</w:t>
      </w:r>
      <w:r w:rsidRPr="007500E4">
        <w:t xml:space="preserve"> </w:t>
      </w:r>
      <w:r w:rsidRPr="00DD07E1">
        <w:t>apparent.</w:t>
      </w:r>
    </w:p>
    <w:p w14:paraId="47A2C4CA" w14:textId="31AD0905" w:rsidR="00EC25D4" w:rsidRDefault="00EC25D4" w:rsidP="00B73860">
      <w:pPr>
        <w:pStyle w:val="NumberedParagraphs"/>
        <w:ind w:left="567"/>
      </w:pPr>
      <w:bookmarkStart w:id="259" w:name="_Hlk50111677"/>
      <w:r w:rsidRPr="00EC25D4">
        <w:t xml:space="preserve">Where there is a need to consult third parties under s 27, the timeframe for </w:t>
      </w:r>
      <w:proofErr w:type="gramStart"/>
      <w:r w:rsidRPr="00EC25D4">
        <w:t>making a decision</w:t>
      </w:r>
      <w:proofErr w:type="gramEnd"/>
      <w:r w:rsidRPr="00EC25D4">
        <w:t xml:space="preserve"> is extended by 30 days (s 15(6)). </w:t>
      </w:r>
      <w:r w:rsidR="009477EF">
        <w:t>Decision makers</w:t>
      </w:r>
      <w:r w:rsidRPr="00EC25D4">
        <w:t xml:space="preserve"> should identify as soon as possible within the initial </w:t>
      </w:r>
      <w:r w:rsidR="003F0521" w:rsidRPr="00EC25D4">
        <w:t>30-day decision-making</w:t>
      </w:r>
      <w:r w:rsidRPr="00EC25D4">
        <w:t xml:space="preserve"> period whether there is a need for consultation. Where consultation is undertaken, the agency or minister must inform the applicant as soon as practicable that the processing period has been extended (s 15(6)(b)).</w:t>
      </w:r>
    </w:p>
    <w:p w14:paraId="1BC3C0FF" w14:textId="77777777" w:rsidR="001D2D5F" w:rsidRPr="007500E4" w:rsidRDefault="001D2D5F" w:rsidP="001D2D5F">
      <w:pPr>
        <w:pStyle w:val="NumberedParagraphs"/>
        <w:ind w:left="567"/>
      </w:pPr>
      <w:r w:rsidRPr="007500E4">
        <w:t>General</w:t>
      </w:r>
      <w:r w:rsidRPr="00DD07E1">
        <w:t xml:space="preserve"> information about consultation </w:t>
      </w:r>
      <w:r w:rsidRPr="007500E4">
        <w:t>is</w:t>
      </w:r>
      <w:r w:rsidRPr="00DD07E1">
        <w:t xml:space="preserve"> provided in Part </w:t>
      </w:r>
      <w:r w:rsidRPr="007500E4">
        <w:t>3</w:t>
      </w:r>
      <w:r>
        <w:t xml:space="preserve"> of these Guidelines</w:t>
      </w:r>
      <w:r w:rsidRPr="007500E4">
        <w:t>.</w:t>
      </w:r>
      <w:r w:rsidRPr="00DD07E1">
        <w:t xml:space="preserve"> That Part provides</w:t>
      </w:r>
      <w:r w:rsidRPr="00DD07E1">
        <w:rPr>
          <w:w w:val="99"/>
        </w:rPr>
        <w:t xml:space="preserve"> </w:t>
      </w:r>
      <w:r w:rsidRPr="007500E4">
        <w:t>guidance</w:t>
      </w:r>
      <w:r w:rsidRPr="00DD07E1">
        <w:t xml:space="preserve"> about extended timeframes, notices </w:t>
      </w:r>
      <w:r w:rsidRPr="007500E4">
        <w:t>of</w:t>
      </w:r>
      <w:r w:rsidRPr="00DD07E1">
        <w:t xml:space="preserve"> </w:t>
      </w:r>
      <w:r w:rsidRPr="007500E4">
        <w:t>decision,</w:t>
      </w:r>
      <w:r w:rsidRPr="00DD07E1">
        <w:t xml:space="preserve"> </w:t>
      </w:r>
      <w:r w:rsidRPr="007500E4">
        <w:t>review</w:t>
      </w:r>
      <w:r w:rsidRPr="00DD07E1">
        <w:t xml:space="preserve"> rights and when access </w:t>
      </w:r>
      <w:r w:rsidRPr="007500E4">
        <w:t>to</w:t>
      </w:r>
      <w:r w:rsidRPr="00DD07E1">
        <w:t xml:space="preserve"> documents </w:t>
      </w:r>
      <w:r w:rsidRPr="007500E4">
        <w:t>may</w:t>
      </w:r>
      <w:r w:rsidRPr="00DD07E1">
        <w:t xml:space="preserve"> </w:t>
      </w:r>
      <w:r w:rsidRPr="007500E4">
        <w:t>be</w:t>
      </w:r>
      <w:r w:rsidRPr="00DD07E1">
        <w:t xml:space="preserve"> provided.</w:t>
      </w:r>
    </w:p>
    <w:p w14:paraId="6350C2F0" w14:textId="77777777" w:rsidR="00BB0A82" w:rsidRPr="00C12426" w:rsidRDefault="00BB0A82" w:rsidP="002813D6">
      <w:pPr>
        <w:pStyle w:val="Heading3"/>
      </w:pPr>
      <w:bookmarkStart w:id="260" w:name="Submissions"/>
      <w:bookmarkStart w:id="261" w:name="_Toc11154520"/>
      <w:bookmarkStart w:id="262" w:name="_Toc141875247"/>
      <w:bookmarkEnd w:id="259"/>
      <w:bookmarkEnd w:id="260"/>
      <w:r w:rsidRPr="00C12426">
        <w:t>Submissions</w:t>
      </w:r>
      <w:bookmarkEnd w:id="261"/>
      <w:bookmarkEnd w:id="262"/>
    </w:p>
    <w:p w14:paraId="2C53536C" w14:textId="77777777" w:rsidR="00BB0A82" w:rsidRPr="007500E4" w:rsidRDefault="00BB0A82" w:rsidP="00B73860">
      <w:pPr>
        <w:pStyle w:val="NumberedParagraphs"/>
        <w:ind w:left="567"/>
      </w:pPr>
      <w:r w:rsidRPr="007500E4">
        <w:t>Where</w:t>
      </w:r>
      <w:r w:rsidRPr="00DD07E1">
        <w:t xml:space="preserve"> consultation occurs, </w:t>
      </w:r>
      <w:r w:rsidRPr="007500E4">
        <w:t>a</w:t>
      </w:r>
      <w:r w:rsidRPr="00DD07E1">
        <w:t xml:space="preserve"> third party should be asked</w:t>
      </w:r>
      <w:r w:rsidRPr="007500E4">
        <w:t xml:space="preserve"> </w:t>
      </w:r>
      <w:r w:rsidRPr="00DD07E1">
        <w:t xml:space="preserve">if </w:t>
      </w:r>
      <w:r w:rsidRPr="007500E4">
        <w:t>they</w:t>
      </w:r>
      <w:r w:rsidRPr="00DD07E1">
        <w:t xml:space="preserve"> object </w:t>
      </w:r>
      <w:r w:rsidRPr="007500E4">
        <w:t>to</w:t>
      </w:r>
      <w:r w:rsidRPr="00DD07E1">
        <w:t xml:space="preserve"> disclosure</w:t>
      </w:r>
      <w:r w:rsidRPr="00DD07E1">
        <w:rPr>
          <w:w w:val="99"/>
        </w:rPr>
        <w:t xml:space="preserve"> </w:t>
      </w:r>
      <w:r w:rsidRPr="007500E4">
        <w:t>and</w:t>
      </w:r>
      <w:r w:rsidRPr="00DD07E1">
        <w:t xml:space="preserve"> invited </w:t>
      </w:r>
      <w:r w:rsidRPr="007500E4">
        <w:t>to</w:t>
      </w:r>
      <w:r w:rsidRPr="00DD07E1">
        <w:t xml:space="preserve"> make submissions about:</w:t>
      </w:r>
    </w:p>
    <w:p w14:paraId="13B40EBC" w14:textId="179F54BD" w:rsidR="00BB0A82" w:rsidRPr="007500E4" w:rsidRDefault="00BB0A82" w:rsidP="00AD2470">
      <w:pPr>
        <w:pStyle w:val="IndentBullet1"/>
        <w:ind w:left="993" w:hanging="426"/>
      </w:pPr>
      <w:r w:rsidRPr="00DD07E1">
        <w:t>whether the conditional exemption apply</w:t>
      </w:r>
    </w:p>
    <w:p w14:paraId="7DA5F41F" w14:textId="77777777" w:rsidR="00BB0A82" w:rsidRPr="007500E4" w:rsidRDefault="00BB0A82" w:rsidP="00AD2470">
      <w:pPr>
        <w:pStyle w:val="IndentBullet1"/>
        <w:ind w:left="993" w:hanging="426"/>
      </w:pPr>
      <w:r w:rsidRPr="00DD07E1">
        <w:t xml:space="preserve">whether, on </w:t>
      </w:r>
      <w:r w:rsidRPr="007500E4">
        <w:t>balance,</w:t>
      </w:r>
      <w:r w:rsidRPr="00DD07E1">
        <w:t xml:space="preserve"> access would </w:t>
      </w:r>
      <w:r w:rsidRPr="007500E4">
        <w:t>be</w:t>
      </w:r>
      <w:r w:rsidRPr="00DD07E1">
        <w:t xml:space="preserve"> contrary </w:t>
      </w:r>
      <w:r w:rsidRPr="007500E4">
        <w:t>to</w:t>
      </w:r>
      <w:r w:rsidRPr="00DD07E1">
        <w:t xml:space="preserve"> the public interest.</w:t>
      </w:r>
    </w:p>
    <w:p w14:paraId="62934172" w14:textId="6B2D9909" w:rsidR="00BB0A82" w:rsidRPr="007500E4" w:rsidRDefault="00BB0A82" w:rsidP="00B73860">
      <w:pPr>
        <w:pStyle w:val="NumberedParagraphs"/>
        <w:ind w:left="567"/>
      </w:pPr>
      <w:r w:rsidRPr="007500E4">
        <w:rPr>
          <w:lang w:eastAsia="en-AU"/>
        </w:rPr>
        <w:t xml:space="preserve">An </w:t>
      </w:r>
      <w:r w:rsidRPr="007500E4">
        <w:t>affected</w:t>
      </w:r>
      <w:r w:rsidRPr="007500E4">
        <w:rPr>
          <w:lang w:eastAsia="en-AU"/>
        </w:rPr>
        <w:t xml:space="preserve"> third pa</w:t>
      </w:r>
      <w:r>
        <w:rPr>
          <w:lang w:eastAsia="en-AU"/>
        </w:rPr>
        <w:t>rty who is consulted under s 27</w:t>
      </w:r>
      <w:r w:rsidRPr="007500E4">
        <w:rPr>
          <w:lang w:eastAsia="en-AU"/>
        </w:rPr>
        <w:t xml:space="preserve"> </w:t>
      </w:r>
      <w:r>
        <w:rPr>
          <w:lang w:eastAsia="en-AU"/>
        </w:rPr>
        <w:t>may</w:t>
      </w:r>
      <w:r w:rsidRPr="007500E4">
        <w:rPr>
          <w:lang w:eastAsia="en-AU"/>
        </w:rPr>
        <w:t xml:space="preserve"> contend that </w:t>
      </w:r>
      <w:r>
        <w:rPr>
          <w:lang w:eastAsia="en-AU"/>
        </w:rPr>
        <w:t xml:space="preserve">exemptions under </w:t>
      </w:r>
      <w:r w:rsidRPr="007500E4">
        <w:rPr>
          <w:lang w:eastAsia="en-AU"/>
        </w:rPr>
        <w:t>s</w:t>
      </w:r>
      <w:r>
        <w:rPr>
          <w:lang w:eastAsia="en-AU"/>
        </w:rPr>
        <w:t>s</w:t>
      </w:r>
      <w:r w:rsidR="00336DEE">
        <w:rPr>
          <w:lang w:eastAsia="en-AU"/>
        </w:rPr>
        <w:t> </w:t>
      </w:r>
      <w:r>
        <w:rPr>
          <w:lang w:eastAsia="en-AU"/>
        </w:rPr>
        <w:t>47 or 47G</w:t>
      </w:r>
      <w:r w:rsidRPr="007500E4">
        <w:rPr>
          <w:lang w:eastAsia="en-AU"/>
        </w:rPr>
        <w:t xml:space="preserve"> apply.</w:t>
      </w:r>
      <w:r>
        <w:rPr>
          <w:lang w:eastAsia="en-AU"/>
        </w:rPr>
        <w:t xml:space="preserve"> Where the third party contends that exemptions other than ss 47 or 47G apply, it is open to </w:t>
      </w:r>
      <w:r w:rsidR="00B71F19">
        <w:rPr>
          <w:lang w:eastAsia="en-AU"/>
        </w:rPr>
        <w:t xml:space="preserve">an </w:t>
      </w:r>
      <w:r>
        <w:rPr>
          <w:lang w:eastAsia="en-AU"/>
        </w:rPr>
        <w:t>agency or minister to rely on those exemptions in its decision.</w:t>
      </w:r>
      <w:r>
        <w:rPr>
          <w:rStyle w:val="FootnoteReference"/>
          <w:rFonts w:eastAsia="Times New Roman"/>
          <w:lang w:eastAsia="en-AU"/>
        </w:rPr>
        <w:footnoteReference w:id="178"/>
      </w:r>
      <w:r>
        <w:rPr>
          <w:lang w:eastAsia="en-AU"/>
        </w:rPr>
        <w:t xml:space="preserve"> </w:t>
      </w:r>
      <w:r>
        <w:rPr>
          <w:lang w:eastAsia="en-AU"/>
        </w:rPr>
        <w:lastRenderedPageBreak/>
        <w:t>However, should the agency or minister decide to grant access to the documents, the third party does not have a right to seek review of that decision on grounds other than those specified in s 27.</w:t>
      </w:r>
    </w:p>
    <w:p w14:paraId="464299BD" w14:textId="1BABA97B" w:rsidR="00BB0A82" w:rsidRPr="007500E4" w:rsidRDefault="00BB0A82" w:rsidP="00B73860">
      <w:pPr>
        <w:pStyle w:val="NumberedParagraphs"/>
        <w:ind w:left="567"/>
      </w:pPr>
      <w:r>
        <w:t>The third party</w:t>
      </w:r>
      <w:r w:rsidRPr="00DD07E1">
        <w:t xml:space="preserve"> should </w:t>
      </w:r>
      <w:r w:rsidRPr="007500E4">
        <w:t>be</w:t>
      </w:r>
      <w:r w:rsidRPr="00DD07E1">
        <w:t xml:space="preserve"> asked to </w:t>
      </w:r>
      <w:r w:rsidRPr="007500E4">
        <w:t>provide</w:t>
      </w:r>
      <w:r w:rsidRPr="00DD07E1">
        <w:t xml:space="preserve"> reasons and evidence </w:t>
      </w:r>
      <w:r w:rsidRPr="007500E4">
        <w:t>for</w:t>
      </w:r>
      <w:r w:rsidRPr="00DD07E1">
        <w:t xml:space="preserve"> their </w:t>
      </w:r>
      <w:r w:rsidR="00B71F19">
        <w:t>exemption contention</w:t>
      </w:r>
      <w:r w:rsidRPr="00DD07E1">
        <w:t>.</w:t>
      </w:r>
      <w:r w:rsidRPr="007500E4">
        <w:t xml:space="preserve"> To</w:t>
      </w:r>
      <w:r w:rsidRPr="00DD07E1">
        <w:t xml:space="preserve"> </w:t>
      </w:r>
      <w:r w:rsidRPr="007500E4">
        <w:t>assist</w:t>
      </w:r>
      <w:r w:rsidRPr="00DD07E1">
        <w:t xml:space="preserve"> </w:t>
      </w:r>
      <w:r>
        <w:t>them</w:t>
      </w:r>
      <w:r w:rsidRPr="00DD07E1">
        <w:t xml:space="preserve"> to make </w:t>
      </w:r>
      <w:r w:rsidRPr="007500E4">
        <w:t>a</w:t>
      </w:r>
      <w:r w:rsidR="00B71F19">
        <w:t>n exemption contention</w:t>
      </w:r>
      <w:r w:rsidRPr="00DD07E1">
        <w:t xml:space="preserve"> it </w:t>
      </w:r>
      <w:r w:rsidRPr="007500E4">
        <w:t>may</w:t>
      </w:r>
      <w:r w:rsidRPr="00DD07E1">
        <w:t xml:space="preserve"> </w:t>
      </w:r>
      <w:r w:rsidRPr="007500E4">
        <w:t>be</w:t>
      </w:r>
      <w:r w:rsidRPr="00DD07E1">
        <w:t xml:space="preserve"> </w:t>
      </w:r>
      <w:r w:rsidRPr="007500E4">
        <w:t>necessary</w:t>
      </w:r>
      <w:r w:rsidRPr="00DD07E1">
        <w:t xml:space="preserve"> </w:t>
      </w:r>
      <w:r w:rsidRPr="007500E4">
        <w:t>to</w:t>
      </w:r>
      <w:r w:rsidRPr="00DD07E1">
        <w:t xml:space="preserve"> provide </w:t>
      </w:r>
      <w:r w:rsidRPr="007500E4">
        <w:t>a</w:t>
      </w:r>
      <w:r w:rsidRPr="00DD07E1">
        <w:t xml:space="preserve"> copy</w:t>
      </w:r>
      <w:r w:rsidRPr="00DD07E1">
        <w:rPr>
          <w:w w:val="99"/>
        </w:rPr>
        <w:t xml:space="preserve"> </w:t>
      </w:r>
      <w:r w:rsidRPr="007500E4">
        <w:t>of</w:t>
      </w:r>
      <w:r w:rsidRPr="00DD07E1">
        <w:t xml:space="preserve"> </w:t>
      </w:r>
      <w:r w:rsidRPr="007500E4">
        <w:t>the</w:t>
      </w:r>
      <w:r w:rsidRPr="00DD07E1">
        <w:t xml:space="preserve"> </w:t>
      </w:r>
      <w:r w:rsidR="00B71F19">
        <w:t>document</w:t>
      </w:r>
      <w:r w:rsidRPr="00DD07E1">
        <w:t xml:space="preserve">. </w:t>
      </w:r>
      <w:r w:rsidRPr="007500E4">
        <w:t>This</w:t>
      </w:r>
      <w:r w:rsidRPr="00DD07E1">
        <w:t xml:space="preserve"> c</w:t>
      </w:r>
      <w:r w:rsidR="00B71F19">
        <w:t>an</w:t>
      </w:r>
      <w:r w:rsidRPr="00DD07E1">
        <w:t xml:space="preserve"> </w:t>
      </w:r>
      <w:r w:rsidRPr="007500E4">
        <w:t>be</w:t>
      </w:r>
      <w:r w:rsidRPr="00DD07E1">
        <w:t xml:space="preserve"> done </w:t>
      </w:r>
      <w:r w:rsidRPr="007500E4">
        <w:t>by</w:t>
      </w:r>
      <w:r w:rsidRPr="00DD07E1">
        <w:t xml:space="preserve"> providing </w:t>
      </w:r>
      <w:r w:rsidRPr="007500E4">
        <w:t>an</w:t>
      </w:r>
      <w:r w:rsidRPr="00DD07E1">
        <w:t xml:space="preserve"> edited copy </w:t>
      </w:r>
      <w:r w:rsidRPr="007500E4">
        <w:t>of</w:t>
      </w:r>
      <w:r w:rsidRPr="00DD07E1">
        <w:t xml:space="preserve"> the document, for</w:t>
      </w:r>
      <w:r w:rsidRPr="00DD07E1">
        <w:rPr>
          <w:w w:val="99"/>
        </w:rPr>
        <w:t xml:space="preserve"> </w:t>
      </w:r>
      <w:r w:rsidRPr="007500E4">
        <w:t>example,</w:t>
      </w:r>
      <w:r w:rsidRPr="00DD07E1">
        <w:t xml:space="preserve"> </w:t>
      </w:r>
      <w:r w:rsidRPr="007500E4">
        <w:t>by</w:t>
      </w:r>
      <w:r w:rsidRPr="00DD07E1">
        <w:t xml:space="preserve"> deleting any material that </w:t>
      </w:r>
      <w:r w:rsidRPr="007500E4">
        <w:t>may</w:t>
      </w:r>
      <w:r w:rsidRPr="00DD07E1">
        <w:t xml:space="preserve"> </w:t>
      </w:r>
      <w:r w:rsidRPr="007500E4">
        <w:t>be</w:t>
      </w:r>
      <w:r w:rsidRPr="00DD07E1">
        <w:t xml:space="preserve"> </w:t>
      </w:r>
      <w:r w:rsidRPr="007500E4">
        <w:t>exempt</w:t>
      </w:r>
      <w:r w:rsidRPr="00DD07E1">
        <w:t xml:space="preserve"> under another provision. </w:t>
      </w:r>
      <w:r w:rsidRPr="007500E4">
        <w:t>An</w:t>
      </w:r>
      <w:r w:rsidRPr="00DD07E1">
        <w:t xml:space="preserve"> agency</w:t>
      </w:r>
      <w:r w:rsidRPr="00DD07E1">
        <w:rPr>
          <w:w w:val="99"/>
        </w:rPr>
        <w:t xml:space="preserve"> </w:t>
      </w:r>
      <w:r w:rsidRPr="00DD07E1">
        <w:t xml:space="preserve">should take care not </w:t>
      </w:r>
      <w:r w:rsidRPr="007500E4">
        <w:t>to</w:t>
      </w:r>
      <w:r w:rsidRPr="00DD07E1">
        <w:t xml:space="preserve"> breach any obligation</w:t>
      </w:r>
      <w:r w:rsidR="00532EEC">
        <w:t>s</w:t>
      </w:r>
      <w:r w:rsidRPr="00DD07E1">
        <w:t xml:space="preserve"> under the Privacy </w:t>
      </w:r>
      <w:r w:rsidRPr="007500E4">
        <w:t>Act</w:t>
      </w:r>
      <w:r w:rsidRPr="00DD07E1">
        <w:t xml:space="preserve"> during consultation</w:t>
      </w:r>
      <w:r w:rsidRPr="00DD07E1">
        <w:rPr>
          <w:i/>
        </w:rPr>
        <w:t>,</w:t>
      </w:r>
      <w:r w:rsidRPr="00DD07E1">
        <w:rPr>
          <w:i/>
          <w:w w:val="99"/>
        </w:rPr>
        <w:t xml:space="preserve"> </w:t>
      </w:r>
      <w:r w:rsidRPr="007500E4">
        <w:t>for</w:t>
      </w:r>
      <w:r w:rsidRPr="00DD07E1">
        <w:t xml:space="preserve"> </w:t>
      </w:r>
      <w:r w:rsidRPr="007500E4">
        <w:t>example,</w:t>
      </w:r>
      <w:r w:rsidRPr="00DD07E1">
        <w:t xml:space="preserve"> </w:t>
      </w:r>
      <w:r w:rsidRPr="007500E4">
        <w:t>by</w:t>
      </w:r>
      <w:r w:rsidRPr="00DD07E1">
        <w:t xml:space="preserve"> identifying the </w:t>
      </w:r>
      <w:r w:rsidR="00B71F19">
        <w:t xml:space="preserve">FOI </w:t>
      </w:r>
      <w:r w:rsidRPr="00DD07E1">
        <w:t xml:space="preserve">applicant without </w:t>
      </w:r>
      <w:r w:rsidRPr="007500E4">
        <w:t>their</w:t>
      </w:r>
      <w:r w:rsidRPr="00DD07E1">
        <w:t xml:space="preserve"> consent. If an edited copy </w:t>
      </w:r>
      <w:r w:rsidRPr="007500E4">
        <w:t>of</w:t>
      </w:r>
      <w:r w:rsidRPr="00DD07E1">
        <w:t xml:space="preserve"> the</w:t>
      </w:r>
      <w:r w:rsidRPr="00DD07E1">
        <w:rPr>
          <w:w w:val="99"/>
        </w:rPr>
        <w:t xml:space="preserve"> </w:t>
      </w:r>
      <w:r w:rsidRPr="00DD07E1">
        <w:t xml:space="preserve">document </w:t>
      </w:r>
      <w:r w:rsidRPr="007500E4">
        <w:t>has</w:t>
      </w:r>
      <w:r w:rsidRPr="00DD07E1">
        <w:t xml:space="preserve"> been provided </w:t>
      </w:r>
      <w:r w:rsidRPr="007500E4">
        <w:t>for</w:t>
      </w:r>
      <w:r w:rsidRPr="00DD07E1">
        <w:t xml:space="preserve"> consultation purposes, that copy should </w:t>
      </w:r>
      <w:r w:rsidRPr="007500E4">
        <w:t>be</w:t>
      </w:r>
      <w:r w:rsidRPr="00DD07E1">
        <w:t xml:space="preserve"> clearly marked</w:t>
      </w:r>
      <w:r w:rsidRPr="00DD07E1">
        <w:rPr>
          <w:w w:val="99"/>
        </w:rPr>
        <w:t xml:space="preserve"> </w:t>
      </w:r>
      <w:r w:rsidRPr="00DD07E1">
        <w:t xml:space="preserve">where material </w:t>
      </w:r>
      <w:r w:rsidRPr="007500E4">
        <w:t>has</w:t>
      </w:r>
      <w:r w:rsidRPr="00DD07E1">
        <w:t xml:space="preserve"> been edited, and it should </w:t>
      </w:r>
      <w:r w:rsidRPr="007500E4">
        <w:t>be</w:t>
      </w:r>
      <w:r w:rsidRPr="00DD07E1">
        <w:t xml:space="preserve"> stated</w:t>
      </w:r>
      <w:r w:rsidRPr="007500E4">
        <w:t xml:space="preserve"> </w:t>
      </w:r>
      <w:r w:rsidRPr="00DD07E1">
        <w:t xml:space="preserve">that </w:t>
      </w:r>
      <w:r w:rsidRPr="007500E4">
        <w:t>the</w:t>
      </w:r>
      <w:r w:rsidRPr="00DD07E1">
        <w:t xml:space="preserve"> copy </w:t>
      </w:r>
      <w:r w:rsidRPr="007500E4">
        <w:t>has</w:t>
      </w:r>
      <w:r w:rsidRPr="00DD07E1">
        <w:t xml:space="preserve"> </w:t>
      </w:r>
      <w:r w:rsidRPr="007500E4">
        <w:t>been</w:t>
      </w:r>
      <w:r w:rsidRPr="00DD07E1">
        <w:t xml:space="preserve"> provided </w:t>
      </w:r>
      <w:r w:rsidRPr="007500E4">
        <w:t>for</w:t>
      </w:r>
      <w:r w:rsidRPr="00DD07E1">
        <w:rPr>
          <w:w w:val="99"/>
        </w:rPr>
        <w:t xml:space="preserve"> </w:t>
      </w:r>
      <w:r w:rsidRPr="007500E4">
        <w:t>the</w:t>
      </w:r>
      <w:r w:rsidRPr="00DD07E1">
        <w:t xml:space="preserve"> purpose of consultation.</w:t>
      </w:r>
      <w:r w:rsidR="0072639E">
        <w:t xml:space="preserve"> The copy </w:t>
      </w:r>
      <w:r w:rsidR="00D206EE">
        <w:t xml:space="preserve">may </w:t>
      </w:r>
      <w:r w:rsidR="0072639E">
        <w:t>be annotated or watermarked to indicate it is a consultation copy</w:t>
      </w:r>
      <w:r w:rsidR="00D206EE">
        <w:t>.</w:t>
      </w:r>
    </w:p>
    <w:p w14:paraId="0410D403" w14:textId="23919732" w:rsidR="00BB0A82" w:rsidRPr="007500E4" w:rsidRDefault="00BB0A82" w:rsidP="00B73860">
      <w:pPr>
        <w:pStyle w:val="NumberedParagraphs"/>
        <w:ind w:left="567"/>
      </w:pPr>
      <w:r w:rsidRPr="007500E4">
        <w:t>An</w:t>
      </w:r>
      <w:r w:rsidRPr="00DD07E1">
        <w:t xml:space="preserve"> agency </w:t>
      </w:r>
      <w:r w:rsidRPr="007500E4">
        <w:t>or</w:t>
      </w:r>
      <w:r w:rsidRPr="00DD07E1">
        <w:t xml:space="preserve"> minister must </w:t>
      </w:r>
      <w:r w:rsidRPr="007500E4">
        <w:t>have</w:t>
      </w:r>
      <w:r w:rsidRPr="00DD07E1">
        <w:t xml:space="preserve"> regard </w:t>
      </w:r>
      <w:r w:rsidR="0064374B">
        <w:t>to</w:t>
      </w:r>
      <w:r w:rsidRPr="00DD07E1">
        <w:t xml:space="preserve"> </w:t>
      </w:r>
      <w:r w:rsidRPr="007500E4">
        <w:t>any</w:t>
      </w:r>
      <w:r w:rsidRPr="00DD07E1">
        <w:t xml:space="preserve"> submissions made </w:t>
      </w:r>
      <w:r w:rsidRPr="007500E4">
        <w:t>before</w:t>
      </w:r>
      <w:r w:rsidRPr="00DD07E1">
        <w:t xml:space="preserve"> </w:t>
      </w:r>
      <w:r w:rsidRPr="007500E4">
        <w:t>deciding</w:t>
      </w:r>
      <w:r w:rsidRPr="00DD07E1">
        <w:rPr>
          <w:w w:val="99"/>
        </w:rPr>
        <w:t xml:space="preserve"> </w:t>
      </w:r>
      <w:r w:rsidRPr="00DD07E1">
        <w:t xml:space="preserve">whether to give access to the </w:t>
      </w:r>
      <w:r w:rsidRPr="007500E4">
        <w:t>document</w:t>
      </w:r>
      <w:r w:rsidRPr="00DD07E1">
        <w:t xml:space="preserve"> (ss </w:t>
      </w:r>
      <w:r w:rsidRPr="007500E4">
        <w:t>27(4)</w:t>
      </w:r>
      <w:r w:rsidRPr="00DD07E1">
        <w:t xml:space="preserve"> </w:t>
      </w:r>
      <w:r w:rsidRPr="007500E4">
        <w:t>and</w:t>
      </w:r>
      <w:r w:rsidRPr="00DD07E1">
        <w:t xml:space="preserve"> 27(5)). The third party does not,</w:t>
      </w:r>
      <w:r w:rsidRPr="00DD07E1">
        <w:rPr>
          <w:w w:val="99"/>
        </w:rPr>
        <w:t xml:space="preserve"> </w:t>
      </w:r>
      <w:r w:rsidRPr="00DD07E1">
        <w:t xml:space="preserve">however, </w:t>
      </w:r>
      <w:r w:rsidRPr="007500E4">
        <w:t>have</w:t>
      </w:r>
      <w:r w:rsidRPr="00DD07E1">
        <w:t xml:space="preserve"> </w:t>
      </w:r>
      <w:r w:rsidRPr="007500E4">
        <w:t>the</w:t>
      </w:r>
      <w:r w:rsidRPr="00DD07E1">
        <w:t xml:space="preserve"> right </w:t>
      </w:r>
      <w:r w:rsidRPr="007500E4">
        <w:t>to</w:t>
      </w:r>
      <w:r w:rsidRPr="00DD07E1">
        <w:t xml:space="preserve"> veto access and agencies should take care that </w:t>
      </w:r>
      <w:r w:rsidRPr="007500E4">
        <w:t>the</w:t>
      </w:r>
      <w:r w:rsidRPr="00DD07E1">
        <w:t xml:space="preserve"> third party </w:t>
      </w:r>
      <w:r w:rsidRPr="007500E4">
        <w:t>is</w:t>
      </w:r>
      <w:r w:rsidRPr="00DD07E1">
        <w:t xml:space="preserve"> </w:t>
      </w:r>
      <w:r w:rsidRPr="007500E4">
        <w:t>not</w:t>
      </w:r>
      <w:r w:rsidRPr="00DD07E1">
        <w:t xml:space="preserve"> under such </w:t>
      </w:r>
      <w:r w:rsidRPr="007500E4">
        <w:t>a</w:t>
      </w:r>
      <w:r w:rsidRPr="00DD07E1">
        <w:t xml:space="preserve"> misapprehension.</w:t>
      </w:r>
    </w:p>
    <w:p w14:paraId="14A21D3B" w14:textId="13992F23" w:rsidR="00BB0A82" w:rsidRPr="007500E4" w:rsidRDefault="00BB0A82" w:rsidP="00B73860">
      <w:pPr>
        <w:pStyle w:val="NumberedParagraphs"/>
        <w:ind w:left="567"/>
      </w:pPr>
      <w:r w:rsidRPr="007500E4">
        <w:t>Where</w:t>
      </w:r>
      <w:r w:rsidRPr="00DD07E1">
        <w:t xml:space="preserve"> </w:t>
      </w:r>
      <w:r w:rsidRPr="007500E4">
        <w:t>an</w:t>
      </w:r>
      <w:r w:rsidRPr="00DD07E1">
        <w:t xml:space="preserve"> </w:t>
      </w:r>
      <w:r w:rsidRPr="007500E4">
        <w:t>agency</w:t>
      </w:r>
      <w:r w:rsidRPr="00DD07E1">
        <w:t xml:space="preserve"> </w:t>
      </w:r>
      <w:r w:rsidRPr="007500E4">
        <w:t>or</w:t>
      </w:r>
      <w:r w:rsidRPr="00DD07E1">
        <w:t xml:space="preserve"> minister </w:t>
      </w:r>
      <w:r w:rsidRPr="007500E4">
        <w:t>decides</w:t>
      </w:r>
      <w:r w:rsidRPr="00DD07E1">
        <w:t xml:space="preserve"> </w:t>
      </w:r>
      <w:r w:rsidRPr="007500E4">
        <w:t>to</w:t>
      </w:r>
      <w:r w:rsidRPr="00DD07E1">
        <w:t xml:space="preserve"> give </w:t>
      </w:r>
      <w:r w:rsidRPr="007500E4">
        <w:t>the</w:t>
      </w:r>
      <w:r w:rsidRPr="00DD07E1">
        <w:t xml:space="preserve"> applicant access </w:t>
      </w:r>
      <w:r w:rsidRPr="007500E4">
        <w:t>to</w:t>
      </w:r>
      <w:r w:rsidRPr="00DD07E1">
        <w:t xml:space="preserve"> </w:t>
      </w:r>
      <w:r w:rsidRPr="007500E4">
        <w:t>documents,</w:t>
      </w:r>
      <w:r w:rsidRPr="00DD07E1">
        <w:t xml:space="preserve"> after </w:t>
      </w:r>
      <w:r w:rsidRPr="007500E4">
        <w:t>a</w:t>
      </w:r>
      <w:r w:rsidRPr="00DD07E1">
        <w:t xml:space="preserve"> third party </w:t>
      </w:r>
      <w:r w:rsidRPr="007500E4">
        <w:t>has</w:t>
      </w:r>
      <w:r w:rsidRPr="00DD07E1">
        <w:t xml:space="preserve"> </w:t>
      </w:r>
      <w:r w:rsidR="0064374B">
        <w:t>made an exemption contention</w:t>
      </w:r>
      <w:r w:rsidRPr="00DD07E1">
        <w:t>, they must give the third party written notice</w:t>
      </w:r>
      <w:r>
        <w:t xml:space="preserve"> </w:t>
      </w:r>
      <w:r w:rsidRPr="00DD07E1">
        <w:t>(s</w:t>
      </w:r>
      <w:r w:rsidRPr="007500E4">
        <w:t> </w:t>
      </w:r>
      <w:r w:rsidRPr="00DD07E1">
        <w:rPr>
          <w:rFonts w:cs="Calibri"/>
        </w:rPr>
        <w:t>27(6)).</w:t>
      </w:r>
      <w:r w:rsidRPr="007500E4">
        <w:rPr>
          <w:rFonts w:cs="Calibri"/>
        </w:rPr>
        <w:t xml:space="preserve"> </w:t>
      </w:r>
      <w:r w:rsidRPr="00DD07E1">
        <w:rPr>
          <w:rFonts w:cs="Calibri"/>
        </w:rPr>
        <w:t>Access</w:t>
      </w:r>
      <w:r w:rsidRPr="007500E4">
        <w:rPr>
          <w:rFonts w:cs="Calibri"/>
        </w:rPr>
        <w:t xml:space="preserve"> to</w:t>
      </w:r>
      <w:r w:rsidRPr="00DD07E1">
        <w:rPr>
          <w:rFonts w:cs="Calibri"/>
        </w:rPr>
        <w:t xml:space="preserve"> </w:t>
      </w:r>
      <w:r w:rsidRPr="007500E4">
        <w:rPr>
          <w:rFonts w:cs="Calibri"/>
        </w:rPr>
        <w:t>a</w:t>
      </w:r>
      <w:r w:rsidRPr="00DD07E1">
        <w:rPr>
          <w:rFonts w:cs="Calibri"/>
        </w:rPr>
        <w:t xml:space="preserve"> document must not </w:t>
      </w:r>
      <w:r w:rsidRPr="007500E4">
        <w:rPr>
          <w:rFonts w:cs="Calibri"/>
        </w:rPr>
        <w:t>be</w:t>
      </w:r>
      <w:r w:rsidRPr="00DD07E1">
        <w:rPr>
          <w:rFonts w:cs="Calibri"/>
        </w:rPr>
        <w:t xml:space="preserve"> given </w:t>
      </w:r>
      <w:r w:rsidRPr="007500E4">
        <w:rPr>
          <w:rFonts w:cs="Calibri"/>
        </w:rPr>
        <w:t>to</w:t>
      </w:r>
      <w:r w:rsidRPr="00DD07E1">
        <w:rPr>
          <w:rFonts w:cs="Calibri"/>
        </w:rPr>
        <w:t xml:space="preserve"> the </w:t>
      </w:r>
      <w:r w:rsidR="0064374B">
        <w:rPr>
          <w:rFonts w:cs="Calibri"/>
        </w:rPr>
        <w:t xml:space="preserve">FOI </w:t>
      </w:r>
      <w:r w:rsidRPr="00DD07E1">
        <w:rPr>
          <w:rFonts w:cs="Calibri"/>
        </w:rPr>
        <w:t xml:space="preserve">applicant until the third party’s </w:t>
      </w:r>
      <w:r w:rsidRPr="00DD07E1">
        <w:t xml:space="preserve">opportunities </w:t>
      </w:r>
      <w:r w:rsidRPr="007500E4">
        <w:t>for</w:t>
      </w:r>
      <w:r w:rsidRPr="00DD07E1">
        <w:t xml:space="preserve"> </w:t>
      </w:r>
      <w:r w:rsidRPr="007500E4">
        <w:t>review</w:t>
      </w:r>
      <w:r w:rsidRPr="00DD07E1">
        <w:t xml:space="preserve"> </w:t>
      </w:r>
      <w:r w:rsidRPr="007500E4">
        <w:t>have</w:t>
      </w:r>
      <w:r w:rsidRPr="00DD07E1">
        <w:t xml:space="preserve"> run out, or </w:t>
      </w:r>
      <w:r w:rsidRPr="007500E4">
        <w:t>if</w:t>
      </w:r>
      <w:r w:rsidRPr="00DD07E1">
        <w:t xml:space="preserve"> review </w:t>
      </w:r>
      <w:r w:rsidRPr="007500E4">
        <w:t>did</w:t>
      </w:r>
      <w:r w:rsidRPr="00DD07E1">
        <w:t xml:space="preserve"> </w:t>
      </w:r>
      <w:r w:rsidRPr="007500E4">
        <w:t>occur,</w:t>
      </w:r>
      <w:r w:rsidRPr="00DD07E1">
        <w:t xml:space="preserve"> the decision still stands (s 27(7)).</w:t>
      </w:r>
    </w:p>
    <w:p w14:paraId="050C9458" w14:textId="1E075E76" w:rsidR="00BB0A82" w:rsidRPr="00D32580" w:rsidRDefault="00BB0A82" w:rsidP="008A163F">
      <w:pPr>
        <w:pStyle w:val="Heading2"/>
        <w:spacing w:before="240"/>
      </w:pPr>
      <w:bookmarkStart w:id="263" w:name="General_information_about_consultation"/>
      <w:bookmarkStart w:id="264" w:name="_bookmark68"/>
      <w:bookmarkStart w:id="265" w:name="Research"/>
      <w:bookmarkStart w:id="266" w:name="_bookmark69"/>
      <w:bookmarkStart w:id="267" w:name="_Toc11154522"/>
      <w:bookmarkStart w:id="268" w:name="_Ref138759009"/>
      <w:bookmarkStart w:id="269" w:name="_Toc141875248"/>
      <w:bookmarkEnd w:id="263"/>
      <w:bookmarkEnd w:id="264"/>
      <w:bookmarkEnd w:id="265"/>
      <w:bookmarkEnd w:id="266"/>
      <w:r w:rsidRPr="00D32580">
        <w:t>Research documents (s 47H)</w:t>
      </w:r>
      <w:bookmarkEnd w:id="267"/>
      <w:bookmarkEnd w:id="268"/>
      <w:bookmarkEnd w:id="269"/>
    </w:p>
    <w:p w14:paraId="4EA3A665" w14:textId="77777777" w:rsidR="00BB0A82" w:rsidRPr="007500E4" w:rsidRDefault="00BB0A82" w:rsidP="00B73860">
      <w:pPr>
        <w:pStyle w:val="NumberedParagraphs"/>
        <w:ind w:left="567"/>
      </w:pPr>
      <w:bookmarkStart w:id="270" w:name="_Ref459111148"/>
      <w:r w:rsidRPr="007500E4">
        <w:t>Section</w:t>
      </w:r>
      <w:r w:rsidRPr="00DD07E1">
        <w:t xml:space="preserve"> </w:t>
      </w:r>
      <w:r w:rsidRPr="007500E4">
        <w:t>47H conditionally exempts material where</w:t>
      </w:r>
      <w:r w:rsidRPr="00DD07E1">
        <w:t>:</w:t>
      </w:r>
      <w:bookmarkEnd w:id="270"/>
    </w:p>
    <w:p w14:paraId="773353E5" w14:textId="77777777" w:rsidR="00BB0A82" w:rsidRPr="007500E4" w:rsidRDefault="00BB0A82" w:rsidP="00F6558E">
      <w:pPr>
        <w:pStyle w:val="List"/>
        <w:numPr>
          <w:ilvl w:val="0"/>
          <w:numId w:val="56"/>
        </w:numPr>
        <w:ind w:left="993" w:hanging="426"/>
      </w:pPr>
      <w:r w:rsidRPr="007500E4">
        <w:t>it</w:t>
      </w:r>
      <w:r w:rsidRPr="00DD07E1">
        <w:t xml:space="preserve"> contains information relating </w:t>
      </w:r>
      <w:r w:rsidRPr="007500E4">
        <w:t>to</w:t>
      </w:r>
      <w:r w:rsidRPr="00DD07E1">
        <w:t xml:space="preserve"> research that is </w:t>
      </w:r>
      <w:r w:rsidRPr="007500E4">
        <w:t>being,</w:t>
      </w:r>
      <w:r w:rsidRPr="00DD07E1">
        <w:t xml:space="preserve"> </w:t>
      </w:r>
      <w:r w:rsidRPr="007500E4">
        <w:t>or</w:t>
      </w:r>
      <w:r w:rsidRPr="00DD07E1">
        <w:t xml:space="preserve"> </w:t>
      </w:r>
      <w:r w:rsidRPr="007500E4">
        <w:t>is</w:t>
      </w:r>
      <w:r w:rsidRPr="00DD07E1">
        <w:t xml:space="preserve"> to </w:t>
      </w:r>
      <w:r w:rsidRPr="007500E4">
        <w:t>be,</w:t>
      </w:r>
      <w:r w:rsidRPr="00DD07E1">
        <w:t xml:space="preserve"> undertaken </w:t>
      </w:r>
      <w:r w:rsidRPr="007500E4">
        <w:t>by</w:t>
      </w:r>
      <w:r w:rsidRPr="00D32580">
        <w:rPr>
          <w:w w:val="99"/>
        </w:rPr>
        <w:t xml:space="preserve"> </w:t>
      </w:r>
      <w:r w:rsidRPr="007500E4">
        <w:t>an</w:t>
      </w:r>
      <w:r w:rsidRPr="00DD07E1">
        <w:t xml:space="preserve"> officer </w:t>
      </w:r>
      <w:r w:rsidRPr="007500E4">
        <w:t>of</w:t>
      </w:r>
      <w:r w:rsidRPr="00DD07E1">
        <w:t xml:space="preserve"> </w:t>
      </w:r>
      <w:r w:rsidRPr="007500E4">
        <w:t>an</w:t>
      </w:r>
      <w:r w:rsidRPr="00DD07E1">
        <w:t xml:space="preserve"> </w:t>
      </w:r>
      <w:r w:rsidRPr="007500E4">
        <w:t>agency</w:t>
      </w:r>
      <w:r w:rsidRPr="00DD07E1">
        <w:t xml:space="preserve"> specified in</w:t>
      </w:r>
      <w:r w:rsidRPr="007500E4">
        <w:t xml:space="preserve"> </w:t>
      </w:r>
      <w:r w:rsidRPr="00DD07E1">
        <w:t xml:space="preserve">Schedule </w:t>
      </w:r>
      <w:r w:rsidRPr="007500E4">
        <w:t>4</w:t>
      </w:r>
      <w:r w:rsidRPr="00DD07E1">
        <w:t xml:space="preserve"> </w:t>
      </w:r>
      <w:r w:rsidRPr="007500E4">
        <w:t>of</w:t>
      </w:r>
      <w:r w:rsidRPr="00DD07E1">
        <w:t xml:space="preserve"> </w:t>
      </w:r>
      <w:r w:rsidRPr="007500E4">
        <w:t>the</w:t>
      </w:r>
      <w:r w:rsidRPr="00DD07E1">
        <w:t xml:space="preserve"> </w:t>
      </w:r>
      <w:r w:rsidRPr="007500E4">
        <w:t>Act</w:t>
      </w:r>
      <w:r w:rsidRPr="00DD07E1">
        <w:t xml:space="preserve"> (that</w:t>
      </w:r>
      <w:r w:rsidRPr="007500E4">
        <w:t xml:space="preserve"> is,</w:t>
      </w:r>
      <w:r w:rsidRPr="00DD07E1">
        <w:t xml:space="preserve"> the Commonwealth Scientific and Industrial </w:t>
      </w:r>
      <w:r w:rsidRPr="007500E4">
        <w:t>Research</w:t>
      </w:r>
      <w:r w:rsidRPr="00DD07E1">
        <w:t xml:space="preserve"> Organisation (CSIRO) </w:t>
      </w:r>
      <w:r w:rsidRPr="007500E4">
        <w:t>and</w:t>
      </w:r>
      <w:r w:rsidRPr="00DD07E1">
        <w:t xml:space="preserve"> the Australian National University) and</w:t>
      </w:r>
    </w:p>
    <w:p w14:paraId="072664EB" w14:textId="77777777" w:rsidR="00BB0A82" w:rsidRPr="007500E4" w:rsidRDefault="00BB0A82" w:rsidP="00F6558E">
      <w:pPr>
        <w:pStyle w:val="List"/>
        <w:numPr>
          <w:ilvl w:val="0"/>
          <w:numId w:val="56"/>
        </w:numPr>
        <w:ind w:left="993" w:hanging="426"/>
      </w:pPr>
      <w:r w:rsidRPr="00DD07E1">
        <w:t xml:space="preserve">disclosure </w:t>
      </w:r>
      <w:r w:rsidRPr="007500E4">
        <w:t>of</w:t>
      </w:r>
      <w:r w:rsidRPr="00DD07E1">
        <w:t xml:space="preserve"> the information before the completion of </w:t>
      </w:r>
      <w:r w:rsidRPr="007500E4">
        <w:t>the</w:t>
      </w:r>
      <w:r w:rsidRPr="00DD07E1">
        <w:t xml:space="preserve"> research would </w:t>
      </w:r>
      <w:r w:rsidRPr="007500E4">
        <w:t>be</w:t>
      </w:r>
      <w:r w:rsidRPr="00DD07E1">
        <w:t xml:space="preserve"> likely to</w:t>
      </w:r>
      <w:r w:rsidRPr="00DD07E1">
        <w:rPr>
          <w:w w:val="99"/>
        </w:rPr>
        <w:t xml:space="preserve"> </w:t>
      </w:r>
      <w:r w:rsidRPr="00DD07E1">
        <w:t xml:space="preserve">unreasonably </w:t>
      </w:r>
      <w:r w:rsidRPr="007500E4">
        <w:t>to</w:t>
      </w:r>
      <w:r w:rsidRPr="00DD07E1">
        <w:t xml:space="preserve"> expose </w:t>
      </w:r>
      <w:r w:rsidRPr="007500E4">
        <w:t>the</w:t>
      </w:r>
      <w:r w:rsidRPr="00DD07E1">
        <w:t xml:space="preserve"> </w:t>
      </w:r>
      <w:r w:rsidRPr="007500E4">
        <w:t>agency</w:t>
      </w:r>
      <w:r w:rsidRPr="00DD07E1">
        <w:t xml:space="preserve"> or officer </w:t>
      </w:r>
      <w:r w:rsidRPr="007500E4">
        <w:t>to</w:t>
      </w:r>
      <w:r w:rsidRPr="00DD07E1">
        <w:t xml:space="preserve"> </w:t>
      </w:r>
      <w:r w:rsidRPr="007500E4">
        <w:t>disadvantage.</w:t>
      </w:r>
    </w:p>
    <w:p w14:paraId="66FA2E10" w14:textId="4F6FB2B7" w:rsidR="00BB0A82" w:rsidRPr="00D32580" w:rsidRDefault="00BB0A82" w:rsidP="00B73860">
      <w:pPr>
        <w:pStyle w:val="NumberedParagraphs"/>
        <w:ind w:left="567"/>
      </w:pPr>
      <w:bookmarkStart w:id="271" w:name="_Ref459111161"/>
      <w:r w:rsidRPr="00DD07E1">
        <w:t xml:space="preserve">There </w:t>
      </w:r>
      <w:r w:rsidRPr="007500E4">
        <w:t>are</w:t>
      </w:r>
      <w:r w:rsidRPr="00DD07E1">
        <w:t xml:space="preserve"> </w:t>
      </w:r>
      <w:r w:rsidRPr="007500E4">
        <w:t>no</w:t>
      </w:r>
      <w:r w:rsidRPr="00DD07E1">
        <w:t xml:space="preserve"> </w:t>
      </w:r>
      <w:r w:rsidRPr="007500E4">
        <w:t>AAT</w:t>
      </w:r>
      <w:r w:rsidRPr="00DD07E1">
        <w:t xml:space="preserve"> </w:t>
      </w:r>
      <w:r w:rsidRPr="007500E4">
        <w:t xml:space="preserve">or </w:t>
      </w:r>
      <w:r w:rsidRPr="00DD07E1">
        <w:t xml:space="preserve">court decisions </w:t>
      </w:r>
      <w:r w:rsidRPr="00D32580">
        <w:t>on the provision.</w:t>
      </w:r>
      <w:bookmarkEnd w:id="271"/>
    </w:p>
    <w:p w14:paraId="26C5F97A" w14:textId="33E2F065" w:rsidR="00BB0A82" w:rsidRPr="00D9577E" w:rsidRDefault="00BB0A82" w:rsidP="008A163F">
      <w:pPr>
        <w:pStyle w:val="Heading2"/>
        <w:spacing w:before="240"/>
      </w:pPr>
      <w:bookmarkStart w:id="272" w:name="The_Australian_economy"/>
      <w:bookmarkStart w:id="273" w:name="_bookmark70"/>
      <w:bookmarkStart w:id="274" w:name="_Toc11154523"/>
      <w:bookmarkStart w:id="275" w:name="_Toc141875249"/>
      <w:bookmarkEnd w:id="272"/>
      <w:bookmarkEnd w:id="273"/>
      <w:r w:rsidRPr="00D9577E">
        <w:t>Documents affecting the Australian economy (s</w:t>
      </w:r>
      <w:r w:rsidR="00D9577E">
        <w:t> </w:t>
      </w:r>
      <w:r w:rsidRPr="00D9577E">
        <w:t>47J)</w:t>
      </w:r>
      <w:bookmarkEnd w:id="274"/>
      <w:bookmarkEnd w:id="275"/>
    </w:p>
    <w:p w14:paraId="140072BF" w14:textId="6BE995EB" w:rsidR="00BB0A82" w:rsidRPr="007500E4" w:rsidRDefault="00BB0A82" w:rsidP="00B73860">
      <w:pPr>
        <w:pStyle w:val="NumberedParagraphs"/>
        <w:ind w:left="567"/>
      </w:pPr>
      <w:bookmarkStart w:id="276" w:name="_Ref459111172"/>
      <w:r w:rsidRPr="007500E4">
        <w:t>Under</w:t>
      </w:r>
      <w:r w:rsidRPr="00DD07E1">
        <w:t xml:space="preserve"> </w:t>
      </w:r>
      <w:r w:rsidRPr="007500E4">
        <w:t>s</w:t>
      </w:r>
      <w:r w:rsidRPr="00DD07E1">
        <w:t xml:space="preserve"> 47J(1) </w:t>
      </w:r>
      <w:r w:rsidRPr="007500E4">
        <w:t>a</w:t>
      </w:r>
      <w:r w:rsidRPr="00DD07E1">
        <w:t xml:space="preserve"> document</w:t>
      </w:r>
      <w:r w:rsidRPr="007500E4">
        <w:t xml:space="preserve"> is</w:t>
      </w:r>
      <w:r w:rsidRPr="00DD07E1">
        <w:t xml:space="preserve"> conditionally exempt</w:t>
      </w:r>
      <w:r w:rsidRPr="007500E4">
        <w:t xml:space="preserve"> if</w:t>
      </w:r>
      <w:r w:rsidRPr="00DD07E1">
        <w:t xml:space="preserve"> </w:t>
      </w:r>
      <w:r w:rsidRPr="007500E4">
        <w:t>its</w:t>
      </w:r>
      <w:r w:rsidRPr="00DD07E1">
        <w:t xml:space="preserve"> disclosure under the</w:t>
      </w:r>
      <w:r w:rsidRPr="007500E4">
        <w:t xml:space="preserve"> </w:t>
      </w:r>
      <w:r w:rsidRPr="00DD07E1">
        <w:t>FOI</w:t>
      </w:r>
      <w:r w:rsidR="004A5901">
        <w:t> </w:t>
      </w:r>
      <w:r w:rsidRPr="007500E4">
        <w:t>Act</w:t>
      </w:r>
      <w:r w:rsidRPr="00DD07E1">
        <w:rPr>
          <w:w w:val="99"/>
        </w:rPr>
        <w:t xml:space="preserve"> </w:t>
      </w:r>
      <w:r w:rsidRPr="00DD07E1">
        <w:t xml:space="preserve">would, or could </w:t>
      </w:r>
      <w:r w:rsidRPr="00DD07E1">
        <w:rPr>
          <w:rFonts w:cs="Calibri"/>
        </w:rPr>
        <w:t xml:space="preserve">reasonably </w:t>
      </w:r>
      <w:r w:rsidRPr="007500E4">
        <w:rPr>
          <w:rFonts w:cs="Calibri"/>
        </w:rPr>
        <w:t>be</w:t>
      </w:r>
      <w:r w:rsidRPr="00DD07E1">
        <w:rPr>
          <w:rFonts w:cs="Calibri"/>
        </w:rPr>
        <w:t xml:space="preserve"> expected</w:t>
      </w:r>
      <w:r w:rsidRPr="007500E4">
        <w:rPr>
          <w:rFonts w:cs="Calibri"/>
        </w:rPr>
        <w:t xml:space="preserve"> to,</w:t>
      </w:r>
      <w:r w:rsidRPr="00DD07E1">
        <w:rPr>
          <w:rFonts w:cs="Calibri"/>
        </w:rPr>
        <w:t xml:space="preserve"> </w:t>
      </w:r>
      <w:r w:rsidRPr="007500E4">
        <w:rPr>
          <w:rFonts w:cs="Calibri"/>
        </w:rPr>
        <w:t>have</w:t>
      </w:r>
      <w:r w:rsidRPr="00DD07E1">
        <w:rPr>
          <w:rFonts w:cs="Calibri"/>
        </w:rPr>
        <w:t xml:space="preserve"> </w:t>
      </w:r>
      <w:r w:rsidRPr="007500E4">
        <w:rPr>
          <w:rFonts w:cs="Calibri"/>
        </w:rPr>
        <w:t xml:space="preserve">a </w:t>
      </w:r>
      <w:r w:rsidRPr="00DD07E1">
        <w:rPr>
          <w:rFonts w:cs="Calibri"/>
        </w:rPr>
        <w:t>substantial</w:t>
      </w:r>
      <w:r w:rsidRPr="007500E4">
        <w:rPr>
          <w:rFonts w:cs="Calibri"/>
        </w:rPr>
        <w:t xml:space="preserve"> </w:t>
      </w:r>
      <w:r w:rsidRPr="00DD07E1">
        <w:rPr>
          <w:rFonts w:cs="Calibri"/>
        </w:rPr>
        <w:t>adverse effect</w:t>
      </w:r>
      <w:r w:rsidRPr="007500E4">
        <w:rPr>
          <w:rFonts w:cs="Calibri"/>
        </w:rPr>
        <w:t xml:space="preserve"> </w:t>
      </w:r>
      <w:r w:rsidRPr="00DD07E1">
        <w:rPr>
          <w:rFonts w:cs="Calibri"/>
        </w:rPr>
        <w:t xml:space="preserve">on Australia’s </w:t>
      </w:r>
      <w:r w:rsidRPr="007500E4">
        <w:t>economy</w:t>
      </w:r>
      <w:r w:rsidRPr="00DD07E1">
        <w:t xml:space="preserve"> by:</w:t>
      </w:r>
      <w:bookmarkEnd w:id="276"/>
    </w:p>
    <w:p w14:paraId="703ED06B" w14:textId="77777777" w:rsidR="00BB0A82" w:rsidRPr="007500E4" w:rsidRDefault="00BB0A82" w:rsidP="000D0AF7">
      <w:pPr>
        <w:pStyle w:val="List"/>
        <w:numPr>
          <w:ilvl w:val="0"/>
          <w:numId w:val="57"/>
        </w:numPr>
        <w:tabs>
          <w:tab w:val="left" w:pos="851"/>
        </w:tabs>
        <w:ind w:hanging="984"/>
      </w:pPr>
      <w:r w:rsidRPr="00DD07E1">
        <w:t xml:space="preserve">influencing </w:t>
      </w:r>
      <w:r w:rsidRPr="007500E4">
        <w:t>a</w:t>
      </w:r>
      <w:r w:rsidRPr="00DD07E1">
        <w:t xml:space="preserve"> </w:t>
      </w:r>
      <w:r w:rsidRPr="007500E4">
        <w:t>decision</w:t>
      </w:r>
      <w:r w:rsidRPr="00DD07E1">
        <w:t xml:space="preserve"> </w:t>
      </w:r>
      <w:r w:rsidRPr="007500E4">
        <w:t>or</w:t>
      </w:r>
      <w:r w:rsidRPr="00DD07E1">
        <w:t xml:space="preserve"> </w:t>
      </w:r>
      <w:r w:rsidRPr="007500E4">
        <w:t>action</w:t>
      </w:r>
      <w:r w:rsidRPr="00DD07E1">
        <w:t xml:space="preserve"> </w:t>
      </w:r>
      <w:r w:rsidRPr="007500E4">
        <w:t>of</w:t>
      </w:r>
      <w:r w:rsidRPr="00DD07E1">
        <w:t xml:space="preserve"> </w:t>
      </w:r>
      <w:r w:rsidRPr="007500E4">
        <w:t>a</w:t>
      </w:r>
      <w:r w:rsidRPr="00DD07E1">
        <w:t xml:space="preserve"> person </w:t>
      </w:r>
      <w:r w:rsidRPr="007500E4">
        <w:t>or</w:t>
      </w:r>
      <w:r w:rsidRPr="00DD07E1">
        <w:t xml:space="preserve"> entity, </w:t>
      </w:r>
      <w:r w:rsidRPr="007500E4">
        <w:t>or</w:t>
      </w:r>
    </w:p>
    <w:p w14:paraId="34CE7A34" w14:textId="77777777" w:rsidR="00BB0A82" w:rsidRPr="007500E4" w:rsidRDefault="00BB0A82" w:rsidP="000D0AF7">
      <w:pPr>
        <w:pStyle w:val="List"/>
        <w:numPr>
          <w:ilvl w:val="0"/>
          <w:numId w:val="57"/>
        </w:numPr>
        <w:tabs>
          <w:tab w:val="left" w:pos="851"/>
        </w:tabs>
        <w:ind w:left="851" w:hanging="284"/>
      </w:pPr>
      <w:r w:rsidRPr="00DD07E1">
        <w:t xml:space="preserve">giving </w:t>
      </w:r>
      <w:r w:rsidRPr="007500E4">
        <w:t>a</w:t>
      </w:r>
      <w:r w:rsidRPr="00DD07E1">
        <w:t xml:space="preserve"> person (or class </w:t>
      </w:r>
      <w:r w:rsidRPr="007500E4">
        <w:t>of</w:t>
      </w:r>
      <w:r w:rsidRPr="00DD07E1">
        <w:t xml:space="preserve"> persons) </w:t>
      </w:r>
      <w:r w:rsidRPr="007500E4">
        <w:t>an</w:t>
      </w:r>
      <w:r w:rsidRPr="00DD07E1">
        <w:t xml:space="preserve"> undue benefit or detriment, in relation to business carried on </w:t>
      </w:r>
      <w:r w:rsidRPr="007500E4">
        <w:t>by</w:t>
      </w:r>
      <w:r w:rsidRPr="00DD07E1">
        <w:t xml:space="preserve"> the person (or class), </w:t>
      </w:r>
      <w:r w:rsidRPr="007500E4">
        <w:t>by</w:t>
      </w:r>
      <w:r w:rsidRPr="00DD07E1">
        <w:t xml:space="preserve"> providing premature knowledge </w:t>
      </w:r>
      <w:r w:rsidRPr="007500E4">
        <w:t>of</w:t>
      </w:r>
      <w:r w:rsidRPr="00DD07E1">
        <w:t xml:space="preserve"> proposed </w:t>
      </w:r>
      <w:r w:rsidRPr="007500E4">
        <w:t>or</w:t>
      </w:r>
      <w:r w:rsidRPr="00DD07E1">
        <w:t xml:space="preserve"> possible action or inaction of </w:t>
      </w:r>
      <w:r w:rsidRPr="007500E4">
        <w:t>a</w:t>
      </w:r>
      <w:r w:rsidRPr="00DD07E1">
        <w:t xml:space="preserve"> person </w:t>
      </w:r>
      <w:r w:rsidRPr="007500E4">
        <w:t>or</w:t>
      </w:r>
      <w:r w:rsidRPr="00DD07E1">
        <w:t xml:space="preserve"> entity.</w:t>
      </w:r>
    </w:p>
    <w:p w14:paraId="7032F4EE" w14:textId="7B2BBA7E" w:rsidR="00BB0A82" w:rsidRPr="00DD07E1" w:rsidRDefault="00BB0A82" w:rsidP="00B73860">
      <w:pPr>
        <w:pStyle w:val="NumberedParagraphs"/>
        <w:ind w:left="567"/>
      </w:pPr>
      <w:r w:rsidRPr="007500E4">
        <w:lastRenderedPageBreak/>
        <w:t>The</w:t>
      </w:r>
      <w:r w:rsidRPr="00DD07E1">
        <w:t xml:space="preserve"> </w:t>
      </w:r>
      <w:r w:rsidRPr="007500E4">
        <w:t>economy</w:t>
      </w:r>
      <w:r w:rsidRPr="00DD07E1">
        <w:t xml:space="preserve"> </w:t>
      </w:r>
      <w:r w:rsidR="0000515E">
        <w:t xml:space="preserve">conditional </w:t>
      </w:r>
      <w:r w:rsidRPr="00DD07E1">
        <w:t xml:space="preserve">exemption reflects </w:t>
      </w:r>
      <w:r w:rsidRPr="007500E4">
        <w:t>the</w:t>
      </w:r>
      <w:r w:rsidRPr="00DD07E1">
        <w:t xml:space="preserve"> need </w:t>
      </w:r>
      <w:r w:rsidRPr="007500E4">
        <w:t>for</w:t>
      </w:r>
      <w:r w:rsidRPr="00DD07E1">
        <w:t xml:space="preserve"> the </w:t>
      </w:r>
      <w:r w:rsidRPr="007500E4">
        <w:t>government</w:t>
      </w:r>
      <w:r w:rsidRPr="00DD07E1">
        <w:t xml:space="preserve"> to </w:t>
      </w:r>
      <w:r w:rsidRPr="007500E4">
        <w:t>be</w:t>
      </w:r>
      <w:r w:rsidRPr="00DD07E1">
        <w:t xml:space="preserve"> able to maintain </w:t>
      </w:r>
      <w:r w:rsidRPr="007500E4">
        <w:t>the</w:t>
      </w:r>
      <w:r w:rsidRPr="00DD07E1">
        <w:t xml:space="preserve"> confidentiality of certain information </w:t>
      </w:r>
      <w:r w:rsidRPr="007500E4">
        <w:t>if</w:t>
      </w:r>
      <w:r w:rsidRPr="00DD07E1">
        <w:t xml:space="preserve"> </w:t>
      </w:r>
      <w:r w:rsidRPr="007500E4">
        <w:t>it</w:t>
      </w:r>
      <w:r w:rsidRPr="00DD07E1">
        <w:t xml:space="preserve"> </w:t>
      </w:r>
      <w:r w:rsidRPr="007500E4">
        <w:t>is</w:t>
      </w:r>
      <w:r w:rsidRPr="00DD07E1">
        <w:t xml:space="preserve"> to carry out its economic policy responsibilities, including the development and implementation of economic </w:t>
      </w:r>
      <w:r w:rsidRPr="007500E4">
        <w:t>policy</w:t>
      </w:r>
      <w:r w:rsidRPr="00DD07E1">
        <w:t xml:space="preserve"> </w:t>
      </w:r>
      <w:r w:rsidRPr="007500E4">
        <w:t>in</w:t>
      </w:r>
      <w:r w:rsidRPr="00DD07E1">
        <w:t xml:space="preserve"> </w:t>
      </w:r>
      <w:r w:rsidRPr="007500E4">
        <w:t>a</w:t>
      </w:r>
      <w:r w:rsidRPr="00DD07E1">
        <w:t xml:space="preserve"> </w:t>
      </w:r>
      <w:r w:rsidRPr="007500E4">
        <w:t>timely</w:t>
      </w:r>
      <w:r w:rsidRPr="00DD07E1">
        <w:t xml:space="preserve"> and effective manner. </w:t>
      </w:r>
    </w:p>
    <w:p w14:paraId="6DEB38B5" w14:textId="77777777" w:rsidR="00BB0A82" w:rsidRPr="007500E4" w:rsidRDefault="00BB0A82" w:rsidP="00B73860">
      <w:pPr>
        <w:pStyle w:val="NumberedParagraphs"/>
        <w:ind w:left="567"/>
      </w:pPr>
      <w:r w:rsidRPr="00DD07E1">
        <w:rPr>
          <w:rFonts w:cs="Calibri"/>
        </w:rPr>
        <w:t>Section</w:t>
      </w:r>
      <w:r w:rsidRPr="007500E4">
        <w:rPr>
          <w:rFonts w:cs="Calibri"/>
        </w:rPr>
        <w:t xml:space="preserve"> </w:t>
      </w:r>
      <w:r w:rsidRPr="00DD07E1">
        <w:rPr>
          <w:rFonts w:cs="Calibri"/>
        </w:rPr>
        <w:t>47J(2) makes</w:t>
      </w:r>
      <w:r w:rsidRPr="007500E4">
        <w:rPr>
          <w:rFonts w:cs="Calibri"/>
        </w:rPr>
        <w:t xml:space="preserve"> it</w:t>
      </w:r>
      <w:r w:rsidRPr="00DD07E1">
        <w:rPr>
          <w:rFonts w:cs="Calibri"/>
        </w:rPr>
        <w:t xml:space="preserve"> clear</w:t>
      </w:r>
      <w:r w:rsidRPr="007500E4">
        <w:rPr>
          <w:rFonts w:cs="Calibri"/>
        </w:rPr>
        <w:t xml:space="preserve"> </w:t>
      </w:r>
      <w:r w:rsidRPr="00DD07E1">
        <w:rPr>
          <w:rFonts w:cs="Calibri"/>
        </w:rPr>
        <w:t xml:space="preserve">that ‘substantial adverse effect on Australia’s </w:t>
      </w:r>
      <w:r w:rsidRPr="007500E4">
        <w:rPr>
          <w:rFonts w:cs="Calibri"/>
        </w:rPr>
        <w:t>economy’</w:t>
      </w:r>
      <w:r w:rsidRPr="00DD07E1">
        <w:rPr>
          <w:rFonts w:cs="Calibri"/>
        </w:rPr>
        <w:t xml:space="preserve"> </w:t>
      </w:r>
      <w:r w:rsidRPr="00DD07E1">
        <w:t xml:space="preserve">includes </w:t>
      </w:r>
      <w:r w:rsidRPr="007500E4">
        <w:t>a</w:t>
      </w:r>
      <w:r w:rsidRPr="00DD07E1">
        <w:t xml:space="preserve"> substantial adverse effect </w:t>
      </w:r>
      <w:r w:rsidRPr="007500E4">
        <w:t>on</w:t>
      </w:r>
      <w:r w:rsidRPr="00DD07E1">
        <w:t xml:space="preserve"> </w:t>
      </w:r>
      <w:r w:rsidRPr="007500E4">
        <w:t>a</w:t>
      </w:r>
      <w:r w:rsidRPr="00DD07E1">
        <w:t xml:space="preserve"> particular segment </w:t>
      </w:r>
      <w:r w:rsidRPr="007500E4">
        <w:t>of</w:t>
      </w:r>
      <w:r w:rsidRPr="00DD07E1">
        <w:t xml:space="preserve"> the economy, </w:t>
      </w:r>
      <w:r w:rsidRPr="007500E4">
        <w:t>or</w:t>
      </w:r>
      <w:r w:rsidRPr="00DD07E1">
        <w:t xml:space="preserve"> </w:t>
      </w:r>
      <w:r w:rsidRPr="007500E4">
        <w:t>the</w:t>
      </w:r>
      <w:r w:rsidRPr="00DD07E1">
        <w:rPr>
          <w:w w:val="99"/>
        </w:rPr>
        <w:t xml:space="preserve"> </w:t>
      </w:r>
      <w:r w:rsidRPr="007500E4">
        <w:t>economy</w:t>
      </w:r>
      <w:r w:rsidRPr="00DD07E1">
        <w:t xml:space="preserve"> of </w:t>
      </w:r>
      <w:r w:rsidRPr="007500E4">
        <w:t>a</w:t>
      </w:r>
      <w:r w:rsidRPr="00DD07E1">
        <w:t xml:space="preserve"> particular </w:t>
      </w:r>
      <w:r w:rsidRPr="007500E4">
        <w:t>region</w:t>
      </w:r>
      <w:r w:rsidRPr="00DD07E1">
        <w:t xml:space="preserve"> </w:t>
      </w:r>
      <w:r w:rsidRPr="007500E4">
        <w:t>of</w:t>
      </w:r>
      <w:r w:rsidRPr="00DD07E1">
        <w:t xml:space="preserve"> Australia (s 47J(2)). For </w:t>
      </w:r>
      <w:r w:rsidRPr="007500E4">
        <w:t>example,</w:t>
      </w:r>
      <w:r w:rsidRPr="00DD07E1">
        <w:t xml:space="preserve"> the disclosure of </w:t>
      </w:r>
      <w:r w:rsidRPr="007500E4">
        <w:t>the</w:t>
      </w:r>
      <w:r w:rsidRPr="00DD07E1">
        <w:rPr>
          <w:w w:val="99"/>
        </w:rPr>
        <w:t xml:space="preserve"> </w:t>
      </w:r>
      <w:r w:rsidRPr="00DD07E1">
        <w:t xml:space="preserve">results </w:t>
      </w:r>
      <w:r w:rsidRPr="007500E4">
        <w:t>of</w:t>
      </w:r>
      <w:r w:rsidRPr="00DD07E1">
        <w:t xml:space="preserve"> information regarding the impacts of economic conditions </w:t>
      </w:r>
      <w:r w:rsidRPr="007500E4">
        <w:t>or</w:t>
      </w:r>
      <w:r w:rsidRPr="00DD07E1">
        <w:t xml:space="preserve"> policies </w:t>
      </w:r>
      <w:r w:rsidRPr="007500E4">
        <w:t>on</w:t>
      </w:r>
      <w:r w:rsidRPr="00DD07E1">
        <w:t xml:space="preserve"> </w:t>
      </w:r>
      <w:r w:rsidRPr="007500E4">
        <w:t>particular</w:t>
      </w:r>
      <w:r w:rsidRPr="00DD07E1">
        <w:rPr>
          <w:w w:val="99"/>
        </w:rPr>
        <w:t xml:space="preserve"> </w:t>
      </w:r>
      <w:r w:rsidRPr="00DD07E1">
        <w:t xml:space="preserve">sectors of </w:t>
      </w:r>
      <w:r w:rsidRPr="007500E4">
        <w:t>the</w:t>
      </w:r>
      <w:r w:rsidRPr="00DD07E1">
        <w:t xml:space="preserve"> market may distort investment decisions within that sector and, in turn,</w:t>
      </w:r>
      <w:r w:rsidRPr="007500E4" w:rsidDel="00DE63A8">
        <w:t xml:space="preserve"> </w:t>
      </w:r>
      <w:r w:rsidRPr="007500E4">
        <w:t>adversely</w:t>
      </w:r>
      <w:r w:rsidRPr="00DD07E1">
        <w:t xml:space="preserve"> affect </w:t>
      </w:r>
      <w:r w:rsidRPr="00DD07E1">
        <w:rPr>
          <w:rFonts w:cs="Calibri"/>
        </w:rPr>
        <w:t>the Government’s ability to</w:t>
      </w:r>
      <w:r w:rsidRPr="007500E4">
        <w:rPr>
          <w:rFonts w:cs="Calibri"/>
        </w:rPr>
        <w:t xml:space="preserve"> </w:t>
      </w:r>
      <w:r w:rsidRPr="00DD07E1">
        <w:rPr>
          <w:rFonts w:cs="Calibri"/>
        </w:rPr>
        <w:t>develop and implement</w:t>
      </w:r>
      <w:r w:rsidRPr="007500E4">
        <w:rPr>
          <w:rFonts w:cs="Calibri"/>
        </w:rPr>
        <w:t xml:space="preserve"> </w:t>
      </w:r>
      <w:r w:rsidRPr="00DD07E1">
        <w:rPr>
          <w:rFonts w:cs="Calibri"/>
        </w:rPr>
        <w:t xml:space="preserve">economic </w:t>
      </w:r>
      <w:r w:rsidRPr="007500E4">
        <w:rPr>
          <w:rFonts w:cs="Calibri"/>
        </w:rPr>
        <w:t>policies</w:t>
      </w:r>
      <w:r w:rsidRPr="00DD07E1">
        <w:rPr>
          <w:rFonts w:cs="Calibri"/>
        </w:rPr>
        <w:t xml:space="preserve"> </w:t>
      </w:r>
      <w:r w:rsidRPr="007500E4">
        <w:rPr>
          <w:rFonts w:cs="Calibri"/>
        </w:rPr>
        <w:t>more</w:t>
      </w:r>
      <w:r w:rsidRPr="00DD07E1">
        <w:rPr>
          <w:rFonts w:cs="Calibri"/>
        </w:rPr>
        <w:t xml:space="preserve"> </w:t>
      </w:r>
      <w:r w:rsidRPr="007500E4">
        <w:t>generally.</w:t>
      </w:r>
    </w:p>
    <w:p w14:paraId="73EB6778" w14:textId="23E03F05" w:rsidR="00BB0A82" w:rsidRPr="007500E4" w:rsidRDefault="00BB0A82" w:rsidP="00B73860">
      <w:pPr>
        <w:pStyle w:val="NumberedParagraphs"/>
        <w:ind w:left="567"/>
      </w:pPr>
      <w:r w:rsidRPr="007500E4">
        <w:t xml:space="preserve">In </w:t>
      </w:r>
      <w:r w:rsidRPr="00DD07E1">
        <w:t>this</w:t>
      </w:r>
      <w:r w:rsidRPr="007500E4">
        <w:t xml:space="preserve"> </w:t>
      </w:r>
      <w:r w:rsidRPr="00DD07E1">
        <w:t>exemption,</w:t>
      </w:r>
      <w:r w:rsidRPr="007500E4">
        <w:t xml:space="preserve"> a</w:t>
      </w:r>
      <w:r w:rsidRPr="00DD07E1">
        <w:t xml:space="preserve"> ‘person’ includes </w:t>
      </w:r>
      <w:r w:rsidRPr="007500E4">
        <w:t>a</w:t>
      </w:r>
      <w:r w:rsidRPr="00DD07E1">
        <w:t xml:space="preserve"> </w:t>
      </w:r>
      <w:r w:rsidRPr="007500E4">
        <w:t>body</w:t>
      </w:r>
      <w:r w:rsidRPr="00DD07E1">
        <w:t xml:space="preserve"> corporate</w:t>
      </w:r>
      <w:r w:rsidRPr="007500E4">
        <w:t xml:space="preserve"> </w:t>
      </w:r>
      <w:r w:rsidRPr="00DD07E1">
        <w:t xml:space="preserve">and </w:t>
      </w:r>
      <w:r w:rsidRPr="007500E4">
        <w:t xml:space="preserve">a </w:t>
      </w:r>
      <w:r w:rsidRPr="00DD07E1">
        <w:t>body politic</w:t>
      </w:r>
      <w:r w:rsidRPr="007500E4">
        <w:t xml:space="preserve"> </w:t>
      </w:r>
      <w:r w:rsidRPr="00DD07E1">
        <w:t>(for</w:t>
      </w:r>
      <w:r w:rsidRPr="00DD07E1">
        <w:rPr>
          <w:w w:val="99"/>
        </w:rPr>
        <w:t xml:space="preserve"> </w:t>
      </w:r>
      <w:r w:rsidRPr="007500E4">
        <w:t>example,</w:t>
      </w:r>
      <w:r w:rsidRPr="00DD07E1">
        <w:t xml:space="preserve"> the government of </w:t>
      </w:r>
      <w:r w:rsidRPr="007500E4">
        <w:t>a</w:t>
      </w:r>
      <w:r w:rsidRPr="00DD07E1">
        <w:t xml:space="preserve"> State </w:t>
      </w:r>
      <w:r w:rsidRPr="007500E4">
        <w:t>or</w:t>
      </w:r>
      <w:r w:rsidRPr="00DD07E1">
        <w:t xml:space="preserve"> Territory) </w:t>
      </w:r>
      <w:r w:rsidRPr="007500E4">
        <w:t>(</w:t>
      </w:r>
      <w:r w:rsidR="00496FA7">
        <w:t xml:space="preserve">s 22 </w:t>
      </w:r>
      <w:r w:rsidRPr="007500E4">
        <w:rPr>
          <w:i/>
        </w:rPr>
        <w:t>Acts</w:t>
      </w:r>
      <w:r w:rsidRPr="00DD07E1">
        <w:rPr>
          <w:i/>
        </w:rPr>
        <w:t xml:space="preserve"> Interpretation </w:t>
      </w:r>
      <w:r w:rsidRPr="007500E4">
        <w:rPr>
          <w:i/>
        </w:rPr>
        <w:t>Act</w:t>
      </w:r>
      <w:r w:rsidRPr="00DD07E1">
        <w:rPr>
          <w:i/>
        </w:rPr>
        <w:t xml:space="preserve"> </w:t>
      </w:r>
      <w:r w:rsidRPr="007500E4">
        <w:rPr>
          <w:i/>
        </w:rPr>
        <w:t>1901</w:t>
      </w:r>
      <w:r w:rsidRPr="007500E4">
        <w:t>).</w:t>
      </w:r>
    </w:p>
    <w:p w14:paraId="28ED6034" w14:textId="77777777" w:rsidR="00BB0A82" w:rsidRPr="007500E4" w:rsidRDefault="00BB0A82" w:rsidP="00B73860">
      <w:pPr>
        <w:pStyle w:val="NumberedParagraphs"/>
        <w:ind w:left="567"/>
      </w:pPr>
      <w:r w:rsidRPr="007500E4">
        <w:t>The</w:t>
      </w:r>
      <w:r w:rsidRPr="00DD07E1">
        <w:t xml:space="preserve"> </w:t>
      </w:r>
      <w:r w:rsidRPr="007500E4">
        <w:t>types</w:t>
      </w:r>
      <w:r w:rsidRPr="00DD07E1">
        <w:t xml:space="preserve"> </w:t>
      </w:r>
      <w:r w:rsidRPr="007500E4">
        <w:t>of</w:t>
      </w:r>
      <w:r w:rsidRPr="00DD07E1">
        <w:t xml:space="preserve"> documents </w:t>
      </w:r>
      <w:r w:rsidRPr="007500E4">
        <w:t>to</w:t>
      </w:r>
      <w:r w:rsidRPr="00DD07E1">
        <w:t xml:space="preserve"> which </w:t>
      </w:r>
      <w:r w:rsidRPr="007500E4">
        <w:t>s</w:t>
      </w:r>
      <w:r w:rsidRPr="00DD07E1">
        <w:t xml:space="preserve"> 47J(1) applies includes documents containing</w:t>
      </w:r>
      <w:r w:rsidRPr="00DD07E1">
        <w:rPr>
          <w:w w:val="99"/>
        </w:rPr>
        <w:t xml:space="preserve"> </w:t>
      </w:r>
      <w:r w:rsidRPr="00DD07E1">
        <w:t>matters related to any of the following:</w:t>
      </w:r>
    </w:p>
    <w:p w14:paraId="35907D3D" w14:textId="77777777" w:rsidR="00BB0A82" w:rsidRPr="007500E4" w:rsidRDefault="00BB0A82" w:rsidP="00F6558E">
      <w:pPr>
        <w:pStyle w:val="IndentBullet1"/>
        <w:ind w:left="993" w:hanging="426"/>
      </w:pPr>
      <w:r w:rsidRPr="00DD07E1">
        <w:t xml:space="preserve">currency </w:t>
      </w:r>
      <w:r w:rsidRPr="007500E4">
        <w:t>or</w:t>
      </w:r>
      <w:r w:rsidRPr="00DD07E1">
        <w:t xml:space="preserve"> exchange rates</w:t>
      </w:r>
    </w:p>
    <w:p w14:paraId="0321588B" w14:textId="77777777" w:rsidR="00BB0A82" w:rsidRPr="007500E4" w:rsidRDefault="00BB0A82" w:rsidP="00F6558E">
      <w:pPr>
        <w:pStyle w:val="IndentBullet1"/>
        <w:ind w:left="993" w:hanging="426"/>
      </w:pPr>
      <w:r w:rsidRPr="00DD07E1">
        <w:t xml:space="preserve">interest </w:t>
      </w:r>
      <w:r w:rsidRPr="007500E4">
        <w:t>rates</w:t>
      </w:r>
    </w:p>
    <w:p w14:paraId="314E75A2" w14:textId="77777777" w:rsidR="00BB0A82" w:rsidRPr="007500E4" w:rsidRDefault="00BB0A82" w:rsidP="00F6558E">
      <w:pPr>
        <w:pStyle w:val="IndentBullet1"/>
        <w:ind w:left="993" w:hanging="426"/>
      </w:pPr>
      <w:r w:rsidRPr="007500E4">
        <w:t>taxes,</w:t>
      </w:r>
      <w:r w:rsidRPr="00DD07E1">
        <w:t xml:space="preserve"> including duties of customs </w:t>
      </w:r>
      <w:r w:rsidRPr="007500E4">
        <w:t>or</w:t>
      </w:r>
      <w:r w:rsidRPr="00DD07E1">
        <w:t xml:space="preserve"> </w:t>
      </w:r>
      <w:r w:rsidRPr="007500E4">
        <w:t>of</w:t>
      </w:r>
      <w:r w:rsidRPr="00DD07E1">
        <w:t xml:space="preserve"> excise</w:t>
      </w:r>
    </w:p>
    <w:p w14:paraId="2A0396FB" w14:textId="77777777" w:rsidR="00BB0A82" w:rsidRPr="007500E4" w:rsidRDefault="00BB0A82" w:rsidP="00F6558E">
      <w:pPr>
        <w:pStyle w:val="IndentBullet1"/>
        <w:ind w:left="993" w:hanging="426"/>
      </w:pPr>
      <w:r w:rsidRPr="007500E4">
        <w:t>the</w:t>
      </w:r>
      <w:r w:rsidRPr="00DD07E1">
        <w:t xml:space="preserve"> regulation or supervision</w:t>
      </w:r>
      <w:r w:rsidRPr="007500E4">
        <w:t xml:space="preserve"> </w:t>
      </w:r>
      <w:r w:rsidRPr="00DD07E1">
        <w:t>of banking, insurance and other financial institutions</w:t>
      </w:r>
    </w:p>
    <w:p w14:paraId="66C3DE78" w14:textId="77777777" w:rsidR="00BB0A82" w:rsidRPr="007500E4" w:rsidRDefault="00BB0A82" w:rsidP="00F6558E">
      <w:pPr>
        <w:pStyle w:val="IndentBullet1"/>
        <w:ind w:left="993" w:hanging="426"/>
      </w:pPr>
      <w:r w:rsidRPr="00DD07E1">
        <w:t>proposals for expenditure</w:t>
      </w:r>
    </w:p>
    <w:p w14:paraId="033A7FC8" w14:textId="77777777" w:rsidR="00BB0A82" w:rsidRPr="007500E4" w:rsidRDefault="00BB0A82" w:rsidP="00F6558E">
      <w:pPr>
        <w:pStyle w:val="IndentBullet1"/>
        <w:ind w:left="993" w:hanging="426"/>
      </w:pPr>
      <w:r w:rsidRPr="00DD07E1">
        <w:t xml:space="preserve">foreign investment </w:t>
      </w:r>
      <w:r w:rsidRPr="007500E4">
        <w:t>in</w:t>
      </w:r>
      <w:r w:rsidRPr="00DD07E1">
        <w:t xml:space="preserve"> Australia</w:t>
      </w:r>
    </w:p>
    <w:p w14:paraId="7644DB7E" w14:textId="77777777" w:rsidR="00BB0A82" w:rsidRPr="007500E4" w:rsidRDefault="00BB0A82" w:rsidP="00F6558E">
      <w:pPr>
        <w:pStyle w:val="IndentBullet1"/>
        <w:ind w:left="993" w:hanging="426"/>
      </w:pPr>
      <w:r w:rsidRPr="00DD07E1">
        <w:t xml:space="preserve">borrowings </w:t>
      </w:r>
      <w:r w:rsidRPr="007500E4">
        <w:t>by</w:t>
      </w:r>
      <w:r w:rsidRPr="00DD07E1">
        <w:t xml:space="preserve"> </w:t>
      </w:r>
      <w:r w:rsidRPr="007500E4">
        <w:t>the</w:t>
      </w:r>
      <w:r w:rsidRPr="00DD07E1">
        <w:t xml:space="preserve"> Commonwealth,</w:t>
      </w:r>
      <w:r w:rsidRPr="007500E4">
        <w:t xml:space="preserve"> a</w:t>
      </w:r>
      <w:r w:rsidRPr="00DD07E1">
        <w:t xml:space="preserve"> State </w:t>
      </w:r>
      <w:r w:rsidRPr="007500E4">
        <w:t>or</w:t>
      </w:r>
      <w:r w:rsidRPr="00DD07E1">
        <w:t xml:space="preserve"> an authority </w:t>
      </w:r>
      <w:r w:rsidRPr="007500E4">
        <w:t>of</w:t>
      </w:r>
      <w:r w:rsidRPr="00DD07E1">
        <w:t xml:space="preserve"> </w:t>
      </w:r>
      <w:r w:rsidRPr="007500E4">
        <w:t>the</w:t>
      </w:r>
      <w:r w:rsidRPr="00DD07E1">
        <w:rPr>
          <w:w w:val="99"/>
        </w:rPr>
        <w:t xml:space="preserve"> </w:t>
      </w:r>
      <w:r w:rsidRPr="00DD07E1">
        <w:t xml:space="preserve">Commonwealth, Norfolk </w:t>
      </w:r>
      <w:r w:rsidRPr="007500E4">
        <w:t>Island</w:t>
      </w:r>
      <w:r w:rsidRPr="00DD07E1">
        <w:t xml:space="preserve"> or</w:t>
      </w:r>
      <w:r w:rsidRPr="007500E4">
        <w:t xml:space="preserve"> </w:t>
      </w:r>
      <w:r w:rsidRPr="00DD07E1">
        <w:t xml:space="preserve">of </w:t>
      </w:r>
      <w:r w:rsidRPr="007500E4">
        <w:t>a</w:t>
      </w:r>
      <w:r w:rsidRPr="00DD07E1">
        <w:t xml:space="preserve"> State (s 47J(3)).</w:t>
      </w:r>
    </w:p>
    <w:p w14:paraId="4AA567B0" w14:textId="03ED070D" w:rsidR="00BB0A82" w:rsidRPr="007500E4" w:rsidRDefault="00BB0A82" w:rsidP="00B73860">
      <w:pPr>
        <w:pStyle w:val="NumberedParagraphs"/>
        <w:ind w:left="567"/>
      </w:pPr>
      <w:r w:rsidRPr="007500E4">
        <w:t>The</w:t>
      </w:r>
      <w:r w:rsidRPr="00DD07E1">
        <w:t xml:space="preserve"> </w:t>
      </w:r>
      <w:r w:rsidRPr="007500E4">
        <w:t>terms</w:t>
      </w:r>
      <w:r w:rsidRPr="00DD07E1">
        <w:t xml:space="preserve"> </w:t>
      </w:r>
      <w:r w:rsidRPr="00DD07E1">
        <w:rPr>
          <w:rFonts w:cs="Calibri"/>
        </w:rPr>
        <w:t>‘</w:t>
      </w:r>
      <w:r w:rsidRPr="00DD07E1">
        <w:t>substantial adverse effect</w:t>
      </w:r>
      <w:r w:rsidRPr="00DD07E1">
        <w:rPr>
          <w:rFonts w:cs="Calibri"/>
        </w:rPr>
        <w:t xml:space="preserve">’ </w:t>
      </w:r>
      <w:r w:rsidRPr="00DD07E1">
        <w:t xml:space="preserve">and </w:t>
      </w:r>
      <w:r w:rsidRPr="00DD07E1">
        <w:rPr>
          <w:rFonts w:cs="Calibri"/>
        </w:rPr>
        <w:t>‘</w:t>
      </w:r>
      <w:r w:rsidRPr="00DD07E1">
        <w:t xml:space="preserve">reasonably </w:t>
      </w:r>
      <w:r w:rsidRPr="007500E4">
        <w:t>be</w:t>
      </w:r>
      <w:r w:rsidRPr="00DD07E1">
        <w:t xml:space="preserve"> </w:t>
      </w:r>
      <w:r w:rsidRPr="007500E4">
        <w:t>expected</w:t>
      </w:r>
      <w:r w:rsidRPr="007500E4">
        <w:rPr>
          <w:rFonts w:cs="Calibri"/>
        </w:rPr>
        <w:t>’</w:t>
      </w:r>
      <w:r w:rsidRPr="00DD07E1">
        <w:rPr>
          <w:rFonts w:cs="Calibri"/>
        </w:rPr>
        <w:t xml:space="preserve"> </w:t>
      </w:r>
      <w:r w:rsidRPr="00DD07E1">
        <w:t xml:space="preserve">are explained </w:t>
      </w:r>
      <w:r w:rsidRPr="007500E4">
        <w:t>in</w:t>
      </w:r>
      <w:r w:rsidRPr="00DD07E1">
        <w:t xml:space="preserve"> </w:t>
      </w:r>
      <w:r w:rsidRPr="007500E4">
        <w:t>greater</w:t>
      </w:r>
      <w:r w:rsidRPr="00DD07E1">
        <w:t xml:space="preserve"> detail in </w:t>
      </w:r>
      <w:r w:rsidRPr="007500E4">
        <w:t>Part</w:t>
      </w:r>
      <w:r w:rsidRPr="00DD07E1">
        <w:t xml:space="preserve"> </w:t>
      </w:r>
      <w:r w:rsidRPr="007500E4">
        <w:t>5</w:t>
      </w:r>
      <w:r w:rsidR="00900F4A">
        <w:t xml:space="preserve"> of these Guidelines</w:t>
      </w:r>
      <w:r w:rsidRPr="007500E4">
        <w:t>.</w:t>
      </w:r>
      <w:r w:rsidRPr="00DD07E1">
        <w:t xml:space="preserve"> There </w:t>
      </w:r>
      <w:r w:rsidRPr="007500E4">
        <w:t>must</w:t>
      </w:r>
      <w:r w:rsidRPr="00DD07E1">
        <w:t xml:space="preserve"> be more than </w:t>
      </w:r>
      <w:r w:rsidRPr="007500E4">
        <w:t>an</w:t>
      </w:r>
      <w:r w:rsidRPr="00DD07E1">
        <w:t xml:space="preserve"> assumption, allegation </w:t>
      </w:r>
      <w:r w:rsidRPr="007500E4">
        <w:t>or</w:t>
      </w:r>
      <w:r w:rsidRPr="00DD07E1">
        <w:t xml:space="preserve"> </w:t>
      </w:r>
      <w:r w:rsidRPr="007500E4">
        <w:t>possibility</w:t>
      </w:r>
      <w:r w:rsidRPr="00DD07E1">
        <w:rPr>
          <w:w w:val="99"/>
        </w:rPr>
        <w:t xml:space="preserve"> </w:t>
      </w:r>
      <w:r w:rsidRPr="00DD07E1">
        <w:t xml:space="preserve">that the </w:t>
      </w:r>
      <w:r w:rsidRPr="007500E4">
        <w:t>adverse</w:t>
      </w:r>
      <w:r w:rsidRPr="00DD07E1">
        <w:t xml:space="preserve"> effect would occur if </w:t>
      </w:r>
      <w:r w:rsidRPr="007500E4">
        <w:t>the</w:t>
      </w:r>
      <w:r w:rsidRPr="00DD07E1">
        <w:t xml:space="preserve"> document were released.</w:t>
      </w:r>
    </w:p>
    <w:p w14:paraId="46879F88" w14:textId="77777777" w:rsidR="00BB0A82" w:rsidRPr="007500E4" w:rsidRDefault="00BB0A82" w:rsidP="00B73860">
      <w:pPr>
        <w:pStyle w:val="NumberedParagraphs"/>
        <w:ind w:left="567"/>
      </w:pPr>
      <w:r w:rsidRPr="007500E4">
        <w:rPr>
          <w:rFonts w:cs="Calibri"/>
        </w:rPr>
        <w:t xml:space="preserve">A </w:t>
      </w:r>
      <w:r w:rsidRPr="00DD07E1">
        <w:rPr>
          <w:rFonts w:cs="Calibri"/>
        </w:rPr>
        <w:t xml:space="preserve">decision </w:t>
      </w:r>
      <w:r w:rsidRPr="00B73860">
        <w:t>maker</w:t>
      </w:r>
      <w:r w:rsidRPr="00DD07E1">
        <w:rPr>
          <w:rFonts w:cs="Calibri"/>
        </w:rPr>
        <w:t xml:space="preserve"> </w:t>
      </w:r>
      <w:r w:rsidRPr="007500E4">
        <w:rPr>
          <w:rFonts w:cs="Calibri"/>
        </w:rPr>
        <w:t>must</w:t>
      </w:r>
      <w:r w:rsidRPr="00DD07E1">
        <w:rPr>
          <w:rFonts w:cs="Calibri"/>
        </w:rPr>
        <w:t xml:space="preserve"> focus</w:t>
      </w:r>
      <w:r w:rsidRPr="007500E4">
        <w:rPr>
          <w:rFonts w:cs="Calibri"/>
        </w:rPr>
        <w:t xml:space="preserve"> on</w:t>
      </w:r>
      <w:r w:rsidRPr="00DD07E1">
        <w:rPr>
          <w:rFonts w:cs="Calibri"/>
        </w:rPr>
        <w:t xml:space="preserve"> the expected effect on Australia’s economy</w:t>
      </w:r>
      <w:r w:rsidRPr="007500E4">
        <w:rPr>
          <w:rFonts w:cs="Calibri"/>
        </w:rPr>
        <w:t xml:space="preserve"> if</w:t>
      </w:r>
      <w:r w:rsidRPr="00DD07E1">
        <w:rPr>
          <w:rFonts w:cs="Calibri"/>
        </w:rPr>
        <w:t xml:space="preserve"> </w:t>
      </w:r>
      <w:r w:rsidRPr="007500E4">
        <w:rPr>
          <w:rFonts w:cs="Calibri"/>
        </w:rPr>
        <w:t>a</w:t>
      </w:r>
      <w:r w:rsidRPr="00DD07E1">
        <w:rPr>
          <w:rFonts w:cs="Calibri"/>
        </w:rPr>
        <w:t xml:space="preserve"> </w:t>
      </w:r>
      <w:r w:rsidRPr="00DD07E1">
        <w:t xml:space="preserve">document </w:t>
      </w:r>
      <w:r w:rsidRPr="007500E4">
        <w:t>is</w:t>
      </w:r>
      <w:r w:rsidRPr="00DD07E1">
        <w:t xml:space="preserve"> disclosed. The </w:t>
      </w:r>
      <w:r w:rsidRPr="007500E4">
        <w:t>types</w:t>
      </w:r>
      <w:r w:rsidRPr="00DD07E1">
        <w:t xml:space="preserve"> </w:t>
      </w:r>
      <w:r w:rsidRPr="007500E4">
        <w:t>of</w:t>
      </w:r>
      <w:r w:rsidRPr="00DD07E1">
        <w:t xml:space="preserve"> circumstances that would, </w:t>
      </w:r>
      <w:r w:rsidRPr="007500E4">
        <w:t>or</w:t>
      </w:r>
      <w:r w:rsidRPr="00DD07E1">
        <w:t xml:space="preserve"> could </w:t>
      </w:r>
      <w:r w:rsidRPr="007500E4">
        <w:t>reasonably</w:t>
      </w:r>
      <w:r w:rsidRPr="00DD07E1">
        <w:t xml:space="preserve"> </w:t>
      </w:r>
      <w:r w:rsidRPr="007500E4">
        <w:t>be</w:t>
      </w:r>
      <w:r w:rsidRPr="00DD07E1">
        <w:rPr>
          <w:w w:val="99"/>
        </w:rPr>
        <w:t xml:space="preserve"> </w:t>
      </w:r>
      <w:r w:rsidRPr="00DD07E1">
        <w:t xml:space="preserve">expected to, lead </w:t>
      </w:r>
      <w:r w:rsidRPr="007500E4">
        <w:t>to</w:t>
      </w:r>
      <w:r w:rsidRPr="00DD07E1">
        <w:t xml:space="preserve"> </w:t>
      </w:r>
      <w:r w:rsidRPr="007500E4">
        <w:t>a</w:t>
      </w:r>
      <w:r w:rsidRPr="00DD07E1">
        <w:t xml:space="preserve"> substantial </w:t>
      </w:r>
      <w:r w:rsidRPr="007500E4">
        <w:t>adverse</w:t>
      </w:r>
      <w:r w:rsidRPr="00DD07E1">
        <w:t xml:space="preserve"> effect could include:</w:t>
      </w:r>
    </w:p>
    <w:p w14:paraId="5C000104" w14:textId="77777777" w:rsidR="00BB0A82" w:rsidRPr="007500E4" w:rsidRDefault="00BB0A82" w:rsidP="00F6558E">
      <w:pPr>
        <w:pStyle w:val="IndentBullet1"/>
        <w:ind w:left="993" w:hanging="426"/>
      </w:pPr>
      <w:r w:rsidRPr="00DD07E1">
        <w:t xml:space="preserve">premature disclosure </w:t>
      </w:r>
      <w:r w:rsidRPr="007500E4">
        <w:t xml:space="preserve">of </w:t>
      </w:r>
      <w:r w:rsidRPr="00DD07E1">
        <w:t>information</w:t>
      </w:r>
      <w:r w:rsidRPr="007500E4">
        <w:t xml:space="preserve"> </w:t>
      </w:r>
      <w:r w:rsidRPr="00DD07E1">
        <w:t>could compromise</w:t>
      </w:r>
      <w:r w:rsidRPr="007500E4">
        <w:t xml:space="preserve"> </w:t>
      </w:r>
      <w:r w:rsidRPr="00DD07E1">
        <w:t>the Government’s ability</w:t>
      </w:r>
      <w:r w:rsidRPr="007500E4">
        <w:t xml:space="preserve"> to</w:t>
      </w:r>
      <w:r w:rsidRPr="00DD07E1">
        <w:t xml:space="preserve"> obtain access </w:t>
      </w:r>
      <w:r w:rsidRPr="007500E4">
        <w:t>to</w:t>
      </w:r>
      <w:r w:rsidRPr="00DD07E1">
        <w:t xml:space="preserve"> information</w:t>
      </w:r>
    </w:p>
    <w:p w14:paraId="0733E3C7" w14:textId="77777777" w:rsidR="00BB0A82" w:rsidRPr="004B2C2B" w:rsidRDefault="00BB0A82" w:rsidP="00F6558E">
      <w:pPr>
        <w:pStyle w:val="IndentBullet1"/>
        <w:ind w:left="993" w:hanging="426"/>
      </w:pPr>
      <w:r w:rsidRPr="00DD07E1">
        <w:t xml:space="preserve">disclosure </w:t>
      </w:r>
      <w:r w:rsidRPr="007500E4">
        <w:t>of</w:t>
      </w:r>
      <w:r w:rsidRPr="00DD07E1">
        <w:t xml:space="preserve"> information could undermine confidence in markets, financial frameworks </w:t>
      </w:r>
      <w:r w:rsidRPr="007500E4">
        <w:t>or</w:t>
      </w:r>
      <w:r w:rsidRPr="00DD07E1">
        <w:t xml:space="preserve"> institutions</w:t>
      </w:r>
      <w:r w:rsidRPr="004B2C2B">
        <w:t xml:space="preserve"> </w:t>
      </w:r>
    </w:p>
    <w:p w14:paraId="6CB5FD4A" w14:textId="77777777" w:rsidR="00BB0A82" w:rsidRPr="007500E4" w:rsidRDefault="00BB0A82" w:rsidP="00F6558E">
      <w:pPr>
        <w:pStyle w:val="IndentBullet1"/>
        <w:ind w:left="993" w:hanging="426"/>
      </w:pPr>
      <w:r w:rsidRPr="00DD07E1">
        <w:t xml:space="preserve">disclosure </w:t>
      </w:r>
      <w:r w:rsidRPr="007500E4">
        <w:t>of</w:t>
      </w:r>
      <w:r w:rsidRPr="00DD07E1">
        <w:t xml:space="preserve"> information could distort the Australian economy </w:t>
      </w:r>
      <w:r w:rsidRPr="007500E4">
        <w:t>by</w:t>
      </w:r>
      <w:r w:rsidRPr="00DD07E1">
        <w:t xml:space="preserve"> influencing investment decisions </w:t>
      </w:r>
      <w:r w:rsidRPr="007500E4">
        <w:t>or</w:t>
      </w:r>
      <w:r w:rsidRPr="00DD07E1">
        <w:t xml:space="preserve"> giving particular individuals </w:t>
      </w:r>
      <w:r w:rsidRPr="007500E4">
        <w:t>or</w:t>
      </w:r>
      <w:r w:rsidRPr="00DD07E1">
        <w:t xml:space="preserve"> businesses </w:t>
      </w:r>
      <w:r w:rsidRPr="007500E4">
        <w:t>a competitive advantage.</w:t>
      </w:r>
      <w:r w:rsidRPr="007500E4">
        <w:rPr>
          <w:rStyle w:val="FootnoteReference"/>
          <w:rFonts w:cs="Calibri"/>
        </w:rPr>
        <w:footnoteReference w:id="179"/>
      </w:r>
    </w:p>
    <w:p w14:paraId="02706B32" w14:textId="77777777" w:rsidR="00BF60AF" w:rsidRPr="00152345" w:rsidRDefault="00BF60AF" w:rsidP="008A163F">
      <w:pPr>
        <w:pStyle w:val="Heading1"/>
      </w:pPr>
      <w:bookmarkStart w:id="277" w:name="_Toc11154460"/>
      <w:bookmarkStart w:id="278" w:name="_Toc141875250"/>
      <w:r w:rsidRPr="00152345">
        <w:lastRenderedPageBreak/>
        <w:t xml:space="preserve">The public interest </w:t>
      </w:r>
      <w:proofErr w:type="gramStart"/>
      <w:r w:rsidRPr="00152345">
        <w:t>test</w:t>
      </w:r>
      <w:bookmarkEnd w:id="277"/>
      <w:bookmarkEnd w:id="278"/>
      <w:proofErr w:type="gramEnd"/>
    </w:p>
    <w:p w14:paraId="039743B2" w14:textId="77777777" w:rsidR="00737AD8" w:rsidRPr="00737AD8" w:rsidRDefault="00B91B1A" w:rsidP="00B73860">
      <w:pPr>
        <w:pStyle w:val="NumberedParagraphs"/>
        <w:ind w:left="567"/>
        <w:rPr>
          <w:szCs w:val="22"/>
        </w:rPr>
      </w:pPr>
      <w:r w:rsidRPr="00B91B1A">
        <w:rPr>
          <w:szCs w:val="22"/>
        </w:rPr>
        <w:t xml:space="preserve"> </w:t>
      </w:r>
      <w:r w:rsidRPr="00BA1702">
        <w:rPr>
          <w:rFonts w:cs="Segoe UI"/>
          <w:szCs w:val="22"/>
        </w:rPr>
        <w:t>Section 11A(5) provides that an agency or minister must give access to a</w:t>
      </w:r>
      <w:r w:rsidRPr="00BA1702">
        <w:rPr>
          <w:rFonts w:cs="Segoe UI"/>
          <w:szCs w:val="22"/>
          <w:shd w:val="clear" w:color="auto" w:fill="FFFFFF"/>
        </w:rPr>
        <w:t xml:space="preserve"> document if it is conditionally exempt at a particular time unless (in the circumstances) access to the document at that time would, on balance, be contrary to the public interest.</w:t>
      </w:r>
      <w:r w:rsidRPr="00BA1702">
        <w:rPr>
          <w:rFonts w:cs="Segoe UI"/>
          <w:szCs w:val="22"/>
        </w:rPr>
        <w:t xml:space="preserve"> </w:t>
      </w:r>
    </w:p>
    <w:p w14:paraId="1D75DED4" w14:textId="1C08CF55" w:rsidR="00E724EE" w:rsidRPr="00B91B1A" w:rsidRDefault="00CC6C20" w:rsidP="00B73860">
      <w:pPr>
        <w:pStyle w:val="NumberedParagraphs"/>
        <w:ind w:left="567"/>
        <w:rPr>
          <w:szCs w:val="22"/>
        </w:rPr>
      </w:pPr>
      <w:r>
        <w:rPr>
          <w:rFonts w:cs="Segoe UI"/>
          <w:szCs w:val="22"/>
        </w:rPr>
        <w:t xml:space="preserve">To decide </w:t>
      </w:r>
      <w:r w:rsidR="00B91B1A" w:rsidRPr="00BA1702">
        <w:rPr>
          <w:rFonts w:cs="Segoe UI"/>
          <w:szCs w:val="22"/>
        </w:rPr>
        <w:t xml:space="preserve">whether </w:t>
      </w:r>
      <w:r>
        <w:rPr>
          <w:rFonts w:cs="Segoe UI"/>
          <w:szCs w:val="22"/>
        </w:rPr>
        <w:t xml:space="preserve">giving </w:t>
      </w:r>
      <w:r w:rsidR="00B91B1A" w:rsidRPr="00BA1702">
        <w:rPr>
          <w:rFonts w:cs="Segoe UI"/>
          <w:szCs w:val="22"/>
        </w:rPr>
        <w:t>access to a conditionally exempt document would, on balance, be contrary to the public interest under s 11A(5), the factors set out in s 11B must be considered.</w:t>
      </w:r>
      <w:r w:rsidR="00B3443F">
        <w:rPr>
          <w:rFonts w:cs="Segoe UI"/>
          <w:szCs w:val="22"/>
        </w:rPr>
        <w:t xml:space="preserve"> Some of these factors </w:t>
      </w:r>
      <w:r w:rsidR="00B3443F" w:rsidRPr="00152345">
        <w:t xml:space="preserve">must be </w:t>
      </w:r>
      <w:proofErr w:type="gramStart"/>
      <w:r w:rsidR="00B3443F" w:rsidRPr="00152345">
        <w:t>taken into account</w:t>
      </w:r>
      <w:proofErr w:type="gramEnd"/>
      <w:r w:rsidR="00B3443F" w:rsidRPr="00152345">
        <w:t xml:space="preserve"> </w:t>
      </w:r>
      <w:r w:rsidR="00B3443F">
        <w:t>(</w:t>
      </w:r>
      <w:r w:rsidR="00B3443F" w:rsidRPr="00152345">
        <w:t>where relevant</w:t>
      </w:r>
      <w:r w:rsidR="00B3443F">
        <w:t>)</w:t>
      </w:r>
      <w:r w:rsidR="00B3443F" w:rsidRPr="00152345">
        <w:t xml:space="preserve"> and some factors must not be taken into account</w:t>
      </w:r>
      <w:r w:rsidR="00B3443F">
        <w:t>. Decision makers are required to balance the factors for and against disclosure and decide whether it would be contrary to the public interest to give access to the requested document(s).</w:t>
      </w:r>
    </w:p>
    <w:p w14:paraId="3023A852" w14:textId="77777777" w:rsidR="00BF60AF" w:rsidRPr="005A1C6E" w:rsidRDefault="00BF60AF" w:rsidP="00F6558E">
      <w:pPr>
        <w:pStyle w:val="NumberedParagraphs"/>
        <w:numPr>
          <w:ilvl w:val="0"/>
          <w:numId w:val="0"/>
        </w:numPr>
        <w:ind w:left="680" w:hanging="113"/>
        <w:rPr>
          <w:b/>
          <w:bCs/>
          <w:i/>
          <w:iCs/>
        </w:rPr>
      </w:pPr>
      <w:r w:rsidRPr="005A1C6E">
        <w:rPr>
          <w:b/>
          <w:bCs/>
          <w:i/>
          <w:iCs/>
        </w:rPr>
        <w:t>What is the public interest?</w:t>
      </w:r>
    </w:p>
    <w:p w14:paraId="62FD25B5" w14:textId="08FC2B28" w:rsidR="00BF60AF" w:rsidRPr="00152345" w:rsidRDefault="00BF60AF" w:rsidP="00F6558E">
      <w:pPr>
        <w:pStyle w:val="NumberedParagraphs"/>
        <w:ind w:left="567"/>
      </w:pPr>
      <w:r w:rsidRPr="00152345">
        <w:t>The public interest is considered to be:</w:t>
      </w:r>
    </w:p>
    <w:p w14:paraId="249C7B61" w14:textId="77777777" w:rsidR="00BF60AF" w:rsidRPr="005A1C6E" w:rsidRDefault="00BF60AF" w:rsidP="00F6558E">
      <w:pPr>
        <w:pStyle w:val="BodyText"/>
        <w:numPr>
          <w:ilvl w:val="0"/>
          <w:numId w:val="60"/>
        </w:numPr>
        <w:tabs>
          <w:tab w:val="left" w:pos="1418"/>
        </w:tabs>
        <w:spacing w:before="120"/>
        <w:ind w:left="993" w:hanging="426"/>
        <w:rPr>
          <w:rFonts w:asciiTheme="minorHAnsi" w:hAnsiTheme="minorHAnsi"/>
          <w:sz w:val="22"/>
          <w:szCs w:val="22"/>
        </w:rPr>
      </w:pPr>
      <w:r w:rsidRPr="005A1C6E">
        <w:rPr>
          <w:rFonts w:asciiTheme="minorHAnsi" w:hAnsiTheme="minorHAnsi"/>
          <w:sz w:val="22"/>
          <w:szCs w:val="22"/>
        </w:rPr>
        <w:t>something that is of serious concern or benefit to the public, not merely of individual interest</w:t>
      </w:r>
      <w:r w:rsidRPr="005A1C6E">
        <w:rPr>
          <w:rStyle w:val="FootnoteReference"/>
          <w:rFonts w:asciiTheme="minorHAnsi" w:hAnsiTheme="minorHAnsi"/>
          <w:sz w:val="22"/>
          <w:szCs w:val="22"/>
        </w:rPr>
        <w:footnoteReference w:id="180"/>
      </w:r>
    </w:p>
    <w:p w14:paraId="2235FDEC" w14:textId="77777777" w:rsidR="00BF60AF" w:rsidRPr="005A1C6E" w:rsidRDefault="00BF60AF" w:rsidP="00F6558E">
      <w:pPr>
        <w:pStyle w:val="BodyText"/>
        <w:numPr>
          <w:ilvl w:val="0"/>
          <w:numId w:val="60"/>
        </w:numPr>
        <w:tabs>
          <w:tab w:val="left" w:pos="1418"/>
        </w:tabs>
        <w:spacing w:before="120"/>
        <w:ind w:left="993" w:hanging="426"/>
        <w:rPr>
          <w:rFonts w:asciiTheme="minorHAnsi" w:hAnsiTheme="minorHAnsi"/>
          <w:sz w:val="22"/>
          <w:szCs w:val="22"/>
        </w:rPr>
      </w:pPr>
      <w:r w:rsidRPr="005A1C6E">
        <w:rPr>
          <w:rFonts w:asciiTheme="minorHAnsi" w:hAnsiTheme="minorHAnsi"/>
          <w:sz w:val="22"/>
          <w:szCs w:val="22"/>
        </w:rPr>
        <w:t>not something of interest to the public, but in the interest of the public</w:t>
      </w:r>
      <w:r w:rsidRPr="005A1C6E">
        <w:rPr>
          <w:rStyle w:val="FootnoteReference"/>
          <w:rFonts w:asciiTheme="minorHAnsi" w:hAnsiTheme="minorHAnsi"/>
          <w:sz w:val="22"/>
          <w:szCs w:val="22"/>
        </w:rPr>
        <w:footnoteReference w:id="181"/>
      </w:r>
    </w:p>
    <w:p w14:paraId="0C5B1DBB" w14:textId="77777777" w:rsidR="00BF60AF" w:rsidRPr="005A1C6E" w:rsidRDefault="00BF60AF" w:rsidP="00F6558E">
      <w:pPr>
        <w:pStyle w:val="BodyText"/>
        <w:numPr>
          <w:ilvl w:val="0"/>
          <w:numId w:val="60"/>
        </w:numPr>
        <w:tabs>
          <w:tab w:val="left" w:pos="1418"/>
        </w:tabs>
        <w:spacing w:before="120"/>
        <w:ind w:left="993" w:hanging="426"/>
        <w:rPr>
          <w:rFonts w:asciiTheme="minorHAnsi" w:hAnsiTheme="minorHAnsi"/>
          <w:sz w:val="22"/>
          <w:szCs w:val="22"/>
        </w:rPr>
      </w:pPr>
      <w:r w:rsidRPr="005A1C6E">
        <w:rPr>
          <w:rFonts w:asciiTheme="minorHAnsi" w:hAnsiTheme="minorHAnsi"/>
          <w:sz w:val="22"/>
          <w:szCs w:val="22"/>
        </w:rPr>
        <w:t>not a static concept, where it lies in a particular matter will often depend on a balancing of interests</w:t>
      </w:r>
      <w:r w:rsidRPr="005A1C6E">
        <w:rPr>
          <w:rStyle w:val="FootnoteReference"/>
          <w:rFonts w:asciiTheme="minorHAnsi" w:hAnsiTheme="minorHAnsi"/>
          <w:sz w:val="22"/>
          <w:szCs w:val="22"/>
        </w:rPr>
        <w:footnoteReference w:id="182"/>
      </w:r>
    </w:p>
    <w:p w14:paraId="1E903DFE" w14:textId="4D10476A" w:rsidR="00BF60AF" w:rsidRPr="00152345" w:rsidRDefault="00BF60AF" w:rsidP="00F6558E">
      <w:pPr>
        <w:pStyle w:val="IndentBullet1"/>
        <w:spacing w:before="120"/>
        <w:ind w:left="993" w:hanging="426"/>
      </w:pPr>
      <w:r w:rsidRPr="00152345">
        <w:t>necessarily broad and non-specific</w:t>
      </w:r>
      <w:r w:rsidRPr="007500E4">
        <w:rPr>
          <w:rStyle w:val="FootnoteReference"/>
        </w:rPr>
        <w:footnoteReference w:id="183"/>
      </w:r>
      <w:r w:rsidRPr="00152345">
        <w:t xml:space="preserve"> and</w:t>
      </w:r>
    </w:p>
    <w:p w14:paraId="1EA6EF73" w14:textId="77777777" w:rsidR="00BF60AF" w:rsidRPr="007500E4" w:rsidRDefault="00BF60AF" w:rsidP="00F6558E">
      <w:pPr>
        <w:pStyle w:val="IndentBullet1"/>
        <w:ind w:left="993" w:hanging="426"/>
      </w:pPr>
      <w:r w:rsidRPr="00152345">
        <w:t>related to matters of common concern or relevance to all members of the public, or a substantial section of the public.</w:t>
      </w:r>
      <w:r>
        <w:rPr>
          <w:rStyle w:val="FootnoteReference"/>
        </w:rPr>
        <w:footnoteReference w:id="184"/>
      </w:r>
    </w:p>
    <w:p w14:paraId="053CCEC5" w14:textId="77777777" w:rsidR="00BF60AF" w:rsidRPr="00152345" w:rsidRDefault="00BF60AF" w:rsidP="00B73860">
      <w:pPr>
        <w:pStyle w:val="NumberedParagraphs"/>
        <w:ind w:left="567"/>
      </w:pPr>
      <w:r w:rsidRPr="00152345">
        <w:t>It is not necessary for a matter to be in the interest of the public as a whole. It may be sufficient that the matter is in the interest of a section of the public bounded by geography or another characteristic that depends on the particular situation. A matter of particular interest or benefit to an individual or small group of people may also be a matter of general public interest.</w:t>
      </w:r>
    </w:p>
    <w:p w14:paraId="08D513B1" w14:textId="04909BF5" w:rsidR="00BF60AF" w:rsidRPr="00152345" w:rsidRDefault="00BF60AF" w:rsidP="00836188">
      <w:pPr>
        <w:pStyle w:val="Heading2"/>
        <w:spacing w:before="240"/>
      </w:pPr>
      <w:bookmarkStart w:id="281" w:name="_bookmark4"/>
      <w:bookmarkStart w:id="282" w:name="_Toc11154461"/>
      <w:bookmarkStart w:id="283" w:name="_Ref138772634"/>
      <w:bookmarkStart w:id="284" w:name="_Toc141875251"/>
      <w:bookmarkEnd w:id="281"/>
      <w:r w:rsidRPr="00152345">
        <w:t>Applying the public interest</w:t>
      </w:r>
      <w:bookmarkEnd w:id="282"/>
      <w:r w:rsidR="003B006B">
        <w:t xml:space="preserve"> test</w:t>
      </w:r>
      <w:bookmarkEnd w:id="283"/>
      <w:bookmarkEnd w:id="284"/>
    </w:p>
    <w:p w14:paraId="716122A6" w14:textId="49150C3F" w:rsidR="00BF60AF" w:rsidRPr="00152345" w:rsidRDefault="00863FA2" w:rsidP="00B73860">
      <w:pPr>
        <w:pStyle w:val="NumberedParagraphs"/>
        <w:ind w:left="567"/>
      </w:pPr>
      <w:r>
        <w:t xml:space="preserve">As stated </w:t>
      </w:r>
      <w:r w:rsidRPr="002114EB">
        <w:t xml:space="preserve">at </w:t>
      </w:r>
      <w:r w:rsidR="006D53C3" w:rsidRPr="002114EB">
        <w:t>[</w:t>
      </w:r>
      <w:r w:rsidR="00D12DA2" w:rsidRPr="002114EB">
        <w:t>6.4</w:t>
      </w:r>
      <w:r w:rsidR="003D2F00" w:rsidRPr="002114EB">
        <w:fldChar w:fldCharType="begin"/>
      </w:r>
      <w:r w:rsidR="003D2F00" w:rsidRPr="002114EB">
        <w:instrText xml:space="preserve"> REF _Ref138677223 \r \h </w:instrText>
      </w:r>
      <w:r w:rsidR="00366240" w:rsidRPr="002114EB">
        <w:instrText xml:space="preserve"> \* MERGEFORMAT </w:instrText>
      </w:r>
      <w:r w:rsidR="00000000">
        <w:fldChar w:fldCharType="separate"/>
      </w:r>
      <w:r w:rsidR="00A721BB">
        <w:rPr>
          <w:b/>
          <w:bCs/>
          <w:lang w:val="en-US"/>
        </w:rPr>
        <w:t>Error! Reference source not found.</w:t>
      </w:r>
      <w:r w:rsidR="003D2F00" w:rsidRPr="002114EB">
        <w:fldChar w:fldCharType="end"/>
      </w:r>
      <w:r w:rsidR="006D53C3" w:rsidRPr="002114EB">
        <w:t>]</w:t>
      </w:r>
      <w:proofErr w:type="gramStart"/>
      <w:r w:rsidR="002114EB" w:rsidRPr="002114EB">
        <w:t>–[</w:t>
      </w:r>
      <w:proofErr w:type="gramEnd"/>
      <w:r w:rsidR="002114EB" w:rsidRPr="002114EB">
        <w:t>6.5]</w:t>
      </w:r>
      <w:r w:rsidRPr="002114EB">
        <w:t>, a</w:t>
      </w:r>
      <w:r w:rsidR="00BF60AF" w:rsidRPr="002114EB">
        <w:t xml:space="preserve"> decision</w:t>
      </w:r>
      <w:r w:rsidR="00BF60AF" w:rsidRPr="00152345">
        <w:t xml:space="preserve"> maker is not required to consider the public interest test (s</w:t>
      </w:r>
      <w:r w:rsidR="006D53C3">
        <w:t> </w:t>
      </w:r>
      <w:r w:rsidR="00BF60AF" w:rsidRPr="00152345">
        <w:t xml:space="preserve">11A(5)) until they have first determined that the document is conditionally exempt. A decision maker cannot withhold access to a document </w:t>
      </w:r>
      <w:r w:rsidR="00BF60AF" w:rsidRPr="00152345">
        <w:lastRenderedPageBreak/>
        <w:t>simply because it</w:t>
      </w:r>
      <w:r w:rsidR="00BF60AF">
        <w:t xml:space="preserve"> is</w:t>
      </w:r>
      <w:r w:rsidR="00BF60AF" w:rsidRPr="00152345">
        <w:t xml:space="preserve"> conditionally exempt. Disclosure of conditionally exempt documents is required unless in the particular circumstances and, at the time of the decision,</w:t>
      </w:r>
      <w:r w:rsidR="00BF60AF">
        <w:t xml:space="preserve"> it would be contrary to the public interest to give access to the document.</w:t>
      </w:r>
    </w:p>
    <w:p w14:paraId="6E9B5611" w14:textId="6DA92DEF" w:rsidR="00F6558E" w:rsidRPr="00F6558E" w:rsidRDefault="00BF60AF" w:rsidP="004501F9">
      <w:pPr>
        <w:pStyle w:val="NumberedParagraphs"/>
        <w:ind w:left="567"/>
        <w:rPr>
          <w:bCs/>
        </w:rPr>
      </w:pPr>
      <w:r w:rsidRPr="00152345">
        <w:t>The pro-disclosure principle declared in the objects of the FOI Act is given specific effect in the public interest test, as the test is weighted towards disclosure. If a decision is made that a conditionally exempt document should not be disclosed, the decision maker must include the public interest factors they took into account in their statement of reasons under s 26(</w:t>
      </w:r>
      <w:proofErr w:type="gramStart"/>
      <w:r w:rsidRPr="00152345">
        <w:t>1)(</w:t>
      </w:r>
      <w:proofErr w:type="gramEnd"/>
      <w:r w:rsidRPr="00152345">
        <w:t>aa) (see Part 3 of these Guidelines).</w:t>
      </w:r>
      <w:r w:rsidR="004501F9" w:rsidRPr="00152345" w:rsidDel="004501F9">
        <w:t xml:space="preserve"> </w:t>
      </w:r>
      <w:bookmarkStart w:id="285" w:name="Step_1:_Determine_if_the_document_is_con"/>
      <w:bookmarkStart w:id="286" w:name="_bookmark5"/>
      <w:bookmarkStart w:id="287" w:name="Step_2:_Identify_the_specific_harm_thres"/>
      <w:bookmarkStart w:id="288" w:name="_bookmark6"/>
      <w:bookmarkEnd w:id="285"/>
      <w:bookmarkEnd w:id="286"/>
      <w:bookmarkEnd w:id="287"/>
      <w:bookmarkEnd w:id="288"/>
    </w:p>
    <w:p w14:paraId="3463A53C" w14:textId="4E52FAE9" w:rsidR="00AC24D5" w:rsidRPr="00152345" w:rsidRDefault="002C3700" w:rsidP="00BA1702">
      <w:pPr>
        <w:pStyle w:val="NumberedParagraphs"/>
        <w:ind w:left="567"/>
      </w:pPr>
      <w:r>
        <w:rPr>
          <w:bCs/>
        </w:rPr>
        <w:t>Applying the public interest test involves the following sequential steps:</w:t>
      </w:r>
    </w:p>
    <w:p w14:paraId="4450C68A" w14:textId="5DA55E0C" w:rsidR="00BA0E38" w:rsidRDefault="00BA0E38" w:rsidP="00BA0E38">
      <w:pPr>
        <w:pStyle w:val="NumberedParagraphs"/>
        <w:numPr>
          <w:ilvl w:val="0"/>
          <w:numId w:val="72"/>
        </w:numPr>
      </w:pPr>
      <w:r>
        <w:t xml:space="preserve">Identify </w:t>
      </w:r>
      <w:r w:rsidR="002C3700">
        <w:t xml:space="preserve">the </w:t>
      </w:r>
      <w:r>
        <w:t xml:space="preserve">factors </w:t>
      </w:r>
      <w:r w:rsidR="00B34F2F">
        <w:t>favouring access</w:t>
      </w:r>
    </w:p>
    <w:p w14:paraId="3C19BAF0" w14:textId="199B9D73" w:rsidR="00B34F2F" w:rsidRDefault="00B55173" w:rsidP="00BA0E38">
      <w:pPr>
        <w:pStyle w:val="NumberedParagraphs"/>
        <w:numPr>
          <w:ilvl w:val="0"/>
          <w:numId w:val="72"/>
        </w:numPr>
      </w:pPr>
      <w:r>
        <w:t>Identify any factors against access</w:t>
      </w:r>
    </w:p>
    <w:p w14:paraId="37F7C396" w14:textId="0508FB2B" w:rsidR="00B55173" w:rsidRDefault="00BE15CD" w:rsidP="00BA0E38">
      <w:pPr>
        <w:pStyle w:val="NumberedParagraphs"/>
        <w:numPr>
          <w:ilvl w:val="0"/>
          <w:numId w:val="72"/>
        </w:numPr>
      </w:pPr>
      <w:r>
        <w:t xml:space="preserve">Review to ensure </w:t>
      </w:r>
      <w:r w:rsidR="00B4411B">
        <w:t xml:space="preserve">no irrelevant factors are </w:t>
      </w:r>
      <w:proofErr w:type="gramStart"/>
      <w:r w:rsidR="00B4411B">
        <w:t>tak</w:t>
      </w:r>
      <w:r w:rsidR="004A6312">
        <w:t>e</w:t>
      </w:r>
      <w:r w:rsidR="00B4411B">
        <w:t>n into account</w:t>
      </w:r>
      <w:proofErr w:type="gramEnd"/>
    </w:p>
    <w:p w14:paraId="6C24D8C6" w14:textId="4F697ABC" w:rsidR="009C0C1D" w:rsidRDefault="009C0C1D" w:rsidP="009C0C1D">
      <w:pPr>
        <w:pStyle w:val="NumberedParagraphs"/>
        <w:numPr>
          <w:ilvl w:val="0"/>
          <w:numId w:val="72"/>
        </w:numPr>
      </w:pPr>
      <w:r w:rsidRPr="004827E2">
        <w:t xml:space="preserve">Weigh the relevant factors </w:t>
      </w:r>
      <w:r w:rsidR="00BE15CD">
        <w:t xml:space="preserve">for and against access </w:t>
      </w:r>
      <w:r w:rsidRPr="004827E2">
        <w:t>to determine where the public interest lies</w:t>
      </w:r>
      <w:r w:rsidR="00FC4E63">
        <w:t xml:space="preserve"> (noting that the public interest test is weighted in favour of disclosure).</w:t>
      </w:r>
    </w:p>
    <w:p w14:paraId="1E6BFE82" w14:textId="2D7C0E63" w:rsidR="00F4013C" w:rsidRPr="004827E2" w:rsidRDefault="00F4013C" w:rsidP="00AC1B79">
      <w:pPr>
        <w:pStyle w:val="NumberedParagraphs"/>
        <w:numPr>
          <w:ilvl w:val="0"/>
          <w:numId w:val="0"/>
        </w:numPr>
        <w:ind w:left="1135" w:hanging="567"/>
      </w:pPr>
      <w:r>
        <w:t>More information about each of these steps is provided below.</w:t>
      </w:r>
    </w:p>
    <w:p w14:paraId="402A50C2" w14:textId="1041AC89" w:rsidR="00BF60AF" w:rsidRPr="00152345" w:rsidRDefault="00BF60AF" w:rsidP="003A6522">
      <w:pPr>
        <w:pStyle w:val="Heading3"/>
      </w:pPr>
      <w:bookmarkStart w:id="289" w:name="Step_3:_Identify_the_factors_favouring_d"/>
      <w:bookmarkStart w:id="290" w:name="_bookmark7"/>
      <w:bookmarkStart w:id="291" w:name="_Toc11154464"/>
      <w:bookmarkStart w:id="292" w:name="_Toc141875252"/>
      <w:bookmarkEnd w:id="289"/>
      <w:bookmarkEnd w:id="290"/>
      <w:r w:rsidRPr="003A6522">
        <w:t xml:space="preserve">Identify the factors favouring </w:t>
      </w:r>
      <w:r w:rsidR="00B34F2F" w:rsidRPr="003A6522">
        <w:t>access</w:t>
      </w:r>
      <w:bookmarkEnd w:id="291"/>
      <w:bookmarkEnd w:id="292"/>
    </w:p>
    <w:p w14:paraId="3268F9EB" w14:textId="47589A2F" w:rsidR="00BF60AF" w:rsidRPr="00152345" w:rsidRDefault="00BF60AF" w:rsidP="00BA1702">
      <w:pPr>
        <w:pStyle w:val="NumberedParagraphs"/>
        <w:ind w:left="567"/>
      </w:pPr>
      <w:bookmarkStart w:id="293" w:name="_bookmark8"/>
      <w:bookmarkStart w:id="294" w:name="_Ref457391609"/>
      <w:bookmarkEnd w:id="293"/>
      <w:r w:rsidRPr="00152345">
        <w:t xml:space="preserve">The FOI Act sets out </w:t>
      </w:r>
      <w:r>
        <w:t>4</w:t>
      </w:r>
      <w:r w:rsidRPr="00152345">
        <w:t xml:space="preserve"> factors favouring access </w:t>
      </w:r>
      <w:r w:rsidR="00231C5B">
        <w:t>that</w:t>
      </w:r>
      <w:r w:rsidRPr="00152345">
        <w:t xml:space="preserve"> must be considered if relevant. They are that disclosure would:</w:t>
      </w:r>
      <w:bookmarkEnd w:id="294"/>
    </w:p>
    <w:p w14:paraId="792C38F8" w14:textId="3B506606" w:rsidR="00BF60AF" w:rsidRPr="00152345" w:rsidRDefault="00BF60AF" w:rsidP="00991A9E">
      <w:pPr>
        <w:pStyle w:val="List"/>
        <w:numPr>
          <w:ilvl w:val="0"/>
          <w:numId w:val="48"/>
        </w:numPr>
        <w:ind w:left="993" w:hanging="426"/>
      </w:pPr>
      <w:r w:rsidRPr="00152345">
        <w:t>promote the objects of the Act</w:t>
      </w:r>
    </w:p>
    <w:p w14:paraId="7C140667" w14:textId="7FB59A89" w:rsidR="00BF60AF" w:rsidRPr="00152345" w:rsidRDefault="00BF60AF" w:rsidP="00991A9E">
      <w:pPr>
        <w:pStyle w:val="List"/>
        <w:numPr>
          <w:ilvl w:val="0"/>
          <w:numId w:val="48"/>
        </w:numPr>
        <w:ind w:left="993" w:hanging="426"/>
      </w:pPr>
      <w:r w:rsidRPr="00152345">
        <w:t>inform debate on a matter of public importance</w:t>
      </w:r>
    </w:p>
    <w:p w14:paraId="5961E25E" w14:textId="0AD1BF5F" w:rsidR="00BF60AF" w:rsidRPr="00152345" w:rsidRDefault="00BF60AF" w:rsidP="00991A9E">
      <w:pPr>
        <w:pStyle w:val="List"/>
        <w:numPr>
          <w:ilvl w:val="0"/>
          <w:numId w:val="48"/>
        </w:numPr>
        <w:ind w:left="993" w:hanging="426"/>
      </w:pPr>
      <w:r w:rsidRPr="00152345">
        <w:t>promote effective oversight of public expenditure</w:t>
      </w:r>
    </w:p>
    <w:p w14:paraId="1B362830" w14:textId="77777777" w:rsidR="00BF60AF" w:rsidRPr="00152345" w:rsidRDefault="00BF60AF" w:rsidP="00991A9E">
      <w:pPr>
        <w:pStyle w:val="List"/>
        <w:numPr>
          <w:ilvl w:val="0"/>
          <w:numId w:val="48"/>
        </w:numPr>
        <w:ind w:left="993" w:hanging="426"/>
      </w:pPr>
      <w:r w:rsidRPr="00152345">
        <w:t>allow a person to access his or her personal information (s 11B(3)).</w:t>
      </w:r>
    </w:p>
    <w:p w14:paraId="07B06C78" w14:textId="6A4D3DBB" w:rsidR="00BF60AF" w:rsidRPr="00152345" w:rsidRDefault="00BF60AF" w:rsidP="00991A9E">
      <w:pPr>
        <w:pStyle w:val="NumberedParagraphs"/>
        <w:ind w:left="567"/>
      </w:pPr>
      <w:r w:rsidRPr="00152345">
        <w:t>For example, disclosure of a document that is conditionally exempt under s 47G(1)(a) might, in the particular circumstances, both inform debate on a matter of public importance and promote effective oversight of public expenditure. These would be factors favour</w:t>
      </w:r>
      <w:r w:rsidR="00DD7050">
        <w:t>ing</w:t>
      </w:r>
      <w:r w:rsidRPr="00152345">
        <w:t xml:space="preserve"> </w:t>
      </w:r>
      <w:r w:rsidR="00DA16CB">
        <w:t>access</w:t>
      </w:r>
      <w:r w:rsidRPr="00152345">
        <w:t xml:space="preserve"> in the public interest. Similarly, it would be a rare case in which disclosure would not promote the objects of the FOI Act, including by increasing scrutiny, discussion, comment and review of the government’s activities.</w:t>
      </w:r>
    </w:p>
    <w:p w14:paraId="163DDF75" w14:textId="30460BD9" w:rsidR="00BF60AF" w:rsidRPr="00152345" w:rsidRDefault="00BF60AF" w:rsidP="00991A9E">
      <w:pPr>
        <w:pStyle w:val="NumberedParagraphs"/>
        <w:ind w:left="567"/>
      </w:pPr>
      <w:r w:rsidRPr="00152345">
        <w:t xml:space="preserve">The </w:t>
      </w:r>
      <w:r>
        <w:t>4</w:t>
      </w:r>
      <w:r w:rsidRPr="00152345">
        <w:t xml:space="preserve"> factors favouring disclosure are broadly framed but they do not constitute an exhaustive list. Other factors favouring disclosure may also be relevant in the particular circumstances. A non-exhaustive list of factors is </w:t>
      </w:r>
      <w:r>
        <w:t xml:space="preserve">listed </w:t>
      </w:r>
      <w:r w:rsidRPr="00152345">
        <w:t>below.</w:t>
      </w:r>
    </w:p>
    <w:p w14:paraId="5EB25741" w14:textId="77777777" w:rsidR="00BF60AF" w:rsidRPr="00486C46" w:rsidRDefault="00BF60AF" w:rsidP="00991A9E">
      <w:pPr>
        <w:keepNext/>
        <w:spacing w:before="120"/>
        <w:ind w:left="709" w:hanging="142"/>
        <w:rPr>
          <w:b/>
          <w:bCs/>
        </w:rPr>
      </w:pPr>
      <w:r w:rsidRPr="00486C46">
        <w:rPr>
          <w:b/>
          <w:bCs/>
        </w:rPr>
        <w:t>Public interest factors favouring disclosure</w:t>
      </w:r>
    </w:p>
    <w:p w14:paraId="7ACA4AF3" w14:textId="77777777" w:rsidR="00BF60AF" w:rsidRPr="00486C46" w:rsidRDefault="00BF60AF" w:rsidP="00991A9E">
      <w:pPr>
        <w:pStyle w:val="List"/>
        <w:tabs>
          <w:tab w:val="left" w:pos="1170"/>
        </w:tabs>
        <w:ind w:left="810" w:hanging="101"/>
      </w:pPr>
      <w:r>
        <w:t xml:space="preserve">a) </w:t>
      </w:r>
      <w:r>
        <w:tab/>
      </w:r>
      <w:r w:rsidRPr="00486C46">
        <w:t>promotes the objects of the FOI Act, including to:</w:t>
      </w:r>
    </w:p>
    <w:p w14:paraId="3DAA5386" w14:textId="77777777" w:rsidR="00BF60AF" w:rsidRPr="00486C46" w:rsidDel="000263C6" w:rsidRDefault="00BF60AF" w:rsidP="000D0AF7">
      <w:pPr>
        <w:pStyle w:val="List2"/>
        <w:numPr>
          <w:ilvl w:val="0"/>
          <w:numId w:val="61"/>
        </w:numPr>
        <w:ind w:left="1530"/>
      </w:pPr>
      <w:r w:rsidRPr="00486C46" w:rsidDel="000263C6">
        <w:t>inform the community of the Government’s operations, including, in particular, the policies, rules, guidelines, practices and codes of conduct followed by the Government in its dealings with members of the community</w:t>
      </w:r>
    </w:p>
    <w:p w14:paraId="4A531046" w14:textId="77777777" w:rsidR="00BF60AF" w:rsidRPr="00486C46" w:rsidRDefault="00BF60AF" w:rsidP="000D0AF7">
      <w:pPr>
        <w:pStyle w:val="List2"/>
        <w:numPr>
          <w:ilvl w:val="0"/>
          <w:numId w:val="61"/>
        </w:numPr>
        <w:ind w:left="1530"/>
      </w:pPr>
      <w:r w:rsidRPr="00486C46">
        <w:t>reveal the reason for a government decision and any background or contextual information that informed the decision</w:t>
      </w:r>
    </w:p>
    <w:p w14:paraId="6FA42A0A" w14:textId="77777777" w:rsidR="00BF60AF" w:rsidRPr="00486C46" w:rsidRDefault="00BF60AF" w:rsidP="000D0AF7">
      <w:pPr>
        <w:pStyle w:val="List2"/>
        <w:numPr>
          <w:ilvl w:val="0"/>
          <w:numId w:val="61"/>
        </w:numPr>
        <w:ind w:left="1530"/>
      </w:pPr>
      <w:r w:rsidRPr="00486C46">
        <w:t>enhance the scrutiny of government decision making</w:t>
      </w:r>
    </w:p>
    <w:p w14:paraId="07EDAEF5" w14:textId="77777777" w:rsidR="00BF60AF" w:rsidRPr="00486C46" w:rsidRDefault="00BF60AF" w:rsidP="00BF60AF">
      <w:pPr>
        <w:pStyle w:val="List"/>
        <w:tabs>
          <w:tab w:val="left" w:pos="1170"/>
        </w:tabs>
        <w:ind w:left="737"/>
      </w:pPr>
      <w:r>
        <w:lastRenderedPageBreak/>
        <w:t xml:space="preserve">b) </w:t>
      </w:r>
      <w:r>
        <w:tab/>
      </w:r>
      <w:r w:rsidRPr="00486C46">
        <w:t>inform debate on a matter of public importance,</w:t>
      </w:r>
      <w:r>
        <w:rPr>
          <w:rStyle w:val="FootnoteReference"/>
        </w:rPr>
        <w:footnoteReference w:id="185"/>
      </w:r>
      <w:r w:rsidRPr="00486C46">
        <w:t xml:space="preserve"> including to:</w:t>
      </w:r>
    </w:p>
    <w:p w14:paraId="445DA114" w14:textId="77777777" w:rsidR="00BF60AF" w:rsidRPr="00F851B9" w:rsidRDefault="00BF60AF" w:rsidP="000D0AF7">
      <w:pPr>
        <w:pStyle w:val="List2"/>
        <w:numPr>
          <w:ilvl w:val="0"/>
          <w:numId w:val="52"/>
        </w:numPr>
      </w:pPr>
      <w:r w:rsidRPr="00486C46">
        <w:t>allow or assist inquiry into possible deficiencies in the conduct or administration of an agency or official</w:t>
      </w:r>
      <w:r w:rsidRPr="00250290">
        <w:rPr>
          <w:vertAlign w:val="superscript"/>
        </w:rPr>
        <w:footnoteReference w:id="186"/>
      </w:r>
    </w:p>
    <w:p w14:paraId="56F95F52" w14:textId="77777777" w:rsidR="00BF60AF" w:rsidRPr="00486C46" w:rsidRDefault="00BF60AF" w:rsidP="000D0AF7">
      <w:pPr>
        <w:pStyle w:val="List2"/>
        <w:numPr>
          <w:ilvl w:val="0"/>
          <w:numId w:val="38"/>
        </w:numPr>
        <w:ind w:left="1531" w:hanging="340"/>
      </w:pPr>
      <w:r w:rsidRPr="00486C46">
        <w:t>reveal or substantiate that an agency or official has engaged in misconduct or negligent, improper or unlawful conduct</w:t>
      </w:r>
    </w:p>
    <w:p w14:paraId="37CAAB93" w14:textId="77777777" w:rsidR="00BF60AF" w:rsidRPr="007500E4" w:rsidRDefault="00BF60AF" w:rsidP="000D0AF7">
      <w:pPr>
        <w:pStyle w:val="List2"/>
        <w:numPr>
          <w:ilvl w:val="0"/>
          <w:numId w:val="38"/>
        </w:numPr>
        <w:ind w:left="1531" w:hanging="340"/>
      </w:pPr>
      <w:r w:rsidRPr="00486C46">
        <w:t>reveal deficiencies in privacy or access to information legislation</w:t>
      </w:r>
      <w:r>
        <w:rPr>
          <w:rStyle w:val="FootnoteReference"/>
        </w:rPr>
        <w:footnoteReference w:id="187"/>
      </w:r>
    </w:p>
    <w:p w14:paraId="7524F79F" w14:textId="1CDB51E8" w:rsidR="00BF60AF" w:rsidRPr="00486C46" w:rsidRDefault="00BF60AF" w:rsidP="00BF60AF">
      <w:pPr>
        <w:pStyle w:val="List"/>
        <w:ind w:left="1170" w:hanging="433"/>
      </w:pPr>
      <w:r>
        <w:t>c)</w:t>
      </w:r>
      <w:r>
        <w:tab/>
      </w:r>
      <w:r w:rsidRPr="00486C46">
        <w:t>promote effective oversight of public expenditure</w:t>
      </w:r>
      <w:r>
        <w:rPr>
          <w:rStyle w:val="FootnoteReference"/>
        </w:rPr>
        <w:footnoteReference w:id="188"/>
      </w:r>
    </w:p>
    <w:p w14:paraId="263C8B12" w14:textId="49D1E557" w:rsidR="00BF60AF" w:rsidRPr="00486C46" w:rsidRDefault="00BF60AF" w:rsidP="00BF60AF">
      <w:pPr>
        <w:pStyle w:val="List"/>
        <w:tabs>
          <w:tab w:val="left" w:pos="1170"/>
        </w:tabs>
        <w:ind w:firstLine="720"/>
      </w:pPr>
      <w:r>
        <w:t>d)</w:t>
      </w:r>
      <w:r>
        <w:tab/>
      </w:r>
      <w:r w:rsidRPr="00486C46">
        <w:t>allow a person to access his or her personal information, or</w:t>
      </w:r>
    </w:p>
    <w:p w14:paraId="27EB855E" w14:textId="08D0EFC9" w:rsidR="00BF60AF" w:rsidRPr="00486C46" w:rsidRDefault="00BF60AF" w:rsidP="000D0AF7">
      <w:pPr>
        <w:pStyle w:val="List2"/>
        <w:numPr>
          <w:ilvl w:val="0"/>
          <w:numId w:val="49"/>
        </w:numPr>
      </w:pPr>
      <w:r w:rsidRPr="00486C46">
        <w:t>the personal information of a child, where the applicant is the child’s parent and disclosure of the information is reasonably considered to be in the child’s best interests</w:t>
      </w:r>
    </w:p>
    <w:p w14:paraId="11681DED" w14:textId="528BA079" w:rsidR="00BF60AF" w:rsidRPr="00486C46" w:rsidRDefault="00BF60AF" w:rsidP="000D0AF7">
      <w:pPr>
        <w:pStyle w:val="List2"/>
        <w:numPr>
          <w:ilvl w:val="0"/>
          <w:numId w:val="49"/>
        </w:numPr>
      </w:pPr>
      <w:r w:rsidRPr="00486C46">
        <w:t>the personal information of a deceased individual where the applicant is a close family member (a close family member is a spouse or partner, adult child or parent of the deceased, or other person who was ordinarily a member of the person’s household)</w:t>
      </w:r>
    </w:p>
    <w:p w14:paraId="6250B81B" w14:textId="2CA3D893" w:rsidR="00BF60AF" w:rsidRPr="00486C46" w:rsidRDefault="00BF60AF" w:rsidP="00BF60AF">
      <w:pPr>
        <w:pStyle w:val="List2"/>
        <w:tabs>
          <w:tab w:val="left" w:pos="1170"/>
        </w:tabs>
        <w:ind w:left="720"/>
      </w:pPr>
      <w:r>
        <w:t>e)</w:t>
      </w:r>
      <w:r>
        <w:tab/>
      </w:r>
      <w:r w:rsidRPr="00486C46">
        <w:t>contribute to the maintenance of peace and order</w:t>
      </w:r>
    </w:p>
    <w:p w14:paraId="4DB3C7B0" w14:textId="77777777" w:rsidR="00BF60AF" w:rsidRPr="00DD07E1" w:rsidRDefault="00BF60AF" w:rsidP="00BF60AF">
      <w:pPr>
        <w:pStyle w:val="List2"/>
        <w:tabs>
          <w:tab w:val="left" w:pos="1170"/>
        </w:tabs>
        <w:ind w:left="720"/>
      </w:pPr>
      <w:r>
        <w:t xml:space="preserve">f) </w:t>
      </w:r>
      <w:r>
        <w:tab/>
      </w:r>
      <w:r w:rsidRPr="00486C46">
        <w:t>contribute to the administration of justice generally, including procedural fairness</w:t>
      </w:r>
      <w:r w:rsidRPr="00FC0AF4">
        <w:rPr>
          <w:rStyle w:val="FootnoteReference"/>
        </w:rPr>
        <w:footnoteReference w:id="189"/>
      </w:r>
    </w:p>
    <w:p w14:paraId="050089A7" w14:textId="77777777" w:rsidR="00BF60AF" w:rsidRPr="007500E4" w:rsidRDefault="00BF60AF" w:rsidP="00BF60AF">
      <w:pPr>
        <w:pStyle w:val="List2"/>
        <w:tabs>
          <w:tab w:val="left" w:pos="1170"/>
        </w:tabs>
        <w:ind w:left="720"/>
      </w:pPr>
      <w:r>
        <w:t xml:space="preserve">g) </w:t>
      </w:r>
      <w:r>
        <w:tab/>
      </w:r>
      <w:r w:rsidRPr="00DD07E1">
        <w:t xml:space="preserve">contribute </w:t>
      </w:r>
      <w:r w:rsidRPr="007500E4">
        <w:t>to</w:t>
      </w:r>
      <w:r w:rsidRPr="00DD07E1">
        <w:t xml:space="preserve"> the enforcement of </w:t>
      </w:r>
      <w:r w:rsidRPr="007500E4">
        <w:t>the</w:t>
      </w:r>
      <w:r w:rsidRPr="00DD07E1">
        <w:t xml:space="preserve"> </w:t>
      </w:r>
      <w:r w:rsidRPr="007500E4">
        <w:t>criminal</w:t>
      </w:r>
      <w:r w:rsidRPr="00DD07E1">
        <w:t xml:space="preserve"> law</w:t>
      </w:r>
    </w:p>
    <w:p w14:paraId="00AD6F90" w14:textId="77777777" w:rsidR="00BF60AF" w:rsidRPr="007500E4" w:rsidRDefault="00BF60AF" w:rsidP="00BF60AF">
      <w:pPr>
        <w:pStyle w:val="List2"/>
        <w:tabs>
          <w:tab w:val="left" w:pos="1170"/>
        </w:tabs>
        <w:ind w:left="720"/>
      </w:pPr>
      <w:r>
        <w:t xml:space="preserve">h) </w:t>
      </w:r>
      <w:r>
        <w:tab/>
      </w:r>
      <w:r w:rsidRPr="00DD07E1">
        <w:t xml:space="preserve">contribute </w:t>
      </w:r>
      <w:r w:rsidRPr="007500E4">
        <w:t>to</w:t>
      </w:r>
      <w:r w:rsidRPr="00DD07E1">
        <w:t xml:space="preserve"> the administration </w:t>
      </w:r>
      <w:r w:rsidRPr="007500E4">
        <w:t>of</w:t>
      </w:r>
      <w:r w:rsidRPr="00DD07E1">
        <w:t xml:space="preserve"> justice for </w:t>
      </w:r>
      <w:r w:rsidRPr="007500E4">
        <w:t>a</w:t>
      </w:r>
      <w:r w:rsidRPr="00DD07E1">
        <w:t xml:space="preserve"> person</w:t>
      </w:r>
    </w:p>
    <w:p w14:paraId="189D9B04" w14:textId="77777777" w:rsidR="00BF60AF" w:rsidRPr="007500E4" w:rsidRDefault="00BF60AF" w:rsidP="00BF60AF">
      <w:pPr>
        <w:pStyle w:val="List2"/>
        <w:tabs>
          <w:tab w:val="left" w:pos="1170"/>
        </w:tabs>
        <w:ind w:left="1170" w:hanging="450"/>
      </w:pPr>
      <w:r>
        <w:t xml:space="preserve">i) </w:t>
      </w:r>
      <w:r>
        <w:tab/>
      </w:r>
      <w:r w:rsidRPr="007500E4">
        <w:t>advance</w:t>
      </w:r>
      <w:r w:rsidRPr="00DD07E1">
        <w:t xml:space="preserve"> </w:t>
      </w:r>
      <w:r w:rsidRPr="007500E4">
        <w:t>the</w:t>
      </w:r>
      <w:r w:rsidRPr="00DD07E1">
        <w:t xml:space="preserve"> fair treatment </w:t>
      </w:r>
      <w:r w:rsidRPr="007500E4">
        <w:t>of</w:t>
      </w:r>
      <w:r w:rsidRPr="00DD07E1">
        <w:t xml:space="preserve"> individuals and other entities in accordance with </w:t>
      </w:r>
      <w:r w:rsidRPr="007500E4">
        <w:t>the</w:t>
      </w:r>
      <w:r w:rsidRPr="00DD07E1">
        <w:t xml:space="preserve"> </w:t>
      </w:r>
      <w:r w:rsidRPr="007500E4">
        <w:t>law</w:t>
      </w:r>
      <w:r w:rsidRPr="00DD07E1">
        <w:t xml:space="preserve"> </w:t>
      </w:r>
      <w:r w:rsidRPr="007500E4">
        <w:t>in</w:t>
      </w:r>
      <w:r w:rsidRPr="00DD07E1">
        <w:t xml:space="preserve"> their dealings with agencies</w:t>
      </w:r>
    </w:p>
    <w:p w14:paraId="7150A8AA" w14:textId="77777777" w:rsidR="00BF60AF" w:rsidRPr="007500E4" w:rsidRDefault="00BF60AF" w:rsidP="00BF60AF">
      <w:pPr>
        <w:pStyle w:val="List2"/>
        <w:tabs>
          <w:tab w:val="left" w:pos="1170"/>
        </w:tabs>
        <w:ind w:left="1170" w:hanging="450"/>
      </w:pPr>
      <w:r>
        <w:t xml:space="preserve">j) </w:t>
      </w:r>
      <w:r>
        <w:tab/>
      </w:r>
      <w:r w:rsidRPr="007500E4">
        <w:t>reveal</w:t>
      </w:r>
      <w:r w:rsidRPr="00DD07E1">
        <w:t xml:space="preserve"> environmental </w:t>
      </w:r>
      <w:r w:rsidRPr="007500E4">
        <w:t>or</w:t>
      </w:r>
      <w:r w:rsidRPr="00DD07E1">
        <w:t xml:space="preserve"> health risks of measures relating to public health </w:t>
      </w:r>
      <w:r w:rsidRPr="007500E4">
        <w:t>and</w:t>
      </w:r>
      <w:r w:rsidRPr="00DD07E1">
        <w:t xml:space="preserve"> safety and contribute to </w:t>
      </w:r>
      <w:r w:rsidRPr="007500E4">
        <w:t>the</w:t>
      </w:r>
      <w:r w:rsidRPr="00DD07E1">
        <w:t xml:space="preserve"> protection </w:t>
      </w:r>
      <w:r w:rsidRPr="007500E4">
        <w:t>of</w:t>
      </w:r>
      <w:r w:rsidRPr="00DD07E1">
        <w:t xml:space="preserve"> the environment</w:t>
      </w:r>
    </w:p>
    <w:p w14:paraId="3E6380A6" w14:textId="77777777" w:rsidR="00BF60AF" w:rsidRPr="007500E4" w:rsidRDefault="00BF60AF" w:rsidP="00BF60AF">
      <w:pPr>
        <w:pStyle w:val="List2"/>
        <w:tabs>
          <w:tab w:val="left" w:pos="1170"/>
        </w:tabs>
        <w:ind w:left="720"/>
      </w:pPr>
      <w:r>
        <w:t xml:space="preserve">k) </w:t>
      </w:r>
      <w:r>
        <w:tab/>
      </w:r>
      <w:r w:rsidRPr="00DD07E1">
        <w:t xml:space="preserve">contribute </w:t>
      </w:r>
      <w:r w:rsidRPr="007500E4">
        <w:t>to</w:t>
      </w:r>
      <w:r w:rsidRPr="00DD07E1">
        <w:t xml:space="preserve"> innovation </w:t>
      </w:r>
      <w:r w:rsidRPr="007500E4">
        <w:t>and</w:t>
      </w:r>
      <w:r w:rsidRPr="00DD07E1">
        <w:t xml:space="preserve"> the facilitation </w:t>
      </w:r>
      <w:r w:rsidRPr="007500E4">
        <w:t>of</w:t>
      </w:r>
      <w:r w:rsidRPr="00DD07E1">
        <w:t xml:space="preserve"> research.</w:t>
      </w:r>
    </w:p>
    <w:p w14:paraId="0A4B3E58" w14:textId="56FB89EA" w:rsidR="00BF60AF" w:rsidRPr="003A6522" w:rsidRDefault="00BF60AF" w:rsidP="003A6522">
      <w:pPr>
        <w:pStyle w:val="Heading3"/>
      </w:pPr>
      <w:bookmarkStart w:id="296" w:name="Step_4:_Identify_the_factors_against_dis"/>
      <w:bookmarkStart w:id="297" w:name="_bookmark9"/>
      <w:bookmarkStart w:id="298" w:name="_Toc11154465"/>
      <w:bookmarkStart w:id="299" w:name="_Toc141875253"/>
      <w:bookmarkEnd w:id="296"/>
      <w:bookmarkEnd w:id="297"/>
      <w:r w:rsidRPr="003A6522">
        <w:t xml:space="preserve">Identify any factors against </w:t>
      </w:r>
      <w:r w:rsidR="000F779F" w:rsidRPr="003A6522">
        <w:t>access</w:t>
      </w:r>
      <w:bookmarkEnd w:id="298"/>
      <w:bookmarkEnd w:id="299"/>
    </w:p>
    <w:p w14:paraId="03A367E0" w14:textId="438174D0" w:rsidR="00BF60AF" w:rsidRPr="008F3F35" w:rsidRDefault="00BF60AF" w:rsidP="00991A9E">
      <w:pPr>
        <w:pStyle w:val="NumberedParagraphs"/>
        <w:ind w:left="567"/>
      </w:pPr>
      <w:r w:rsidRPr="008F3F35">
        <w:t xml:space="preserve">The FOI Act does not list any factors weighing against </w:t>
      </w:r>
      <w:r w:rsidR="000F779F">
        <w:t>access</w:t>
      </w:r>
      <w:r w:rsidRPr="008F3F35">
        <w:t>. These factors, like those favouring disclosure, will depend on the circumstances. However, the inclusion of the exemptions and conditional exemptions in the FOI Act recognises that harm may result from the disclosure of some types of documents in certain circumstances; for example, where disclosure could prejudice an investigation, unreasonably affect a person’s privacy or reveal commercially sensitive information. Such policy considerations are reflected in the application of public interest factors that may be relevant in a particular case.</w:t>
      </w:r>
    </w:p>
    <w:p w14:paraId="2ED4AECE" w14:textId="77777777" w:rsidR="00BF60AF" w:rsidRPr="008F3F35" w:rsidRDefault="00BF60AF" w:rsidP="00991A9E">
      <w:pPr>
        <w:pStyle w:val="NumberedParagraphs"/>
        <w:ind w:left="567"/>
      </w:pPr>
      <w:r w:rsidRPr="008F3F35">
        <w:lastRenderedPageBreak/>
        <w:t>Citing the specific harm defined in the applicable conditional exemption is not itself sufficient to conclude that disclosure would be contrary to the public interest. However, the harm is an important consideration that the decision maker must weigh when seeking to determine where the balance lies.</w:t>
      </w:r>
    </w:p>
    <w:p w14:paraId="3042D1AE" w14:textId="77777777" w:rsidR="00BF60AF" w:rsidRPr="008F3F35" w:rsidRDefault="00BF60AF" w:rsidP="00991A9E">
      <w:pPr>
        <w:pStyle w:val="NumberedParagraphs"/>
        <w:ind w:left="567"/>
      </w:pPr>
      <w:bookmarkStart w:id="300" w:name="_bookmark10"/>
      <w:bookmarkStart w:id="301" w:name="_Ref457391628"/>
      <w:bookmarkEnd w:id="300"/>
      <w:r w:rsidRPr="008F3F35">
        <w:t>A non-exhaustive list of factors against disclosure is provided below.</w:t>
      </w:r>
      <w:bookmarkEnd w:id="301"/>
    </w:p>
    <w:p w14:paraId="0E72C692" w14:textId="586B3610" w:rsidR="00BF60AF" w:rsidRPr="008F3F35" w:rsidRDefault="00BF60AF" w:rsidP="00901310">
      <w:pPr>
        <w:spacing w:before="120"/>
        <w:ind w:left="709" w:hanging="142"/>
        <w:rPr>
          <w:b/>
          <w:bCs/>
        </w:rPr>
      </w:pPr>
      <w:r w:rsidRPr="008F3F35">
        <w:rPr>
          <w:b/>
          <w:bCs/>
        </w:rPr>
        <w:t xml:space="preserve">Public interest factors against </w:t>
      </w:r>
      <w:r w:rsidR="00163926">
        <w:rPr>
          <w:b/>
          <w:bCs/>
        </w:rPr>
        <w:t>access</w:t>
      </w:r>
    </w:p>
    <w:p w14:paraId="64389804"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w:t>
      </w:r>
      <w:r w:rsidRPr="007500E4">
        <w:t xml:space="preserve"> to</w:t>
      </w:r>
      <w:r w:rsidRPr="00DD07E1">
        <w:t xml:space="preserve"> prejudice the protection </w:t>
      </w:r>
      <w:r w:rsidRPr="007500E4">
        <w:t>of</w:t>
      </w:r>
      <w:r w:rsidRPr="00DD07E1">
        <w:t xml:space="preserve"> </w:t>
      </w:r>
      <w:r w:rsidRPr="007500E4">
        <w:t>an</w:t>
      </w:r>
      <w:r w:rsidRPr="00DD07E1">
        <w:t xml:space="preserve"> individual’s</w:t>
      </w:r>
      <w:r w:rsidRPr="007500E4">
        <w:t xml:space="preserve"> right</w:t>
      </w:r>
      <w:r w:rsidRPr="00DD07E1">
        <w:t xml:space="preserve"> </w:t>
      </w:r>
      <w:r w:rsidRPr="007500E4">
        <w:t>to</w:t>
      </w:r>
      <w:r w:rsidRPr="00DD07E1">
        <w:t xml:space="preserve"> privacy,</w:t>
      </w:r>
      <w:r>
        <w:rPr>
          <w:rStyle w:val="FootnoteReference"/>
        </w:rPr>
        <w:footnoteReference w:id="190"/>
      </w:r>
      <w:r w:rsidRPr="00DD07E1">
        <w:t xml:space="preserve"> including where:</w:t>
      </w:r>
    </w:p>
    <w:p w14:paraId="6A2CCE82" w14:textId="77777777" w:rsidR="00BF60AF" w:rsidRPr="007500E4" w:rsidRDefault="00BF60AF" w:rsidP="00901310">
      <w:pPr>
        <w:pStyle w:val="List2"/>
        <w:numPr>
          <w:ilvl w:val="0"/>
          <w:numId w:val="50"/>
        </w:numPr>
        <w:ind w:left="1560" w:hanging="426"/>
      </w:pPr>
      <w:r w:rsidRPr="007500E4">
        <w:t>the</w:t>
      </w:r>
      <w:r w:rsidRPr="00DD07E1">
        <w:t xml:space="preserve"> personal information </w:t>
      </w:r>
      <w:r w:rsidRPr="007500E4">
        <w:t>is</w:t>
      </w:r>
      <w:r w:rsidRPr="00DD07E1">
        <w:t xml:space="preserve"> that </w:t>
      </w:r>
      <w:r w:rsidRPr="007500E4">
        <w:t>of</w:t>
      </w:r>
      <w:r w:rsidRPr="00DD07E1">
        <w:t xml:space="preserve"> </w:t>
      </w:r>
      <w:r w:rsidRPr="007500E4">
        <w:t>a</w:t>
      </w:r>
      <w:r w:rsidRPr="00DD07E1">
        <w:t xml:space="preserve"> child, where </w:t>
      </w:r>
      <w:r w:rsidRPr="007500E4">
        <w:t>the</w:t>
      </w:r>
      <w:r w:rsidRPr="00DD07E1">
        <w:t xml:space="preserve"> applicant </w:t>
      </w:r>
      <w:r w:rsidRPr="007500E4">
        <w:t>is</w:t>
      </w:r>
      <w:r w:rsidRPr="00DD07E1">
        <w:t xml:space="preserve"> </w:t>
      </w:r>
      <w:r w:rsidRPr="007500E4">
        <w:t>the</w:t>
      </w:r>
      <w:r w:rsidRPr="008F3F35">
        <w:rPr>
          <w:w w:val="99"/>
        </w:rPr>
        <w:t xml:space="preserve"> </w:t>
      </w:r>
      <w:r w:rsidRPr="00DD07E1">
        <w:t>child’s parent,</w:t>
      </w:r>
      <w:r w:rsidRPr="007500E4">
        <w:t xml:space="preserve"> </w:t>
      </w:r>
      <w:r w:rsidRPr="00DD07E1">
        <w:t xml:space="preserve">and disclosure of </w:t>
      </w:r>
      <w:r w:rsidRPr="007500E4">
        <w:t>the</w:t>
      </w:r>
      <w:r w:rsidRPr="00DD07E1">
        <w:t xml:space="preserve"> information is</w:t>
      </w:r>
      <w:r w:rsidRPr="007500E4">
        <w:t xml:space="preserve"> </w:t>
      </w:r>
      <w:r w:rsidRPr="00DD07E1">
        <w:t>reasonably</w:t>
      </w:r>
      <w:r w:rsidRPr="007500E4">
        <w:t xml:space="preserve"> </w:t>
      </w:r>
      <w:r w:rsidRPr="00DD07E1">
        <w:t xml:space="preserve">considered </w:t>
      </w:r>
      <w:r w:rsidRPr="007500E4">
        <w:t>not</w:t>
      </w:r>
      <w:r w:rsidRPr="00DD07E1">
        <w:t xml:space="preserve"> </w:t>
      </w:r>
      <w:r w:rsidRPr="007500E4">
        <w:t>to</w:t>
      </w:r>
      <w:r w:rsidRPr="00DD07E1">
        <w:t xml:space="preserve"> </w:t>
      </w:r>
      <w:r w:rsidRPr="007500E4">
        <w:t>be</w:t>
      </w:r>
      <w:r w:rsidRPr="00DD07E1">
        <w:t xml:space="preserve"> </w:t>
      </w:r>
      <w:r w:rsidRPr="007500E4">
        <w:t>in</w:t>
      </w:r>
      <w:r w:rsidRPr="00DD07E1">
        <w:t xml:space="preserve"> the child’s best interests</w:t>
      </w:r>
    </w:p>
    <w:p w14:paraId="53FB3122" w14:textId="2405FBB3" w:rsidR="00BF60AF" w:rsidRPr="00DD07E1" w:rsidRDefault="00BF60AF" w:rsidP="00901310">
      <w:pPr>
        <w:pStyle w:val="List2"/>
        <w:numPr>
          <w:ilvl w:val="0"/>
          <w:numId w:val="50"/>
        </w:numPr>
        <w:ind w:left="1560" w:hanging="426"/>
      </w:pPr>
      <w:r w:rsidRPr="007500E4">
        <w:t>the</w:t>
      </w:r>
      <w:r w:rsidRPr="00DD07E1">
        <w:t xml:space="preserve"> personal information</w:t>
      </w:r>
      <w:r w:rsidRPr="007500E4">
        <w:t xml:space="preserve"> is</w:t>
      </w:r>
      <w:r w:rsidRPr="00DD07E1">
        <w:t xml:space="preserve"> that </w:t>
      </w:r>
      <w:r w:rsidRPr="007500E4">
        <w:t>of</w:t>
      </w:r>
      <w:r w:rsidRPr="00DD07E1">
        <w:t xml:space="preserve"> </w:t>
      </w:r>
      <w:r w:rsidRPr="007500E4">
        <w:t>a</w:t>
      </w:r>
      <w:r w:rsidRPr="00DD07E1">
        <w:t xml:space="preserve"> deceased</w:t>
      </w:r>
      <w:r w:rsidRPr="007500E4">
        <w:t xml:space="preserve"> </w:t>
      </w:r>
      <w:r w:rsidRPr="00DD07E1">
        <w:t>individual where the</w:t>
      </w:r>
      <w:r w:rsidRPr="008F3F35">
        <w:rPr>
          <w:w w:val="99"/>
        </w:rPr>
        <w:t xml:space="preserve"> </w:t>
      </w:r>
      <w:r w:rsidRPr="00DD07E1">
        <w:t xml:space="preserve">applicant </w:t>
      </w:r>
      <w:r w:rsidRPr="007500E4">
        <w:t>is</w:t>
      </w:r>
      <w:r w:rsidRPr="00DD07E1">
        <w:t xml:space="preserve"> </w:t>
      </w:r>
      <w:r w:rsidRPr="007500E4">
        <w:t>a</w:t>
      </w:r>
      <w:r w:rsidRPr="00DD07E1">
        <w:t xml:space="preserve"> close family </w:t>
      </w:r>
      <w:r w:rsidRPr="007500E4">
        <w:t>member</w:t>
      </w:r>
      <w:r w:rsidRPr="00DD07E1">
        <w:t xml:space="preserve"> (a close </w:t>
      </w:r>
      <w:r w:rsidRPr="007500E4">
        <w:t>family</w:t>
      </w:r>
      <w:r w:rsidRPr="00DD07E1">
        <w:t xml:space="preserve"> </w:t>
      </w:r>
      <w:r w:rsidRPr="007500E4">
        <w:t>member</w:t>
      </w:r>
      <w:r w:rsidRPr="00DD07E1">
        <w:t xml:space="preserve"> </w:t>
      </w:r>
      <w:r w:rsidRPr="007500E4">
        <w:t>is</w:t>
      </w:r>
      <w:r w:rsidRPr="00DD07E1">
        <w:t xml:space="preserve"> </w:t>
      </w:r>
      <w:r w:rsidRPr="007500E4">
        <w:t>a</w:t>
      </w:r>
      <w:r w:rsidRPr="00DD07E1">
        <w:t xml:space="preserve"> spouse </w:t>
      </w:r>
      <w:r w:rsidRPr="007500E4">
        <w:t>or</w:t>
      </w:r>
      <w:r w:rsidRPr="00DD07E1">
        <w:t xml:space="preserve"> partner, adult child or parent of the deceased, </w:t>
      </w:r>
      <w:r w:rsidRPr="007500E4">
        <w:t>or</w:t>
      </w:r>
      <w:r w:rsidRPr="00DD07E1">
        <w:t xml:space="preserve"> other person who</w:t>
      </w:r>
      <w:r w:rsidRPr="007500E4">
        <w:t xml:space="preserve"> </w:t>
      </w:r>
      <w:r w:rsidRPr="00DD07E1">
        <w:t>was</w:t>
      </w:r>
      <w:r w:rsidRPr="007500E4">
        <w:t xml:space="preserve"> </w:t>
      </w:r>
      <w:r w:rsidRPr="00DD07E1">
        <w:t>ordinarily</w:t>
      </w:r>
      <w:r w:rsidRPr="007500E4">
        <w:t xml:space="preserve"> a</w:t>
      </w:r>
      <w:r w:rsidRPr="00DD07E1">
        <w:t xml:space="preserve"> member </w:t>
      </w:r>
      <w:r w:rsidRPr="007500E4">
        <w:t>of</w:t>
      </w:r>
      <w:r w:rsidRPr="00DD07E1">
        <w:t xml:space="preserve"> the person’s</w:t>
      </w:r>
      <w:r w:rsidRPr="007500E4">
        <w:t xml:space="preserve"> </w:t>
      </w:r>
      <w:r w:rsidRPr="00DD07E1">
        <w:t xml:space="preserve">household) and </w:t>
      </w:r>
      <w:r w:rsidRPr="007500E4">
        <w:t>the</w:t>
      </w:r>
      <w:r w:rsidRPr="008F3F35">
        <w:rPr>
          <w:w w:val="99"/>
        </w:rPr>
        <w:t xml:space="preserve"> </w:t>
      </w:r>
      <w:r w:rsidRPr="00DD07E1">
        <w:t xml:space="preserve">disclosure </w:t>
      </w:r>
      <w:r w:rsidRPr="007500E4">
        <w:t>of</w:t>
      </w:r>
      <w:r w:rsidRPr="00DD07E1">
        <w:t xml:space="preserve"> the information could reasonably </w:t>
      </w:r>
      <w:r w:rsidRPr="007500E4">
        <w:t>be</w:t>
      </w:r>
      <w:r w:rsidRPr="00DD07E1">
        <w:t xml:space="preserve"> expected to affect</w:t>
      </w:r>
      <w:r w:rsidRPr="007500E4">
        <w:t xml:space="preserve"> </w:t>
      </w:r>
      <w:r w:rsidRPr="00DD07E1">
        <w:t>the</w:t>
      </w:r>
      <w:r w:rsidRPr="008F3F35">
        <w:rPr>
          <w:w w:val="99"/>
        </w:rPr>
        <w:t xml:space="preserve"> </w:t>
      </w:r>
      <w:r w:rsidRPr="007500E4">
        <w:t>deceased</w:t>
      </w:r>
      <w:r w:rsidRPr="00DD07E1">
        <w:t xml:space="preserve"> person’s privacy </w:t>
      </w:r>
      <w:r w:rsidRPr="007500E4">
        <w:t xml:space="preserve">if </w:t>
      </w:r>
      <w:r w:rsidRPr="00DD07E1">
        <w:t>that person were</w:t>
      </w:r>
      <w:r w:rsidRPr="007500E4">
        <w:t xml:space="preserve"> </w:t>
      </w:r>
      <w:r w:rsidRPr="00DD07E1">
        <w:t>alive</w:t>
      </w:r>
    </w:p>
    <w:p w14:paraId="6698D25F" w14:textId="1495CD7C" w:rsidR="00BF60AF" w:rsidRPr="007500E4" w:rsidRDefault="00BF60AF" w:rsidP="00901310">
      <w:pPr>
        <w:pStyle w:val="List2"/>
        <w:numPr>
          <w:ilvl w:val="0"/>
          <w:numId w:val="50"/>
        </w:numPr>
        <w:ind w:left="1560" w:hanging="426"/>
      </w:pPr>
      <w:r w:rsidRPr="007500E4">
        <w:t xml:space="preserve">the personal information is that of a government employee in relation to personnel management and the disclosure of the information could reasonably </w:t>
      </w:r>
      <w:r>
        <w:t xml:space="preserve">be </w:t>
      </w:r>
      <w:r w:rsidRPr="007500E4">
        <w:t>considered to reveal information about their private disposition or personal life.</w:t>
      </w:r>
      <w:r w:rsidRPr="007500E4">
        <w:rPr>
          <w:rStyle w:val="FootnoteReference"/>
        </w:rPr>
        <w:footnoteReference w:id="191"/>
      </w:r>
    </w:p>
    <w:p w14:paraId="0FCB6B5E"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prejudice the fair treatment </w:t>
      </w:r>
      <w:r w:rsidRPr="007500E4">
        <w:t>of</w:t>
      </w:r>
      <w:r w:rsidRPr="00DD07E1">
        <w:t xml:space="preserve"> individuals </w:t>
      </w:r>
      <w:r w:rsidRPr="007500E4">
        <w:t>and the</w:t>
      </w:r>
      <w:r w:rsidRPr="00DD07E1">
        <w:t xml:space="preserve"> information </w:t>
      </w:r>
      <w:r w:rsidRPr="007500E4">
        <w:t>is</w:t>
      </w:r>
      <w:r w:rsidRPr="00DD07E1">
        <w:t xml:space="preserve"> about unsubstantiated allegations of misconduct or unlawful, </w:t>
      </w:r>
      <w:r w:rsidRPr="007500E4">
        <w:t>negligent</w:t>
      </w:r>
      <w:r w:rsidRPr="00DD07E1">
        <w:t xml:space="preserve"> or improper conduct</w:t>
      </w:r>
    </w:p>
    <w:p w14:paraId="09E2BB5C"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prejudice security, </w:t>
      </w:r>
      <w:r w:rsidRPr="007500E4">
        <w:t>law</w:t>
      </w:r>
      <w:r w:rsidRPr="00DD07E1">
        <w:t xml:space="preserve"> enforcement, public health or public safety</w:t>
      </w:r>
      <w:r>
        <w:rPr>
          <w:rStyle w:val="FootnoteReference"/>
        </w:rPr>
        <w:footnoteReference w:id="192"/>
      </w:r>
    </w:p>
    <w:p w14:paraId="5A3A7377"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impede the administration of justice generally, including procedural fairness</w:t>
      </w:r>
    </w:p>
    <w:p w14:paraId="0F6C7B2B"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impede the administration of justice for </w:t>
      </w:r>
      <w:r w:rsidRPr="007500E4">
        <w:t>an</w:t>
      </w:r>
      <w:r w:rsidRPr="00DD07E1">
        <w:t xml:space="preserve"> individual</w:t>
      </w:r>
    </w:p>
    <w:p w14:paraId="4FBDD96B"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impede the protection </w:t>
      </w:r>
      <w:r w:rsidRPr="007500E4">
        <w:t>of</w:t>
      </w:r>
      <w:r w:rsidRPr="00DD07E1">
        <w:t xml:space="preserve"> the environment</w:t>
      </w:r>
      <w:r>
        <w:rPr>
          <w:rStyle w:val="FootnoteReference"/>
        </w:rPr>
        <w:footnoteReference w:id="193"/>
      </w:r>
    </w:p>
    <w:p w14:paraId="414AAB92"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impede the flow </w:t>
      </w:r>
      <w:r w:rsidRPr="007500E4">
        <w:t>of</w:t>
      </w:r>
      <w:r w:rsidRPr="00DD07E1">
        <w:t xml:space="preserve"> information </w:t>
      </w:r>
      <w:r w:rsidRPr="007500E4">
        <w:t>to</w:t>
      </w:r>
      <w:r w:rsidRPr="00DD07E1">
        <w:t xml:space="preserve"> the police or</w:t>
      </w:r>
      <w:r w:rsidRPr="00121239">
        <w:t xml:space="preserve"> </w:t>
      </w:r>
      <w:r w:rsidRPr="00DD07E1">
        <w:t xml:space="preserve">another </w:t>
      </w:r>
      <w:r w:rsidRPr="007500E4">
        <w:t>law</w:t>
      </w:r>
      <w:r w:rsidRPr="00DD07E1">
        <w:t xml:space="preserve"> enforcement </w:t>
      </w:r>
      <w:r w:rsidRPr="007500E4">
        <w:t>or</w:t>
      </w:r>
      <w:r w:rsidRPr="00DD07E1">
        <w:t xml:space="preserve"> regulatory </w:t>
      </w:r>
      <w:r w:rsidRPr="007500E4">
        <w:t>agency</w:t>
      </w:r>
      <w:r>
        <w:rPr>
          <w:rStyle w:val="FootnoteReference"/>
        </w:rPr>
        <w:footnoteReference w:id="194"/>
      </w:r>
    </w:p>
    <w:p w14:paraId="68A4E7BD" w14:textId="77777777" w:rsidR="00BF60AF" w:rsidRPr="007500E4" w:rsidRDefault="00BF60AF" w:rsidP="00901310">
      <w:pPr>
        <w:pStyle w:val="List"/>
        <w:numPr>
          <w:ilvl w:val="0"/>
          <w:numId w:val="51"/>
        </w:numPr>
        <w:ind w:left="993" w:hanging="426"/>
      </w:pPr>
      <w:r w:rsidRPr="00121239">
        <w:lastRenderedPageBreak/>
        <w:t>could reasonably be expected to prejudice an agency’s abili</w:t>
      </w:r>
      <w:r w:rsidRPr="007500E4">
        <w:t>ty</w:t>
      </w:r>
      <w:r w:rsidRPr="00DD07E1">
        <w:t xml:space="preserve"> to obtain confidential information</w:t>
      </w:r>
      <w:r>
        <w:rPr>
          <w:rStyle w:val="FootnoteReference"/>
        </w:rPr>
        <w:footnoteReference w:id="195"/>
      </w:r>
    </w:p>
    <w:p w14:paraId="195B267D" w14:textId="77777777" w:rsidR="00BF60AF" w:rsidRPr="007500E4" w:rsidRDefault="00BF60AF" w:rsidP="00901310">
      <w:pPr>
        <w:pStyle w:val="List"/>
        <w:numPr>
          <w:ilvl w:val="0"/>
          <w:numId w:val="51"/>
        </w:numPr>
        <w:ind w:left="993" w:hanging="426"/>
      </w:pPr>
      <w:r w:rsidRPr="00121239">
        <w:t xml:space="preserve">could reasonably be expected to prejudice an agency’s ability to obtain similar </w:t>
      </w:r>
      <w:r w:rsidRPr="00DD07E1">
        <w:t xml:space="preserve">information in </w:t>
      </w:r>
      <w:r w:rsidRPr="007500E4">
        <w:t>the</w:t>
      </w:r>
      <w:r w:rsidRPr="00DD07E1">
        <w:t xml:space="preserve"> future</w:t>
      </w:r>
      <w:r>
        <w:rPr>
          <w:rStyle w:val="FootnoteReference"/>
        </w:rPr>
        <w:footnoteReference w:id="196"/>
      </w:r>
    </w:p>
    <w:p w14:paraId="58E0414E" w14:textId="45CA9365"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prejudice the competitive commercial activities </w:t>
      </w:r>
      <w:r w:rsidRPr="007500E4">
        <w:t>of</w:t>
      </w:r>
      <w:r w:rsidRPr="00DD07E1">
        <w:t xml:space="preserve"> an agency</w:t>
      </w:r>
      <w:r w:rsidR="00F7301B">
        <w:rPr>
          <w:rStyle w:val="FootnoteReference"/>
        </w:rPr>
        <w:footnoteReference w:id="197"/>
      </w:r>
    </w:p>
    <w:p w14:paraId="2E363A82"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w:t>
      </w:r>
      <w:r w:rsidRPr="007500E4">
        <w:t>harm</w:t>
      </w:r>
      <w:r w:rsidRPr="00DD07E1">
        <w:t xml:space="preserve"> the interests </w:t>
      </w:r>
      <w:r w:rsidRPr="007500E4">
        <w:t>of</w:t>
      </w:r>
      <w:r w:rsidRPr="00DD07E1">
        <w:t xml:space="preserve"> </w:t>
      </w:r>
      <w:r w:rsidRPr="007500E4">
        <w:t>an</w:t>
      </w:r>
      <w:r w:rsidRPr="00DD07E1">
        <w:t xml:space="preserve"> individual </w:t>
      </w:r>
      <w:r w:rsidRPr="007500E4">
        <w:t>or</w:t>
      </w:r>
      <w:r w:rsidRPr="00DD07E1">
        <w:t xml:space="preserve"> group </w:t>
      </w:r>
      <w:r w:rsidRPr="007500E4">
        <w:t>of</w:t>
      </w:r>
      <w:r w:rsidRPr="00DD07E1">
        <w:t xml:space="preserve"> individuals</w:t>
      </w:r>
      <w:r>
        <w:rPr>
          <w:rStyle w:val="FootnoteReference"/>
        </w:rPr>
        <w:footnoteReference w:id="198"/>
      </w:r>
    </w:p>
    <w:p w14:paraId="716F59A7" w14:textId="77777777" w:rsidR="00BF60AF" w:rsidRPr="00DD07E1"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prejudice the conduct of investigations, audits </w:t>
      </w:r>
      <w:r w:rsidRPr="007500E4">
        <w:t>or</w:t>
      </w:r>
      <w:r w:rsidRPr="00DD07E1">
        <w:t xml:space="preserve"> reviews </w:t>
      </w:r>
      <w:r w:rsidRPr="007500E4">
        <w:t>by</w:t>
      </w:r>
      <w:r w:rsidRPr="00DD07E1">
        <w:t xml:space="preserve"> the Ombudsman </w:t>
      </w:r>
      <w:r w:rsidRPr="007500E4">
        <w:t>or</w:t>
      </w:r>
      <w:r w:rsidRPr="00DD07E1">
        <w:t xml:space="preserve"> Auditor-General</w:t>
      </w:r>
      <w:r w:rsidRPr="00121239">
        <w:rPr>
          <w:rStyle w:val="FootnoteReference"/>
        </w:rPr>
        <w:footnoteReference w:id="199"/>
      </w:r>
    </w:p>
    <w:p w14:paraId="57CF3FFF" w14:textId="77777777" w:rsidR="00BF60AF" w:rsidRPr="00DD07E1" w:rsidRDefault="00BF60AF" w:rsidP="00901310">
      <w:pPr>
        <w:pStyle w:val="List"/>
        <w:numPr>
          <w:ilvl w:val="0"/>
          <w:numId w:val="51"/>
        </w:numPr>
        <w:ind w:left="993" w:hanging="426"/>
      </w:pPr>
      <w:r w:rsidRPr="00DD07E1">
        <w:t>could reasonably be expected to discourage the use of agency’s access and research services</w:t>
      </w:r>
      <w:r w:rsidRPr="00121239">
        <w:rPr>
          <w:rStyle w:val="FootnoteReference"/>
        </w:rPr>
        <w:footnoteReference w:id="200"/>
      </w:r>
    </w:p>
    <w:p w14:paraId="44D6FBDE" w14:textId="2C8D97E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prejudice the </w:t>
      </w:r>
      <w:r w:rsidRPr="007500E4">
        <w:t>management</w:t>
      </w:r>
      <w:r w:rsidRPr="00DD07E1">
        <w:t xml:space="preserve"> function </w:t>
      </w:r>
      <w:r w:rsidRPr="007500E4">
        <w:t>of</w:t>
      </w:r>
      <w:r w:rsidRPr="00DD07E1">
        <w:t xml:space="preserve"> an </w:t>
      </w:r>
      <w:r w:rsidRPr="007500E4">
        <w:t>agency</w:t>
      </w:r>
      <w:r w:rsidR="000E7765">
        <w:rPr>
          <w:rStyle w:val="FootnoteReference"/>
        </w:rPr>
        <w:footnoteReference w:id="201"/>
      </w:r>
    </w:p>
    <w:p w14:paraId="06895283" w14:textId="77777777" w:rsidR="00BF60AF" w:rsidRPr="007500E4" w:rsidRDefault="00BF60AF" w:rsidP="00901310">
      <w:pPr>
        <w:pStyle w:val="List"/>
        <w:numPr>
          <w:ilvl w:val="0"/>
          <w:numId w:val="51"/>
        </w:numPr>
        <w:ind w:left="993" w:hanging="426"/>
      </w:pPr>
      <w:r w:rsidRPr="00DD07E1">
        <w:t xml:space="preserve">could reasonably </w:t>
      </w:r>
      <w:r w:rsidRPr="007500E4">
        <w:t>be</w:t>
      </w:r>
      <w:r w:rsidRPr="00DD07E1">
        <w:t xml:space="preserve"> expected </w:t>
      </w:r>
      <w:r w:rsidRPr="007500E4">
        <w:t>to</w:t>
      </w:r>
      <w:r w:rsidRPr="00DD07E1">
        <w:t xml:space="preserve"> prejudice the effectiveness of testing </w:t>
      </w:r>
      <w:r w:rsidRPr="007500E4">
        <w:t>or</w:t>
      </w:r>
      <w:r w:rsidRPr="00121239">
        <w:rPr>
          <w:w w:val="99"/>
        </w:rPr>
        <w:t xml:space="preserve"> </w:t>
      </w:r>
      <w:r w:rsidRPr="00DD07E1">
        <w:t>auditing procedures</w:t>
      </w:r>
      <w:r>
        <w:t>.</w:t>
      </w:r>
    </w:p>
    <w:p w14:paraId="5D2F1D6A" w14:textId="779DD000" w:rsidR="00BF60AF" w:rsidRPr="003A6522" w:rsidRDefault="00BF60AF" w:rsidP="003A6522">
      <w:pPr>
        <w:pStyle w:val="Heading3"/>
      </w:pPr>
      <w:bookmarkStart w:id="302" w:name="Step_5:_Ensure_that_no_irrelevant_factor"/>
      <w:bookmarkStart w:id="303" w:name="_bookmark11"/>
      <w:bookmarkStart w:id="304" w:name="_Toc11154466"/>
      <w:bookmarkStart w:id="305" w:name="_Toc141875254"/>
      <w:bookmarkEnd w:id="302"/>
      <w:bookmarkEnd w:id="303"/>
      <w:r w:rsidRPr="003A6522">
        <w:t xml:space="preserve">Ensure no irrelevant factor </w:t>
      </w:r>
      <w:r w:rsidR="000C54D5" w:rsidRPr="003A6522">
        <w:t xml:space="preserve">is </w:t>
      </w:r>
      <w:r w:rsidRPr="003A6522">
        <w:t>considered</w:t>
      </w:r>
      <w:bookmarkEnd w:id="304"/>
      <w:bookmarkEnd w:id="305"/>
    </w:p>
    <w:p w14:paraId="738863B1" w14:textId="7830F7E6" w:rsidR="00BF60AF" w:rsidRPr="004827E2" w:rsidRDefault="00BF60AF" w:rsidP="00991A9E">
      <w:pPr>
        <w:pStyle w:val="NumberedParagraphs"/>
        <w:ind w:left="567"/>
      </w:pPr>
      <w:r w:rsidRPr="004827E2">
        <w:t xml:space="preserve">The decision maker must take care not to consider factors that are not relevant in the particular circumstances. The FOI Act specifies certain factors </w:t>
      </w:r>
      <w:r w:rsidR="00E66413">
        <w:t>that</w:t>
      </w:r>
      <w:r w:rsidRPr="004827E2">
        <w:t xml:space="preserve"> must not be </w:t>
      </w:r>
      <w:proofErr w:type="gramStart"/>
      <w:r w:rsidRPr="004827E2">
        <w:t>taken into account</w:t>
      </w:r>
      <w:proofErr w:type="gramEnd"/>
      <w:r w:rsidRPr="004827E2">
        <w:t xml:space="preserve">, as explained at </w:t>
      </w:r>
      <w:r w:rsidRPr="000F7D9A">
        <w:t>[</w:t>
      </w:r>
      <w:r w:rsidR="00332322">
        <w:t>6.220</w:t>
      </w:r>
      <w:r w:rsidRPr="000F7D9A">
        <w:t>]</w:t>
      </w:r>
      <w:r w:rsidRPr="004827E2">
        <w:t xml:space="preserve"> below. </w:t>
      </w:r>
    </w:p>
    <w:p w14:paraId="526564A0" w14:textId="77777777" w:rsidR="00BF60AF" w:rsidRPr="004827E2" w:rsidRDefault="00BF60AF" w:rsidP="00991A9E">
      <w:pPr>
        <w:pStyle w:val="NumberedParagraphs"/>
        <w:ind w:left="567"/>
      </w:pPr>
      <w:bookmarkStart w:id="306" w:name="_bookmark12"/>
      <w:bookmarkStart w:id="307" w:name="_Ref458498823"/>
      <w:bookmarkEnd w:id="306"/>
      <w:r w:rsidRPr="004827E2">
        <w:t>The irrelevant factors are:</w:t>
      </w:r>
      <w:bookmarkEnd w:id="307"/>
    </w:p>
    <w:p w14:paraId="16D23A8D" w14:textId="77777777" w:rsidR="00BF60AF" w:rsidRPr="004827E2" w:rsidRDefault="00BF60AF" w:rsidP="00901310">
      <w:pPr>
        <w:pStyle w:val="IndentBullet1"/>
        <w:ind w:left="993" w:hanging="426"/>
      </w:pPr>
      <w:r w:rsidRPr="004827E2">
        <w:t>access to the document could result in embarrassment to the Commonwealth Government, or cause a loss of confidence in the Commonwealth Government</w:t>
      </w:r>
    </w:p>
    <w:p w14:paraId="1A1CE055" w14:textId="77777777" w:rsidR="00BF60AF" w:rsidRPr="004827E2" w:rsidRDefault="00BF60AF" w:rsidP="00901310">
      <w:pPr>
        <w:pStyle w:val="IndentBullet1"/>
        <w:ind w:left="993" w:hanging="426"/>
      </w:pPr>
      <w:r w:rsidRPr="004827E2">
        <w:t>access to the document could result in any person misinterpreting or misunderstanding the document</w:t>
      </w:r>
    </w:p>
    <w:p w14:paraId="60D6DDB1" w14:textId="77777777" w:rsidR="00BF60AF" w:rsidRPr="004827E2" w:rsidRDefault="00BF60AF" w:rsidP="00901310">
      <w:pPr>
        <w:pStyle w:val="IndentBullet1"/>
        <w:ind w:left="993" w:hanging="426"/>
      </w:pPr>
      <w:r w:rsidRPr="004827E2">
        <w:t xml:space="preserve">the author of the document was (or is) of high seniority in the agency </w:t>
      </w:r>
      <w:r>
        <w:t xml:space="preserve">to </w:t>
      </w:r>
      <w:r w:rsidRPr="004827E2">
        <w:t>which the request for access to the document was made</w:t>
      </w:r>
    </w:p>
    <w:p w14:paraId="2E03ADB6" w14:textId="77777777" w:rsidR="00BF60AF" w:rsidRPr="004827E2" w:rsidRDefault="00BF60AF" w:rsidP="00901310">
      <w:pPr>
        <w:pStyle w:val="IndentBullet1"/>
        <w:ind w:left="993" w:hanging="426"/>
      </w:pPr>
      <w:r w:rsidRPr="004827E2">
        <w:t>access to the document could result in confusion or unnecessary debate (s 11B(4)).</w:t>
      </w:r>
    </w:p>
    <w:p w14:paraId="5E2BF3DC" w14:textId="09A33D1A" w:rsidR="00BF60AF" w:rsidRPr="003A6522" w:rsidRDefault="00BF60AF" w:rsidP="003A6522">
      <w:pPr>
        <w:pStyle w:val="Heading3"/>
      </w:pPr>
      <w:bookmarkStart w:id="308" w:name="Step_6:_Weigh_the_relevant_factors_to_de"/>
      <w:bookmarkStart w:id="309" w:name="_bookmark13"/>
      <w:bookmarkStart w:id="310" w:name="_Toc11154467"/>
      <w:bookmarkStart w:id="311" w:name="_Toc141875255"/>
      <w:bookmarkEnd w:id="308"/>
      <w:bookmarkEnd w:id="309"/>
      <w:r w:rsidRPr="003A6522">
        <w:lastRenderedPageBreak/>
        <w:t>Weigh the relevant factors to determine where the public interest lies</w:t>
      </w:r>
      <w:bookmarkEnd w:id="310"/>
      <w:bookmarkEnd w:id="311"/>
    </w:p>
    <w:p w14:paraId="57372978" w14:textId="42C5DD4A" w:rsidR="00BF60AF" w:rsidRPr="004827E2" w:rsidRDefault="00BF60AF" w:rsidP="00991A9E">
      <w:pPr>
        <w:pStyle w:val="NumberedParagraphs"/>
        <w:ind w:left="567"/>
      </w:pPr>
      <w:r w:rsidRPr="004827E2">
        <w:t xml:space="preserve">The decision maker must determine whether </w:t>
      </w:r>
      <w:r w:rsidR="00332CC8">
        <w:t xml:space="preserve">giving </w:t>
      </w:r>
      <w:r w:rsidRPr="004827E2">
        <w:t xml:space="preserve">access to a conditionally exempt document is, at the time of the decision, contrary to the public interest, </w:t>
      </w:r>
      <w:proofErr w:type="gramStart"/>
      <w:r w:rsidRPr="004827E2">
        <w:t>taking into account</w:t>
      </w:r>
      <w:proofErr w:type="gramEnd"/>
      <w:r w:rsidRPr="004827E2">
        <w:t xml:space="preserve"> the factors for and against </w:t>
      </w:r>
      <w:r w:rsidR="00332CC8">
        <w:t>access</w:t>
      </w:r>
      <w:r w:rsidRPr="004827E2">
        <w:t xml:space="preserve">. The timing of the </w:t>
      </w:r>
      <w:r>
        <w:t xml:space="preserve">FOI </w:t>
      </w:r>
      <w:r w:rsidRPr="004827E2">
        <w:t>request may be important. For example</w:t>
      </w:r>
      <w:r w:rsidR="00332CC8">
        <w:t>,</w:t>
      </w:r>
      <w:r w:rsidRPr="004827E2">
        <w:t xml:space="preserve"> it is possible that certain factors may be relevant when the decision is </w:t>
      </w:r>
      <w:proofErr w:type="gramStart"/>
      <w:r w:rsidRPr="004827E2">
        <w:t>made, but</w:t>
      </w:r>
      <w:proofErr w:type="gramEnd"/>
      <w:r w:rsidRPr="004827E2">
        <w:t xml:space="preserve"> </w:t>
      </w:r>
      <w:r w:rsidR="00011719">
        <w:t>may</w:t>
      </w:r>
      <w:r w:rsidRPr="004827E2">
        <w:t xml:space="preserve"> not be relevant if the request were to reconsidered </w:t>
      </w:r>
      <w:proofErr w:type="spellStart"/>
      <w:r w:rsidRPr="004827E2">
        <w:t>some time</w:t>
      </w:r>
      <w:proofErr w:type="spellEnd"/>
      <w:r w:rsidRPr="004827E2">
        <w:t xml:space="preserve"> later.</w:t>
      </w:r>
      <w:r>
        <w:rPr>
          <w:rStyle w:val="FootnoteReference"/>
        </w:rPr>
        <w:footnoteReference w:id="202"/>
      </w:r>
      <w:r w:rsidRPr="004827E2">
        <w:t xml:space="preserve"> In such circumstances a new and different decision could be made.</w:t>
      </w:r>
      <w:r>
        <w:rPr>
          <w:rStyle w:val="FootnoteReference"/>
        </w:rPr>
        <w:footnoteReference w:id="203"/>
      </w:r>
    </w:p>
    <w:p w14:paraId="7A3EC5AB" w14:textId="16F25E98" w:rsidR="00BF60AF" w:rsidRDefault="00BF60AF" w:rsidP="00991A9E">
      <w:pPr>
        <w:pStyle w:val="NumberedParagraphs"/>
        <w:ind w:left="567"/>
      </w:pPr>
      <w:bookmarkStart w:id="312" w:name="_bookmark14"/>
      <w:bookmarkEnd w:id="312"/>
      <w:r w:rsidRPr="004827E2">
        <w:t xml:space="preserve">In weighing the factors for and against </w:t>
      </w:r>
      <w:r w:rsidR="00573F49">
        <w:t xml:space="preserve">access to </w:t>
      </w:r>
      <w:r w:rsidRPr="004827E2">
        <w:t>a document, it is not sufficient simply to list the factors. The decision maker’s statement of reasons must explain the relevance of the factors and the relative weight given to th</w:t>
      </w:r>
      <w:r w:rsidR="00FE5821">
        <w:t>em</w:t>
      </w:r>
      <w:r w:rsidRPr="004827E2">
        <w:t xml:space="preserve"> (s 26(1)(aa)) (see Part 3</w:t>
      </w:r>
      <w:r>
        <w:t xml:space="preserve"> of these Guidelines</w:t>
      </w:r>
      <w:r w:rsidRPr="004827E2">
        <w:t>).</w:t>
      </w:r>
    </w:p>
    <w:p w14:paraId="07419630" w14:textId="6B23B1DA" w:rsidR="00BF60AF" w:rsidRDefault="00BF60AF" w:rsidP="00991A9E">
      <w:pPr>
        <w:pStyle w:val="NumberedParagraphs"/>
        <w:ind w:left="567"/>
      </w:pPr>
      <w:r w:rsidRPr="004827E2">
        <w:t>To conclude that, on balance, disclosure of a document would be contrary to the public interest is to conclude that the benefit to the public resulting from disclosure is outweighed by the benefit to the public of withholding the information. The decision maker must analyse, in each case, where on balance the public interest lies based on the particular facts at the time the decision is made.</w:t>
      </w:r>
      <w:r>
        <w:rPr>
          <w:rStyle w:val="FootnoteReference"/>
        </w:rPr>
        <w:footnoteReference w:id="204"/>
      </w:r>
    </w:p>
    <w:p w14:paraId="7A2B5DAB" w14:textId="691C9B92" w:rsidR="00BF60AF" w:rsidRDefault="00193130" w:rsidP="00991A9E">
      <w:pPr>
        <w:pStyle w:val="NumberedParagraphs"/>
        <w:ind w:left="567"/>
      </w:pPr>
      <w:r>
        <w:t xml:space="preserve">As noted in </w:t>
      </w:r>
      <w:r>
        <w:rPr>
          <w:i/>
          <w:iCs/>
        </w:rPr>
        <w:t>J</w:t>
      </w:r>
      <w:r>
        <w:rPr>
          <w:rFonts w:ascii="Source Sans Pro" w:hAnsi="Source Sans Pro"/>
          <w:i/>
          <w:iCs/>
          <w:color w:val="333333"/>
          <w:shd w:val="clear" w:color="auto" w:fill="FFFFFF"/>
        </w:rPr>
        <w:t>onathan Sequeira and Australian Broadcasting Corporation (No. 3) (Freedom of information)</w:t>
      </w:r>
      <w:r>
        <w:rPr>
          <w:rFonts w:ascii="Source Sans Pro" w:hAnsi="Source Sans Pro"/>
          <w:color w:val="333333"/>
          <w:shd w:val="clear" w:color="auto" w:fill="FFFFFF"/>
        </w:rPr>
        <w:t> </w:t>
      </w:r>
      <w:hyperlink r:id="rId13" w:tooltip="View Case" w:history="1">
        <w:r>
          <w:rPr>
            <w:rStyle w:val="Hyperlink"/>
            <w:rFonts w:ascii="Source Sans Pro" w:hAnsi="Source Sans Pro"/>
            <w:color w:val="3796CC"/>
            <w:shd w:val="clear" w:color="auto" w:fill="FFFFFF"/>
          </w:rPr>
          <w:t>[2023] AICmr 30</w:t>
        </w:r>
      </w:hyperlink>
      <w:r w:rsidR="00BF60AF">
        <w:t xml:space="preserve">: </w:t>
      </w:r>
    </w:p>
    <w:p w14:paraId="6CB55CB9" w14:textId="77777777" w:rsidR="00BF60AF" w:rsidRPr="004827E2" w:rsidRDefault="00BF60AF" w:rsidP="00901310">
      <w:pPr>
        <w:pStyle w:val="NumberedParagraphs"/>
        <w:numPr>
          <w:ilvl w:val="0"/>
          <w:numId w:val="0"/>
        </w:numPr>
        <w:ind w:left="1134"/>
      </w:pPr>
      <w:r>
        <w:rPr>
          <w:rFonts w:ascii="Source Sans Pro" w:hAnsi="Source Sans Pro"/>
          <w:color w:val="333333"/>
          <w:shd w:val="clear" w:color="auto" w:fill="FFFFFF"/>
        </w:rPr>
        <w:t>Access must be provided unless the degree of that harm is such that it outweighs the public interests in disclosure that underpin the FOI Act and apply in the particular case. The test is not whether disclosure would be positively in the public interest. Rather it is whether, on balance, disclosure would be contrary to the public interest, that is, that some harm or damage to the public interest which outweighs the benefit to the public in disclosure would ensue.</w:t>
      </w:r>
      <w:r>
        <w:rPr>
          <w:rStyle w:val="FootnoteReference"/>
          <w:rFonts w:ascii="Source Sans Pro" w:hAnsi="Source Sans Pro"/>
          <w:color w:val="333333"/>
          <w:shd w:val="clear" w:color="auto" w:fill="FFFFFF"/>
        </w:rPr>
        <w:footnoteReference w:id="205"/>
      </w:r>
    </w:p>
    <w:p w14:paraId="1385D93F" w14:textId="792E9D7F" w:rsidR="00781D07" w:rsidRPr="004827E2" w:rsidRDefault="00A85BD3" w:rsidP="00781D07">
      <w:pPr>
        <w:pStyle w:val="Heading3"/>
      </w:pPr>
      <w:bookmarkStart w:id="313" w:name="_Toc141875256"/>
      <w:r>
        <w:t>T</w:t>
      </w:r>
      <w:r w:rsidR="00781D07" w:rsidRPr="004827E2">
        <w:t>he public interest test</w:t>
      </w:r>
      <w:r w:rsidR="00781D07">
        <w:t xml:space="preserve"> </w:t>
      </w:r>
      <w:r>
        <w:t xml:space="preserve">and </w:t>
      </w:r>
      <w:r w:rsidR="00781D07">
        <w:t>s 47B</w:t>
      </w:r>
      <w:r w:rsidR="00690408">
        <w:t xml:space="preserve"> (Commonwealth-State relations)</w:t>
      </w:r>
      <w:bookmarkEnd w:id="313"/>
    </w:p>
    <w:p w14:paraId="5269C6B4" w14:textId="60979858" w:rsidR="00EA619F" w:rsidRPr="004827E2" w:rsidRDefault="009F0250" w:rsidP="00EA619F">
      <w:pPr>
        <w:pStyle w:val="NumberedParagraphs"/>
        <w:ind w:left="567"/>
      </w:pPr>
      <w:r>
        <w:t>When applying the public interest test to a document considered to be conditionally exempt under s 47B</w:t>
      </w:r>
      <w:r w:rsidR="000C5EED">
        <w:t>(a)</w:t>
      </w:r>
      <w:r>
        <w:t xml:space="preserve">, it may be relevant </w:t>
      </w:r>
      <w:r w:rsidR="00D60199">
        <w:t xml:space="preserve">to </w:t>
      </w:r>
      <w:proofErr w:type="gramStart"/>
      <w:r w:rsidR="00EA619F">
        <w:t>take into account</w:t>
      </w:r>
      <w:proofErr w:type="gramEnd"/>
      <w:r w:rsidR="00EA619F">
        <w:t xml:space="preserve"> </w:t>
      </w:r>
      <w:r w:rsidR="00D60199">
        <w:t>whether disclosure would, or could reasonably be expected to</w:t>
      </w:r>
      <w:r w:rsidR="007004D1">
        <w:t>,</w:t>
      </w:r>
      <w:r w:rsidR="00D60199">
        <w:t xml:space="preserve"> </w:t>
      </w:r>
      <w:r w:rsidR="007004D1">
        <w:t xml:space="preserve">cause </w:t>
      </w:r>
      <w:r w:rsidR="00D60199">
        <w:t xml:space="preserve">damage </w:t>
      </w:r>
      <w:r w:rsidR="007004D1">
        <w:t xml:space="preserve">to </w:t>
      </w:r>
      <w:r w:rsidR="00D60199">
        <w:t>Commonwealth-State relations.</w:t>
      </w:r>
      <w:r w:rsidR="00D50DC6">
        <w:t xml:space="preserve"> </w:t>
      </w:r>
      <w:r w:rsidR="007004D1">
        <w:t>However,</w:t>
      </w:r>
      <w:r w:rsidR="00D50DC6">
        <w:t xml:space="preserve"> the fact that damage may result from disclosure is not determinat</w:t>
      </w:r>
      <w:r w:rsidR="00EA619F">
        <w:t>ive</w:t>
      </w:r>
      <w:r w:rsidR="00D50DC6">
        <w:t xml:space="preserve"> of </w:t>
      </w:r>
      <w:r w:rsidR="00AC0FA6">
        <w:t>whether it would be contrary to the public interest to give access</w:t>
      </w:r>
      <w:r w:rsidR="00EA619F">
        <w:t xml:space="preserve"> to the conditionally exempt document</w:t>
      </w:r>
      <w:r w:rsidR="00AC0FA6">
        <w:t>.</w:t>
      </w:r>
      <w:r w:rsidR="00C95A6C">
        <w:rPr>
          <w:rStyle w:val="FootnoteReference"/>
        </w:rPr>
        <w:footnoteReference w:id="206"/>
      </w:r>
      <w:r w:rsidR="00EA619F">
        <w:t xml:space="preserve"> </w:t>
      </w:r>
      <w:r w:rsidR="00EA619F" w:rsidRPr="004827E2">
        <w:t>. Other public interest factors may also be relevant (such as the desirability of allowing scrutiny of government activities).</w:t>
      </w:r>
    </w:p>
    <w:p w14:paraId="4BC0E8CE" w14:textId="1B7319CC" w:rsidR="00781D07" w:rsidRDefault="00781D07" w:rsidP="00871809">
      <w:pPr>
        <w:pStyle w:val="NumberedParagraphs"/>
        <w:ind w:left="567"/>
      </w:pPr>
      <w:r w:rsidRPr="004827E2">
        <w:t xml:space="preserve">Conversely, in relation to another provision of s 47B, such as 47B(b) and </w:t>
      </w:r>
      <w:r>
        <w:t xml:space="preserve">information or </w:t>
      </w:r>
      <w:r w:rsidRPr="004827E2">
        <w:t xml:space="preserve">matter communicated in confidence, where disclosure of </w:t>
      </w:r>
      <w:r w:rsidR="006D6514">
        <w:t>a</w:t>
      </w:r>
      <w:r w:rsidRPr="004827E2">
        <w:t xml:space="preserve"> document may reasonably be </w:t>
      </w:r>
      <w:r w:rsidRPr="004827E2">
        <w:lastRenderedPageBreak/>
        <w:t>expected to have a positive or neutral effect on Commonwealth-State relations, then that may be a public interest factor in favour of disclosure.</w:t>
      </w:r>
    </w:p>
    <w:p w14:paraId="0B439724" w14:textId="77777777" w:rsidR="001F7096" w:rsidRDefault="001F7096" w:rsidP="001F7096">
      <w:pPr>
        <w:pStyle w:val="NumberedParagraphs"/>
        <w:ind w:left="567"/>
      </w:pPr>
      <w:r>
        <w:t>It is not uncommon that documents considered to be conditionally exempt under s 47B(b) are documents shared between law enforcement agencies. In such cases factors favouring disclosure of the requested documents will include:</w:t>
      </w:r>
    </w:p>
    <w:p w14:paraId="3B0A017E" w14:textId="77777777" w:rsidR="001F7096" w:rsidRDefault="001F7096" w:rsidP="001F7096">
      <w:pPr>
        <w:pStyle w:val="NumberedParagraphs"/>
        <w:numPr>
          <w:ilvl w:val="0"/>
          <w:numId w:val="376"/>
        </w:numPr>
        <w:tabs>
          <w:tab w:val="left" w:pos="1134"/>
        </w:tabs>
        <w:ind w:left="1134" w:hanging="425"/>
      </w:pPr>
      <w:r>
        <w:t>promoting the objects of the FOI Act</w:t>
      </w:r>
    </w:p>
    <w:p w14:paraId="09E80835" w14:textId="1E8A46B2" w:rsidR="001F7096" w:rsidRPr="00BA1702" w:rsidRDefault="00306295" w:rsidP="001F7096">
      <w:pPr>
        <w:pStyle w:val="NumberedParagraphs"/>
        <w:numPr>
          <w:ilvl w:val="0"/>
          <w:numId w:val="376"/>
        </w:numPr>
        <w:tabs>
          <w:tab w:val="left" w:pos="1134"/>
        </w:tabs>
        <w:ind w:left="1134" w:hanging="425"/>
      </w:pPr>
      <w:r>
        <w:rPr>
          <w:rFonts w:ascii="Source Sans Pro" w:hAnsi="Source Sans Pro"/>
          <w:color w:val="333333"/>
          <w:shd w:val="clear" w:color="auto" w:fill="FFFFFF"/>
        </w:rPr>
        <w:t xml:space="preserve">enhancing the </w:t>
      </w:r>
      <w:r w:rsidR="001F7096">
        <w:rPr>
          <w:rFonts w:ascii="Source Sans Pro" w:hAnsi="Source Sans Pro"/>
          <w:color w:val="333333"/>
          <w:shd w:val="clear" w:color="auto" w:fill="FFFFFF"/>
        </w:rPr>
        <w:t xml:space="preserve">scrutiny of </w:t>
      </w:r>
      <w:r>
        <w:rPr>
          <w:rFonts w:ascii="Source Sans Pro" w:hAnsi="Source Sans Pro"/>
          <w:color w:val="333333"/>
          <w:shd w:val="clear" w:color="auto" w:fill="FFFFFF"/>
        </w:rPr>
        <w:t xml:space="preserve">government </w:t>
      </w:r>
      <w:r w:rsidR="001F7096">
        <w:rPr>
          <w:rFonts w:ascii="Source Sans Pro" w:hAnsi="Source Sans Pro"/>
          <w:color w:val="333333"/>
          <w:shd w:val="clear" w:color="auto" w:fill="FFFFFF"/>
        </w:rPr>
        <w:t xml:space="preserve">operations </w:t>
      </w:r>
      <w:r>
        <w:rPr>
          <w:rFonts w:ascii="Source Sans Pro" w:hAnsi="Source Sans Pro"/>
          <w:color w:val="333333"/>
          <w:shd w:val="clear" w:color="auto" w:fill="FFFFFF"/>
        </w:rPr>
        <w:t>or decision making</w:t>
      </w:r>
      <w:r w:rsidR="001F7096">
        <w:rPr>
          <w:rFonts w:ascii="Source Sans Pro" w:hAnsi="Source Sans Pro"/>
          <w:color w:val="333333"/>
          <w:shd w:val="clear" w:color="auto" w:fill="FFFFFF"/>
        </w:rPr>
        <w:t xml:space="preserve"> and promoting governmental accountability and transparency</w:t>
      </w:r>
    </w:p>
    <w:p w14:paraId="45308493" w14:textId="5347CC5F" w:rsidR="00190609" w:rsidRDefault="00190609" w:rsidP="001F7096">
      <w:pPr>
        <w:pStyle w:val="NumberedParagraphs"/>
        <w:numPr>
          <w:ilvl w:val="0"/>
          <w:numId w:val="376"/>
        </w:numPr>
        <w:tabs>
          <w:tab w:val="left" w:pos="1134"/>
        </w:tabs>
        <w:ind w:left="1134" w:hanging="425"/>
      </w:pPr>
      <w:r>
        <w:rPr>
          <w:rFonts w:ascii="Source Sans Pro" w:hAnsi="Source Sans Pro"/>
          <w:color w:val="333333"/>
          <w:shd w:val="clear" w:color="auto" w:fill="FFFFFF"/>
        </w:rPr>
        <w:t>informing debate on a matter of public importance</w:t>
      </w:r>
    </w:p>
    <w:p w14:paraId="258F8D08" w14:textId="77777777" w:rsidR="001F7096" w:rsidRDefault="001F7096" w:rsidP="001F7096">
      <w:pPr>
        <w:pStyle w:val="NumberedParagraphs"/>
        <w:numPr>
          <w:ilvl w:val="0"/>
          <w:numId w:val="376"/>
        </w:numPr>
        <w:tabs>
          <w:tab w:val="left" w:pos="1134"/>
        </w:tabs>
        <w:ind w:left="1134" w:hanging="425"/>
      </w:pPr>
      <w:r>
        <w:t xml:space="preserve">[and in some cases] allowing applicants to access their own personal information. </w:t>
      </w:r>
    </w:p>
    <w:p w14:paraId="0F223317" w14:textId="77777777" w:rsidR="001F7096" w:rsidRDefault="001F7096" w:rsidP="001F7096">
      <w:pPr>
        <w:pStyle w:val="NumberedParagraphs"/>
        <w:ind w:left="567"/>
      </w:pPr>
      <w:r>
        <w:t>Countervailing factors may include:</w:t>
      </w:r>
    </w:p>
    <w:p w14:paraId="2E0EC243" w14:textId="77777777" w:rsidR="001F7096" w:rsidRPr="006E4C82" w:rsidRDefault="001F7096" w:rsidP="001F7096">
      <w:pPr>
        <w:numPr>
          <w:ilvl w:val="0"/>
          <w:numId w:val="376"/>
        </w:numPr>
        <w:shd w:val="clear" w:color="auto" w:fill="FFFFFF"/>
        <w:tabs>
          <w:tab w:val="left" w:pos="1134"/>
        </w:tabs>
        <w:ind w:left="1134" w:hanging="414"/>
        <w:rPr>
          <w:rFonts w:ascii="Source Sans Pro" w:eastAsia="Times New Roman" w:hAnsi="Source Sans Pro"/>
          <w:color w:val="333333"/>
          <w:szCs w:val="22"/>
          <w:lang w:eastAsia="en-AU"/>
        </w:rPr>
      </w:pPr>
      <w:r>
        <w:rPr>
          <w:rFonts w:ascii="Source Sans Pro" w:eastAsia="Times New Roman" w:hAnsi="Source Sans Pro"/>
          <w:color w:val="333333"/>
          <w:szCs w:val="22"/>
          <w:lang w:eastAsia="en-AU"/>
        </w:rPr>
        <w:t>i</w:t>
      </w:r>
      <w:r w:rsidRPr="006E4C82">
        <w:rPr>
          <w:rFonts w:ascii="Source Sans Pro" w:eastAsia="Times New Roman" w:hAnsi="Source Sans Pro"/>
          <w:color w:val="333333"/>
          <w:szCs w:val="22"/>
          <w:lang w:eastAsia="en-AU"/>
        </w:rPr>
        <w:t>nhibit</w:t>
      </w:r>
      <w:r>
        <w:rPr>
          <w:rFonts w:ascii="Source Sans Pro" w:eastAsia="Times New Roman" w:hAnsi="Source Sans Pro"/>
          <w:color w:val="333333"/>
          <w:szCs w:val="22"/>
          <w:lang w:eastAsia="en-AU"/>
        </w:rPr>
        <w:t>ing</w:t>
      </w:r>
      <w:r w:rsidRPr="006E4C82">
        <w:rPr>
          <w:rFonts w:ascii="Source Sans Pro" w:eastAsia="Times New Roman" w:hAnsi="Source Sans Pro"/>
          <w:color w:val="333333"/>
          <w:szCs w:val="22"/>
          <w:lang w:eastAsia="en-AU"/>
        </w:rPr>
        <w:t xml:space="preserve"> the future supply of information</w:t>
      </w:r>
      <w:r>
        <w:rPr>
          <w:rFonts w:ascii="Source Sans Pro" w:eastAsia="Times New Roman" w:hAnsi="Source Sans Pro"/>
          <w:color w:val="333333"/>
          <w:szCs w:val="22"/>
          <w:lang w:eastAsia="en-AU"/>
        </w:rPr>
        <w:t xml:space="preserve">, </w:t>
      </w:r>
      <w:r w:rsidRPr="006E4C82">
        <w:rPr>
          <w:rFonts w:ascii="Source Sans Pro" w:eastAsia="Times New Roman" w:hAnsi="Source Sans Pro"/>
          <w:color w:val="333333"/>
          <w:szCs w:val="22"/>
          <w:lang w:eastAsia="en-AU"/>
        </w:rPr>
        <w:t>which would prejudice the conduct of future investigations</w:t>
      </w:r>
    </w:p>
    <w:p w14:paraId="073F5411" w14:textId="77777777" w:rsidR="001F7096" w:rsidRPr="006E4C82" w:rsidRDefault="001F7096" w:rsidP="001F7096">
      <w:pPr>
        <w:numPr>
          <w:ilvl w:val="0"/>
          <w:numId w:val="376"/>
        </w:numPr>
        <w:shd w:val="clear" w:color="auto" w:fill="FFFFFF"/>
        <w:spacing w:before="100" w:beforeAutospacing="1"/>
        <w:ind w:left="1134" w:hanging="414"/>
        <w:rPr>
          <w:rFonts w:ascii="Source Sans Pro" w:eastAsia="Times New Roman" w:hAnsi="Source Sans Pro"/>
          <w:color w:val="333333"/>
          <w:szCs w:val="22"/>
          <w:lang w:eastAsia="en-AU"/>
        </w:rPr>
      </w:pPr>
      <w:r w:rsidRPr="006E4C82">
        <w:rPr>
          <w:rFonts w:ascii="Source Sans Pro" w:eastAsia="Times New Roman" w:hAnsi="Source Sans Pro"/>
          <w:color w:val="333333"/>
          <w:szCs w:val="22"/>
          <w:lang w:eastAsia="en-AU"/>
        </w:rPr>
        <w:t>prejudic</w:t>
      </w:r>
      <w:r>
        <w:rPr>
          <w:rFonts w:ascii="Source Sans Pro" w:eastAsia="Times New Roman" w:hAnsi="Source Sans Pro"/>
          <w:color w:val="333333"/>
          <w:szCs w:val="22"/>
          <w:lang w:eastAsia="en-AU"/>
        </w:rPr>
        <w:t>ing</w:t>
      </w:r>
      <w:r w:rsidRPr="006E4C82">
        <w:rPr>
          <w:rFonts w:ascii="Source Sans Pro" w:eastAsia="Times New Roman" w:hAnsi="Source Sans Pro"/>
          <w:color w:val="333333"/>
          <w:szCs w:val="22"/>
          <w:lang w:eastAsia="en-AU"/>
        </w:rPr>
        <w:t xml:space="preserve"> an agency’s ability to obtain confidential information and</w:t>
      </w:r>
    </w:p>
    <w:p w14:paraId="2388CDD8" w14:textId="77777777" w:rsidR="001F7096" w:rsidRPr="006E4C82" w:rsidRDefault="001F7096" w:rsidP="001F7096">
      <w:pPr>
        <w:numPr>
          <w:ilvl w:val="0"/>
          <w:numId w:val="376"/>
        </w:numPr>
        <w:shd w:val="clear" w:color="auto" w:fill="FFFFFF"/>
        <w:tabs>
          <w:tab w:val="left" w:pos="1134"/>
        </w:tabs>
        <w:spacing w:before="100" w:beforeAutospacing="1"/>
        <w:rPr>
          <w:rFonts w:ascii="Source Sans Pro" w:eastAsia="Times New Roman" w:hAnsi="Source Sans Pro"/>
          <w:color w:val="333333"/>
          <w:szCs w:val="22"/>
          <w:lang w:eastAsia="en-AU"/>
        </w:rPr>
      </w:pPr>
      <w:r w:rsidRPr="006E4C82">
        <w:rPr>
          <w:rFonts w:ascii="Source Sans Pro" w:eastAsia="Times New Roman" w:hAnsi="Source Sans Pro"/>
          <w:color w:val="333333"/>
          <w:szCs w:val="22"/>
          <w:lang w:eastAsia="en-AU"/>
        </w:rPr>
        <w:t>prejudic</w:t>
      </w:r>
      <w:r>
        <w:rPr>
          <w:rFonts w:ascii="Source Sans Pro" w:eastAsia="Times New Roman" w:hAnsi="Source Sans Pro"/>
          <w:color w:val="333333"/>
          <w:szCs w:val="22"/>
          <w:lang w:eastAsia="en-AU"/>
        </w:rPr>
        <w:t>ing</w:t>
      </w:r>
      <w:r w:rsidRPr="006E4C82">
        <w:rPr>
          <w:rFonts w:ascii="Source Sans Pro" w:eastAsia="Times New Roman" w:hAnsi="Source Sans Pro"/>
          <w:color w:val="333333"/>
          <w:szCs w:val="22"/>
          <w:lang w:eastAsia="en-AU"/>
        </w:rPr>
        <w:t xml:space="preserve"> an agency’s ability to obtain similar information in the future.</w:t>
      </w:r>
    </w:p>
    <w:p w14:paraId="524D9DC0" w14:textId="77777777" w:rsidR="001F7096" w:rsidRDefault="001F7096" w:rsidP="001F7096">
      <w:pPr>
        <w:pStyle w:val="NumberedParagraphs"/>
        <w:ind w:left="567"/>
      </w:pPr>
      <w:r>
        <w:rPr>
          <w:rFonts w:ascii="Source Sans Pro" w:hAnsi="Source Sans Pro"/>
          <w:color w:val="333333"/>
          <w:shd w:val="clear" w:color="auto" w:fill="FFFFFF"/>
        </w:rPr>
        <w:t>When balancing these public interest factors, the factors against disclosure will often outweigh those in favour. While the public interest is served by promoting the objects of the FOI Act, the risk of damage to relations between law enforcement agencies is often very high and could have serious and lasting effects on the effectiveness of agency operations in the future.</w:t>
      </w:r>
    </w:p>
    <w:p w14:paraId="0308E58B" w14:textId="77777777" w:rsidR="00781D07" w:rsidRPr="000C1BA8" w:rsidRDefault="00781D07" w:rsidP="00781D07">
      <w:pPr>
        <w:pStyle w:val="Heading3"/>
      </w:pPr>
      <w:bookmarkStart w:id="314" w:name="_Toc141875257"/>
      <w:r w:rsidRPr="000C1BA8">
        <w:t>Inhibition of frankness and candour</w:t>
      </w:r>
      <w:bookmarkEnd w:id="314"/>
    </w:p>
    <w:p w14:paraId="075AB3CE" w14:textId="04CEDCEE" w:rsidR="00781D07" w:rsidRDefault="00781D07" w:rsidP="00991A9E">
      <w:pPr>
        <w:pStyle w:val="NumberedParagraphs"/>
        <w:ind w:left="567"/>
      </w:pPr>
      <w:r w:rsidRPr="007500E4">
        <w:t>Pr</w:t>
      </w:r>
      <w:r>
        <w:t xml:space="preserve">ior to the FOI Act reforms of 2010, </w:t>
      </w:r>
      <w:r w:rsidRPr="007500E4">
        <w:t xml:space="preserve">a common factor </w:t>
      </w:r>
      <w:r w:rsidRPr="00DD07E1">
        <w:t>considered to weigh</w:t>
      </w:r>
      <w:r w:rsidRPr="007500E4">
        <w:t xml:space="preserve"> against </w:t>
      </w:r>
      <w:r w:rsidR="0031798E">
        <w:t>access</w:t>
      </w:r>
      <w:r w:rsidRPr="007500E4">
        <w:t xml:space="preserve"> of </w:t>
      </w:r>
      <w:r>
        <w:t>deliberative matter</w:t>
      </w:r>
      <w:r w:rsidRPr="007500E4">
        <w:t xml:space="preserve"> </w:t>
      </w:r>
      <w:r w:rsidR="00FB0E27">
        <w:t xml:space="preserve">(s 47C) </w:t>
      </w:r>
      <w:r w:rsidRPr="007500E4">
        <w:t xml:space="preserve">was that </w:t>
      </w:r>
      <w:r w:rsidR="0031798E">
        <w:t>giving access</w:t>
      </w:r>
      <w:r w:rsidRPr="007500E4">
        <w:t xml:space="preserve"> would inhibit </w:t>
      </w:r>
      <w:r>
        <w:t xml:space="preserve">the giving of </w:t>
      </w:r>
      <w:r w:rsidRPr="007500E4">
        <w:t xml:space="preserve">frank and candid advice </w:t>
      </w:r>
      <w:r>
        <w:t>by</w:t>
      </w:r>
      <w:r w:rsidRPr="007500E4">
        <w:t xml:space="preserve"> public servants. </w:t>
      </w:r>
      <w:r w:rsidR="008B0923">
        <w:t>Frankness and candour arguments have been s</w:t>
      </w:r>
      <w:r w:rsidR="008B0923" w:rsidRPr="00DD07E1">
        <w:t>ignificantly affected</w:t>
      </w:r>
      <w:r w:rsidR="008B0923" w:rsidRPr="007500E4">
        <w:t xml:space="preserve"> by </w:t>
      </w:r>
      <w:r w:rsidR="008B0923" w:rsidRPr="00DD07E1">
        <w:t xml:space="preserve">the 2010 </w:t>
      </w:r>
      <w:r w:rsidR="008B0923" w:rsidRPr="007500E4">
        <w:t>reforms to the FOI Act</w:t>
      </w:r>
      <w:r w:rsidR="008B0923" w:rsidRPr="00DD07E1">
        <w:t>, as demonstrated by</w:t>
      </w:r>
      <w:r w:rsidR="008B0923">
        <w:t xml:space="preserve"> </w:t>
      </w:r>
      <w:r w:rsidR="008B0923" w:rsidRPr="00DD07E1">
        <w:t>a number of AAT and Information Commissioner decisions.</w:t>
      </w:r>
      <w:r w:rsidR="008B0923" w:rsidRPr="00DD07E1">
        <w:rPr>
          <w:rStyle w:val="FootnoteReference"/>
        </w:rPr>
        <w:footnoteReference w:id="207"/>
      </w:r>
      <w:r w:rsidR="008B0923" w:rsidRPr="00DD07E1">
        <w:t xml:space="preserve"> </w:t>
      </w:r>
    </w:p>
    <w:p w14:paraId="7F3F2FCF" w14:textId="7775F2AA" w:rsidR="000C54D5" w:rsidRPr="00E900CC" w:rsidRDefault="000C54D5" w:rsidP="000C54D5">
      <w:pPr>
        <w:pStyle w:val="NumberedParagraphs"/>
        <w:ind w:left="567"/>
        <w:rPr>
          <w:rFonts w:ascii="Source Sans Pro" w:hAnsi="Source Sans Pro"/>
          <w:color w:val="333333"/>
          <w:sz w:val="24"/>
        </w:rPr>
      </w:pPr>
      <w:r>
        <w:t xml:space="preserve">The ability of public servants to </w:t>
      </w:r>
      <w:r w:rsidRPr="005C4B27">
        <w:t xml:space="preserve">provide robust and frank advice </w:t>
      </w:r>
      <w:r>
        <w:t xml:space="preserve">(often referred to as frank and fearless advice) </w:t>
      </w:r>
      <w:r w:rsidRPr="005C4B27">
        <w:t xml:space="preserve">is </w:t>
      </w:r>
      <w:r w:rsidR="0031798E">
        <w:t xml:space="preserve">still </w:t>
      </w:r>
      <w:r w:rsidRPr="005C4B27">
        <w:t xml:space="preserve">often identified as a </w:t>
      </w:r>
      <w:r>
        <w:t xml:space="preserve">public interest </w:t>
      </w:r>
      <w:r w:rsidRPr="005C4B27">
        <w:t xml:space="preserve">factor against </w:t>
      </w:r>
      <w:r w:rsidR="0031798E">
        <w:t>access</w:t>
      </w:r>
      <w:r w:rsidRPr="005C4B27">
        <w:t xml:space="preserve"> </w:t>
      </w:r>
      <w:r>
        <w:t xml:space="preserve">by decision makers. Decision maker should exercise caution if this is the only public interest factor identified as being against </w:t>
      </w:r>
      <w:r w:rsidR="009B66A4">
        <w:t>access</w:t>
      </w:r>
      <w:r>
        <w:t xml:space="preserve">. The former Australian Information Commissioner Professor McMillan said in </w:t>
      </w:r>
      <w:r w:rsidRPr="005C4B27">
        <w:rPr>
          <w:i/>
          <w:iCs/>
        </w:rPr>
        <w:t>‘G</w:t>
      </w:r>
      <w:r w:rsidRPr="00E900CC">
        <w:rPr>
          <w:rFonts w:ascii="Source Sans Pro" w:hAnsi="Source Sans Pro"/>
          <w:i/>
          <w:iCs/>
          <w:color w:val="333333"/>
        </w:rPr>
        <w:t>I’ and Department of the Prime Minister and Cabinet</w:t>
      </w:r>
      <w:r w:rsidRPr="00E900CC">
        <w:rPr>
          <w:rFonts w:ascii="Source Sans Pro" w:hAnsi="Source Sans Pro"/>
          <w:color w:val="333333"/>
        </w:rPr>
        <w:t> </w:t>
      </w:r>
      <w:hyperlink r:id="rId14" w:tooltip="View Case" w:history="1">
        <w:r w:rsidRPr="00E900CC">
          <w:rPr>
            <w:rStyle w:val="Hyperlink"/>
            <w:rFonts w:ascii="Source Sans Pro" w:hAnsi="Source Sans Pro"/>
            <w:color w:val="3796CC"/>
          </w:rPr>
          <w:t>[2015] AICmr 51</w:t>
        </w:r>
      </w:hyperlink>
      <w:r w:rsidRPr="00E900CC">
        <w:rPr>
          <w:rFonts w:ascii="Source Sans Pro" w:hAnsi="Source Sans Pro"/>
          <w:color w:val="333333"/>
        </w:rPr>
        <w:t>:</w:t>
      </w:r>
    </w:p>
    <w:p w14:paraId="361A1CC0" w14:textId="77777777" w:rsidR="000C54D5" w:rsidRDefault="000C54D5" w:rsidP="00AC1B79">
      <w:pPr>
        <w:pStyle w:val="NormalWeb"/>
        <w:shd w:val="clear" w:color="auto" w:fill="FFFFFF"/>
        <w:spacing w:before="0" w:beforeAutospacing="0" w:after="120" w:afterAutospacing="0" w:line="240" w:lineRule="auto"/>
        <w:ind w:left="1134"/>
        <w:rPr>
          <w:rFonts w:ascii="Source Sans Pro" w:hAnsi="Source Sans Pro"/>
          <w:color w:val="333333"/>
        </w:rPr>
      </w:pPr>
      <w:r>
        <w:rPr>
          <w:rFonts w:ascii="Source Sans Pro" w:hAnsi="Source Sans Pro"/>
          <w:color w:val="333333"/>
        </w:rPr>
        <w:t>... a more recent decision of the Administrative Appeals Tribunal, </w:t>
      </w:r>
      <w:r>
        <w:rPr>
          <w:rFonts w:ascii="Source Sans Pro" w:hAnsi="Source Sans Pro"/>
          <w:i/>
          <w:iCs/>
          <w:color w:val="333333"/>
        </w:rPr>
        <w:t xml:space="preserve">Rovere and Secretary, Department of Education and Training </w:t>
      </w:r>
      <w:hyperlink r:id="rId15" w:tooltip="View Case" w:history="1">
        <w:r>
          <w:rPr>
            <w:rStyle w:val="Hyperlink"/>
            <w:rFonts w:ascii="Source Sans Pro" w:hAnsi="Source Sans Pro"/>
            <w:color w:val="3796CC"/>
          </w:rPr>
          <w:t>[2015] AATA 462</w:t>
        </w:r>
      </w:hyperlink>
      <w:r>
        <w:rPr>
          <w:rFonts w:ascii="Source Sans Pro" w:hAnsi="Source Sans Pro"/>
          <w:color w:val="333333"/>
        </w:rPr>
        <w:t xml:space="preserve"> has held that ‘A frankness and candour claim, made in circumstances where there is no (other) factor against access ... cannot be a factor against access when applying the public interest test’ (at 52). I read that as a comment only that a confidentiality or candour claim carries no weight </w:t>
      </w:r>
      <w:r>
        <w:rPr>
          <w:rFonts w:ascii="Source Sans Pro" w:hAnsi="Source Sans Pro"/>
          <w:color w:val="333333"/>
        </w:rPr>
        <w:lastRenderedPageBreak/>
        <w:t>by itself but must be related to some particular practice, process, policy or program in government.</w:t>
      </w:r>
      <w:r>
        <w:rPr>
          <w:rStyle w:val="FootnoteReference"/>
          <w:rFonts w:ascii="Source Sans Pro" w:hAnsi="Source Sans Pro"/>
          <w:color w:val="333333"/>
        </w:rPr>
        <w:footnoteReference w:id="208"/>
      </w:r>
    </w:p>
    <w:p w14:paraId="3C32BF23" w14:textId="77777777" w:rsidR="001133F7" w:rsidRPr="007500E4" w:rsidRDefault="001133F7" w:rsidP="001133F7">
      <w:pPr>
        <w:pStyle w:val="NumberedParagraphs"/>
        <w:ind w:left="567"/>
      </w:pPr>
      <w:r w:rsidRPr="00CA7210">
        <w:t xml:space="preserve">In </w:t>
      </w:r>
      <w:r w:rsidRPr="00CA7210">
        <w:rPr>
          <w:i/>
        </w:rPr>
        <w:t>Rovere and Secretary, Department of Education and Training</w:t>
      </w:r>
      <w:r w:rsidRPr="00CA7210">
        <w:t xml:space="preserve"> [2015</w:t>
      </w:r>
      <w:r w:rsidRPr="007500E4">
        <w:t>] AATA 462, the AAT said that in relation to pre-decisional communications, a frankness and candour claim cannot be a public interest factor against access.</w:t>
      </w:r>
      <w:r w:rsidRPr="007500E4">
        <w:rPr>
          <w:rStyle w:val="FootnoteReference"/>
          <w:rFonts w:eastAsiaTheme="minorHAnsi" w:cs="Calibri"/>
          <w:color w:val="000000"/>
        </w:rPr>
        <w:footnoteReference w:id="209"/>
      </w:r>
      <w:r w:rsidRPr="007500E4">
        <w:t xml:space="preserve"> The Information Commissioner reads </w:t>
      </w:r>
      <w:r w:rsidRPr="00DD07E1">
        <w:rPr>
          <w:i/>
        </w:rPr>
        <w:t>Rovere</w:t>
      </w:r>
      <w:r w:rsidRPr="007500E4">
        <w:t xml:space="preserve"> as authority </w:t>
      </w:r>
      <w:r>
        <w:t xml:space="preserve">for the proposition </w:t>
      </w:r>
      <w:r w:rsidRPr="007500E4">
        <w:t>that a confidentiality or candour claim carries no weight by itself but must be related to some particular practice, process, policy or program in government.</w:t>
      </w:r>
      <w:r w:rsidRPr="007500E4">
        <w:rPr>
          <w:rStyle w:val="FootnoteReference"/>
          <w:rFonts w:eastAsiaTheme="minorHAnsi" w:cs="Calibri"/>
          <w:color w:val="000000"/>
        </w:rPr>
        <w:footnoteReference w:id="210"/>
      </w:r>
    </w:p>
    <w:p w14:paraId="2ECB959B" w14:textId="171181D0" w:rsidR="00691099" w:rsidRPr="00DD07E1" w:rsidRDefault="00691099" w:rsidP="00691099">
      <w:pPr>
        <w:pStyle w:val="NumberedParagraphs"/>
        <w:ind w:left="567"/>
      </w:pPr>
      <w:r w:rsidRPr="007500E4">
        <w:t>T</w:t>
      </w:r>
      <w:r w:rsidRPr="00DD07E1">
        <w:t>he Information Commissioner considers that frankness and candour in relation to s</w:t>
      </w:r>
      <w:r>
        <w:t> </w:t>
      </w:r>
      <w:r w:rsidRPr="00DD07E1">
        <w:t xml:space="preserve">47C may have some application as one public interest factor </w:t>
      </w:r>
      <w:r w:rsidRPr="007500E4">
        <w:t xml:space="preserve">against disclosure </w:t>
      </w:r>
      <w:r w:rsidRPr="00DD07E1">
        <w:t>in combination with other factors</w:t>
      </w:r>
      <w:r>
        <w:t>. Frankness and candour may be</w:t>
      </w:r>
      <w:r w:rsidRPr="007500E4">
        <w:t xml:space="preserve"> the sole factor where the</w:t>
      </w:r>
      <w:r w:rsidRPr="00DD07E1">
        <w:t xml:space="preserve"> public interest is clearly, heavily weighted against disclosure of </w:t>
      </w:r>
      <w:r w:rsidRPr="007500E4">
        <w:t>a document</w:t>
      </w:r>
      <w:r>
        <w:t xml:space="preserve"> of a m</w:t>
      </w:r>
      <w:r w:rsidRPr="00DD07E1">
        <w:t xml:space="preserve">inister, or </w:t>
      </w:r>
      <w:r w:rsidRPr="007500E4">
        <w:t>a document</w:t>
      </w:r>
      <w:r w:rsidRPr="00DD07E1">
        <w:t xml:space="preserve"> that would affect the effective and efficient functioning of government.</w:t>
      </w:r>
    </w:p>
    <w:p w14:paraId="7BFE03D9" w14:textId="77777777" w:rsidR="00AD6F16" w:rsidRPr="00DD07E1" w:rsidRDefault="00AD6F16" w:rsidP="00AD6F16">
      <w:pPr>
        <w:pStyle w:val="NumberedParagraphs"/>
        <w:ind w:left="567"/>
      </w:pPr>
      <w:r w:rsidRPr="00DD07E1">
        <w:t>Public servants are expected to operate within a framework that encourages open access to information and recognises Government information as a national resource to be managed for public purposes (ss 3(3) and (4)). In particular, the FOI Act recognises that Australia’s democracy is strengthened when the public is empowered to participate in Government processes and scrutinise Government activities (s 3(2)). In this setting, transparency of the work of public servants should be the accepted operating environment and fears about a lessening of frank and candid advice correspondingly diminished.</w:t>
      </w:r>
    </w:p>
    <w:p w14:paraId="3DB0A30E" w14:textId="38CB3E9E" w:rsidR="00781D07" w:rsidRPr="00DD07E1" w:rsidRDefault="00781D07" w:rsidP="00991A9E">
      <w:pPr>
        <w:pStyle w:val="NumberedParagraphs"/>
        <w:ind w:left="567"/>
      </w:pPr>
      <w:r w:rsidRPr="00DD07E1">
        <w:t>Agencies should</w:t>
      </w:r>
      <w:r>
        <w:t xml:space="preserve"> </w:t>
      </w:r>
      <w:r w:rsidR="00433841">
        <w:t>therefore</w:t>
      </w:r>
      <w:r w:rsidRPr="00DD07E1">
        <w:t xml:space="preserve"> start with the assumption that public servants are obliged by their position to provide robust and frank advice at all times and that obligation will not be diminished by transparency of government activities.</w:t>
      </w:r>
      <w:r w:rsidR="0008321A">
        <w:rPr>
          <w:rStyle w:val="FootnoteReference"/>
        </w:rPr>
        <w:footnoteReference w:id="211"/>
      </w:r>
    </w:p>
    <w:p w14:paraId="3C6C29EB" w14:textId="77777777" w:rsidR="00781D07" w:rsidRPr="007500E4" w:rsidRDefault="00781D07" w:rsidP="00991A9E">
      <w:pPr>
        <w:pStyle w:val="NumberedParagraphs"/>
        <w:ind w:left="567"/>
      </w:pPr>
      <w:r w:rsidRPr="007500E4">
        <w:t>The AAT has said there is an ‘essential balance that must be struck between making information held by government available to the public so that there can be increased public participation leading to better informed decision-making and increased scrutiny and review of the government’s activities and ensuring that government may function effectively and efficiently’.</w:t>
      </w:r>
      <w:r w:rsidRPr="007500E4">
        <w:rPr>
          <w:rStyle w:val="FootnoteReference"/>
          <w:rFonts w:cs="Calibri"/>
          <w:color w:val="000000"/>
        </w:rPr>
        <w:footnoteReference w:id="212"/>
      </w:r>
    </w:p>
    <w:p w14:paraId="58AF6DE6" w14:textId="1F26838E" w:rsidR="00E05215" w:rsidRDefault="00781D07" w:rsidP="00AD6F16">
      <w:pPr>
        <w:pStyle w:val="NumberedParagraphs"/>
        <w:ind w:left="567"/>
      </w:pPr>
      <w:r w:rsidRPr="007500E4">
        <w:t>While frankness and candour claims may still be contemplated when considering deliberative material and weighing the public interest, they should be approached cautiously and in accordance with ss 3 and 11B. Generally, the circumstances will be special and specific.</w:t>
      </w:r>
    </w:p>
    <w:p w14:paraId="3CE8B325" w14:textId="3181717B" w:rsidR="00682719" w:rsidRPr="00F85DED" w:rsidRDefault="00FA2B86" w:rsidP="00682719">
      <w:pPr>
        <w:pStyle w:val="Heading3"/>
      </w:pPr>
      <w:bookmarkStart w:id="315" w:name="_Toc141875258"/>
      <w:r>
        <w:t>I</w:t>
      </w:r>
      <w:r w:rsidR="00682719">
        <w:t>ncoming government briefs</w:t>
      </w:r>
      <w:r>
        <w:t xml:space="preserve"> and the public interest test</w:t>
      </w:r>
      <w:bookmarkEnd w:id="315"/>
    </w:p>
    <w:p w14:paraId="462D6157" w14:textId="77777777" w:rsidR="00682719" w:rsidRPr="00E70826" w:rsidRDefault="00682719" w:rsidP="00991A9E">
      <w:pPr>
        <w:pStyle w:val="NumberedParagraphs"/>
        <w:ind w:left="567"/>
        <w:rPr>
          <w:szCs w:val="22"/>
        </w:rPr>
      </w:pPr>
      <w:r w:rsidRPr="006226A6">
        <w:rPr>
          <w:rFonts w:ascii="Source Sans Pro" w:hAnsi="Source Sans Pro"/>
          <w:color w:val="333333"/>
          <w:szCs w:val="22"/>
          <w:shd w:val="clear" w:color="auto" w:fill="FFFFFF"/>
        </w:rPr>
        <w:t>An incoming government brief is a briefing prepared by a</w:t>
      </w:r>
      <w:r>
        <w:rPr>
          <w:rFonts w:ascii="Source Sans Pro" w:hAnsi="Source Sans Pro"/>
          <w:color w:val="333333"/>
          <w:szCs w:val="22"/>
          <w:shd w:val="clear" w:color="auto" w:fill="FFFFFF"/>
        </w:rPr>
        <w:t>n Australian Government</w:t>
      </w:r>
      <w:r w:rsidRPr="006226A6">
        <w:rPr>
          <w:rFonts w:ascii="Source Sans Pro" w:hAnsi="Source Sans Pro"/>
          <w:color w:val="333333"/>
          <w:szCs w:val="22"/>
          <w:shd w:val="clear" w:color="auto" w:fill="FFFFFF"/>
        </w:rPr>
        <w:t xml:space="preserve"> </w:t>
      </w:r>
      <w:r w:rsidRPr="00991A9E">
        <w:t>department</w:t>
      </w:r>
      <w:r w:rsidRPr="006226A6">
        <w:rPr>
          <w:rFonts w:ascii="Source Sans Pro" w:hAnsi="Source Sans Pro"/>
          <w:color w:val="333333"/>
          <w:szCs w:val="22"/>
          <w:shd w:val="clear" w:color="auto" w:fill="FFFFFF"/>
        </w:rPr>
        <w:t xml:space="preserve"> during the caretaker period before a federal election. Incoming government briefs play an important role because ministers are considered to be immediately </w:t>
      </w:r>
      <w:r w:rsidRPr="006226A6">
        <w:rPr>
          <w:rFonts w:ascii="Source Sans Pro" w:hAnsi="Source Sans Pro"/>
          <w:color w:val="333333"/>
          <w:szCs w:val="22"/>
          <w:shd w:val="clear" w:color="auto" w:fill="FFFFFF"/>
        </w:rPr>
        <w:lastRenderedPageBreak/>
        <w:t xml:space="preserve">responsible for the portfolios they hold and therefore require comprehensive and frank briefs. </w:t>
      </w:r>
      <w:r w:rsidRPr="00E70826">
        <w:rPr>
          <w:rFonts w:ascii="Source Sans Pro" w:eastAsia="Times New Roman" w:hAnsi="Source Sans Pro"/>
          <w:color w:val="333333"/>
          <w:szCs w:val="22"/>
          <w:lang w:eastAsia="en-AU"/>
        </w:rPr>
        <w:t xml:space="preserve">Their purpose is to enable a smooth transition from one government to another following a general election. </w:t>
      </w:r>
    </w:p>
    <w:p w14:paraId="55FC2AB5" w14:textId="77777777" w:rsidR="00682719" w:rsidRPr="00E70826" w:rsidRDefault="00682719" w:rsidP="00991A9E">
      <w:pPr>
        <w:pStyle w:val="NumberedParagraphs"/>
        <w:ind w:left="567"/>
        <w:rPr>
          <w:szCs w:val="22"/>
        </w:rPr>
      </w:pPr>
      <w:r w:rsidRPr="00E70826">
        <w:rPr>
          <w:rFonts w:ascii="Source Sans Pro" w:eastAsia="Times New Roman" w:hAnsi="Source Sans Pro"/>
          <w:color w:val="333333"/>
          <w:szCs w:val="22"/>
          <w:lang w:eastAsia="en-AU"/>
        </w:rPr>
        <w:t xml:space="preserve">The incoming government brief </w:t>
      </w:r>
      <w:r>
        <w:rPr>
          <w:rFonts w:ascii="Source Sans Pro" w:eastAsia="Times New Roman" w:hAnsi="Source Sans Pro"/>
          <w:color w:val="333333"/>
          <w:szCs w:val="22"/>
          <w:lang w:eastAsia="en-AU"/>
        </w:rPr>
        <w:t xml:space="preserve">is prepared before the </w:t>
      </w:r>
      <w:r w:rsidRPr="00E70826">
        <w:rPr>
          <w:rFonts w:ascii="Source Sans Pro" w:eastAsia="Times New Roman" w:hAnsi="Source Sans Pro"/>
          <w:color w:val="333333"/>
          <w:szCs w:val="22"/>
          <w:lang w:eastAsia="en-AU"/>
        </w:rPr>
        <w:t xml:space="preserve">election outcome and the identity of the new Minister are known. </w:t>
      </w:r>
      <w:r>
        <w:rPr>
          <w:rFonts w:ascii="Source Sans Pro" w:eastAsia="Times New Roman" w:hAnsi="Source Sans Pro"/>
          <w:color w:val="333333"/>
          <w:szCs w:val="22"/>
          <w:lang w:eastAsia="en-AU"/>
        </w:rPr>
        <w:t xml:space="preserve">As a result, incoming government briefs differ </w:t>
      </w:r>
      <w:r w:rsidRPr="00E70826">
        <w:rPr>
          <w:rFonts w:ascii="Source Sans Pro" w:hAnsi="Source Sans Pro"/>
          <w:color w:val="333333"/>
          <w:szCs w:val="22"/>
          <w:shd w:val="clear" w:color="auto" w:fill="FFFFFF"/>
        </w:rPr>
        <w:t>from other advice that may be prepared at the Minister’s request or as part of the department’s normal support and advising function.</w:t>
      </w:r>
    </w:p>
    <w:p w14:paraId="6F7ADB66" w14:textId="4BD1A893" w:rsidR="00682719" w:rsidRPr="003958EE" w:rsidRDefault="00682719" w:rsidP="00991A9E">
      <w:pPr>
        <w:pStyle w:val="NumberedParagraphs"/>
        <w:ind w:left="567"/>
        <w:rPr>
          <w:szCs w:val="22"/>
        </w:rPr>
      </w:pPr>
      <w:r>
        <w:rPr>
          <w:rFonts w:ascii="Source Sans Pro" w:hAnsi="Source Sans Pro"/>
          <w:color w:val="333333"/>
          <w:shd w:val="clear" w:color="auto" w:fill="FFFFFF"/>
        </w:rPr>
        <w:t>In </w:t>
      </w:r>
      <w:r>
        <w:rPr>
          <w:rFonts w:ascii="Source Sans Pro" w:hAnsi="Source Sans Pro"/>
          <w:i/>
          <w:iCs/>
          <w:color w:val="333333"/>
          <w:shd w:val="clear" w:color="auto" w:fill="FFFFFF"/>
        </w:rPr>
        <w:t>Crowe and Department of the Treasury </w:t>
      </w:r>
      <w:hyperlink r:id="rId16" w:tooltip="View Case" w:history="1">
        <w:r>
          <w:rPr>
            <w:rStyle w:val="Hyperlink"/>
            <w:rFonts w:ascii="Source Sans Pro" w:hAnsi="Source Sans Pro"/>
            <w:color w:val="3796CC"/>
            <w:shd w:val="clear" w:color="auto" w:fill="FFFFFF"/>
          </w:rPr>
          <w:t>[2013] AICmr 69</w:t>
        </w:r>
      </w:hyperlink>
      <w:r>
        <w:rPr>
          <w:rFonts w:ascii="Source Sans Pro" w:hAnsi="Source Sans Pro"/>
          <w:color w:val="333333"/>
          <w:shd w:val="clear" w:color="auto" w:fill="FFFFFF"/>
        </w:rPr>
        <w:t xml:space="preserve">  former Australian </w:t>
      </w:r>
      <w:r w:rsidRPr="00991A9E">
        <w:t>Information</w:t>
      </w:r>
      <w:r>
        <w:rPr>
          <w:rFonts w:ascii="Source Sans Pro" w:hAnsi="Source Sans Pro"/>
          <w:color w:val="333333"/>
          <w:shd w:val="clear" w:color="auto" w:fill="FFFFFF"/>
        </w:rPr>
        <w:t xml:space="preserve"> Commissioner</w:t>
      </w:r>
      <w:r w:rsidR="004E481E">
        <w:rPr>
          <w:rFonts w:ascii="Source Sans Pro" w:hAnsi="Source Sans Pro"/>
          <w:color w:val="333333"/>
          <w:shd w:val="clear" w:color="auto" w:fill="FFFFFF"/>
        </w:rPr>
        <w:t xml:space="preserve"> Professor McMillan</w:t>
      </w:r>
      <w:r>
        <w:rPr>
          <w:rFonts w:ascii="Source Sans Pro" w:hAnsi="Source Sans Pro"/>
          <w:color w:val="333333"/>
          <w:shd w:val="clear" w:color="auto" w:fill="FFFFFF"/>
        </w:rPr>
        <w:t xml:space="preserve"> found the claim that all incoming government briefs should be exempt under s 47C would fail on the basis that s 47C is a conditional exemption and access must be given unless disclosure of the document ‘at the time would, on balance, be contrary to the public interest’.</w:t>
      </w:r>
      <w:bookmarkStart w:id="316" w:name="fnB6"/>
      <w:r>
        <w:rPr>
          <w:rStyle w:val="FootnoteReference"/>
          <w:rFonts w:ascii="Source Sans Pro" w:hAnsi="Source Sans Pro"/>
          <w:color w:val="333333"/>
          <w:shd w:val="clear" w:color="auto" w:fill="FFFFFF"/>
        </w:rPr>
        <w:footnoteReference w:id="213"/>
      </w:r>
      <w:bookmarkEnd w:id="316"/>
      <w:r>
        <w:rPr>
          <w:rFonts w:ascii="Source Sans Pro" w:hAnsi="Source Sans Pro"/>
          <w:color w:val="333333"/>
          <w:shd w:val="clear" w:color="auto" w:fill="FFFFFF"/>
        </w:rPr>
        <w:t xml:space="preserve"> Accordingly, each request for access to an incoming government brief must be considered separately and with consideration to the public interest factors </w:t>
      </w:r>
      <w:r w:rsidR="00C23F22">
        <w:rPr>
          <w:rFonts w:ascii="Source Sans Pro" w:hAnsi="Source Sans Pro"/>
          <w:color w:val="333333"/>
          <w:shd w:val="clear" w:color="auto" w:fill="FFFFFF"/>
        </w:rPr>
        <w:t xml:space="preserve">that apply </w:t>
      </w:r>
      <w:r>
        <w:rPr>
          <w:rFonts w:ascii="Source Sans Pro" w:hAnsi="Source Sans Pro"/>
          <w:color w:val="333333"/>
          <w:shd w:val="clear" w:color="auto" w:fill="FFFFFF"/>
        </w:rPr>
        <w:t>at the time of the decision.</w:t>
      </w:r>
    </w:p>
    <w:p w14:paraId="2A2B4E2F" w14:textId="61B73A2F" w:rsidR="005C5086" w:rsidRPr="005C5086" w:rsidRDefault="005C5086" w:rsidP="00991A9E">
      <w:pPr>
        <w:pStyle w:val="NumberedParagraphs"/>
        <w:ind w:left="567"/>
        <w:rPr>
          <w:szCs w:val="22"/>
        </w:rPr>
      </w:pPr>
      <w:r w:rsidRPr="00991A9E">
        <w:t>However</w:t>
      </w:r>
      <w:r w:rsidRPr="005C5086">
        <w:rPr>
          <w:rFonts w:ascii="Source Sans Pro" w:eastAsia="Times New Roman" w:hAnsi="Source Sans Pro"/>
          <w:color w:val="333333"/>
          <w:szCs w:val="22"/>
          <w:lang w:eastAsia="en-AU"/>
        </w:rPr>
        <w:t>, it will usually be contrary to the public interest under s 11A(5) to release deliberative matter</w:t>
      </w:r>
      <w:r>
        <w:rPr>
          <w:rFonts w:ascii="Source Sans Pro" w:eastAsia="Times New Roman" w:hAnsi="Source Sans Pro"/>
          <w:color w:val="333333"/>
          <w:szCs w:val="22"/>
          <w:lang w:eastAsia="en-AU"/>
        </w:rPr>
        <w:t xml:space="preserve"> in an incoming government brief</w:t>
      </w:r>
      <w:r w:rsidRPr="005C5086">
        <w:rPr>
          <w:rFonts w:ascii="Source Sans Pro" w:eastAsia="Times New Roman" w:hAnsi="Source Sans Pro"/>
          <w:color w:val="333333"/>
          <w:szCs w:val="22"/>
          <w:lang w:eastAsia="en-AU"/>
        </w:rPr>
        <w:t xml:space="preserve">, having regard in particular to the special purpose </w:t>
      </w:r>
      <w:r>
        <w:rPr>
          <w:rFonts w:ascii="Source Sans Pro" w:eastAsia="Times New Roman" w:hAnsi="Source Sans Pro"/>
          <w:color w:val="333333"/>
          <w:szCs w:val="22"/>
          <w:lang w:eastAsia="en-AU"/>
        </w:rPr>
        <w:t xml:space="preserve">of the </w:t>
      </w:r>
      <w:r w:rsidRPr="005C5086">
        <w:rPr>
          <w:rFonts w:ascii="Source Sans Pro" w:eastAsia="Times New Roman" w:hAnsi="Source Sans Pro"/>
          <w:color w:val="333333"/>
          <w:szCs w:val="22"/>
          <w:lang w:eastAsia="en-AU"/>
        </w:rPr>
        <w:t>brief to provide frank and helpful advice to a new Minister at a critical juncture in the system of responsible parliamentary government.</w:t>
      </w:r>
      <w:r>
        <w:rPr>
          <w:rStyle w:val="FootnoteReference"/>
          <w:rFonts w:ascii="Source Sans Pro" w:eastAsia="Times New Roman" w:hAnsi="Source Sans Pro"/>
          <w:color w:val="333333"/>
          <w:szCs w:val="22"/>
          <w:lang w:eastAsia="en-AU"/>
        </w:rPr>
        <w:footnoteReference w:id="214"/>
      </w:r>
    </w:p>
    <w:p w14:paraId="573FD99B" w14:textId="5F2E27EC" w:rsidR="00682719" w:rsidRPr="00F441FA" w:rsidRDefault="00682719" w:rsidP="00991A9E">
      <w:pPr>
        <w:pStyle w:val="NumberedParagraphs"/>
        <w:ind w:left="567"/>
        <w:rPr>
          <w:szCs w:val="22"/>
        </w:rPr>
      </w:pPr>
      <w:r w:rsidRPr="00991A9E">
        <w:t>Special</w:t>
      </w:r>
      <w:r w:rsidRPr="00E70826">
        <w:rPr>
          <w:rFonts w:ascii="Source Sans Pro" w:eastAsia="Times New Roman" w:hAnsi="Source Sans Pro"/>
          <w:color w:val="333333"/>
          <w:szCs w:val="22"/>
          <w:lang w:eastAsia="en-AU"/>
        </w:rPr>
        <w:t xml:space="preserve"> treatment is given to the brief prepared for a party that does not form government.</w:t>
      </w:r>
      <w:r>
        <w:rPr>
          <w:rStyle w:val="FootnoteReference"/>
          <w:rFonts w:ascii="Source Sans Pro" w:eastAsia="Times New Roman" w:hAnsi="Source Sans Pro"/>
          <w:color w:val="333333"/>
          <w:szCs w:val="22"/>
          <w:lang w:eastAsia="en-AU"/>
        </w:rPr>
        <w:footnoteReference w:id="215"/>
      </w:r>
      <w:r w:rsidRPr="00E70826">
        <w:rPr>
          <w:rFonts w:ascii="Source Sans Pro" w:eastAsia="Times New Roman" w:hAnsi="Source Sans Pro"/>
          <w:color w:val="333333"/>
          <w:szCs w:val="22"/>
          <w:lang w:eastAsia="en-AU"/>
        </w:rPr>
        <w:t xml:space="preserve"> Th</w:t>
      </w:r>
      <w:r w:rsidR="00C23F22">
        <w:rPr>
          <w:rFonts w:ascii="Source Sans Pro" w:eastAsia="Times New Roman" w:hAnsi="Source Sans Pro"/>
          <w:color w:val="333333"/>
          <w:szCs w:val="22"/>
          <w:lang w:eastAsia="en-AU"/>
        </w:rPr>
        <w:t>is</w:t>
      </w:r>
      <w:r w:rsidRPr="00E70826">
        <w:rPr>
          <w:rFonts w:ascii="Source Sans Pro" w:eastAsia="Times New Roman" w:hAnsi="Source Sans Pro"/>
          <w:color w:val="333333"/>
          <w:szCs w:val="22"/>
          <w:lang w:eastAsia="en-AU"/>
        </w:rPr>
        <w:t xml:space="preserve"> brief is n</w:t>
      </w:r>
      <w:r>
        <w:rPr>
          <w:rFonts w:ascii="Source Sans Pro" w:eastAsia="Times New Roman" w:hAnsi="Source Sans Pro"/>
          <w:color w:val="333333"/>
          <w:szCs w:val="22"/>
          <w:lang w:eastAsia="en-AU"/>
        </w:rPr>
        <w:t>ot</w:t>
      </w:r>
      <w:r w:rsidRPr="00E70826">
        <w:rPr>
          <w:rFonts w:ascii="Source Sans Pro" w:eastAsia="Times New Roman" w:hAnsi="Source Sans Pro"/>
          <w:color w:val="333333"/>
          <w:szCs w:val="22"/>
          <w:lang w:eastAsia="en-AU"/>
        </w:rPr>
        <w:t xml:space="preserve"> provided to th</w:t>
      </w:r>
      <w:r w:rsidR="00C23F22">
        <w:rPr>
          <w:rFonts w:ascii="Source Sans Pro" w:eastAsia="Times New Roman" w:hAnsi="Source Sans Pro"/>
          <w:color w:val="333333"/>
          <w:szCs w:val="22"/>
          <w:lang w:eastAsia="en-AU"/>
        </w:rPr>
        <w:t>e</w:t>
      </w:r>
      <w:r w:rsidRPr="00E70826">
        <w:rPr>
          <w:rFonts w:ascii="Source Sans Pro" w:eastAsia="Times New Roman" w:hAnsi="Source Sans Pro"/>
          <w:color w:val="333333"/>
          <w:szCs w:val="22"/>
          <w:lang w:eastAsia="en-AU"/>
        </w:rPr>
        <w:t xml:space="preserve"> part</w:t>
      </w:r>
      <w:r>
        <w:rPr>
          <w:rFonts w:ascii="Source Sans Pro" w:eastAsia="Times New Roman" w:hAnsi="Source Sans Pro"/>
          <w:color w:val="333333"/>
          <w:szCs w:val="22"/>
          <w:lang w:eastAsia="en-AU"/>
        </w:rPr>
        <w:t xml:space="preserve">y, which </w:t>
      </w:r>
      <w:r w:rsidRPr="00E70826">
        <w:rPr>
          <w:rFonts w:ascii="Source Sans Pro" w:eastAsia="Times New Roman" w:hAnsi="Source Sans Pro"/>
          <w:color w:val="333333"/>
          <w:szCs w:val="22"/>
          <w:lang w:eastAsia="en-AU"/>
        </w:rPr>
        <w:t xml:space="preserve">does </w:t>
      </w:r>
      <w:r w:rsidR="00C23F22">
        <w:rPr>
          <w:rFonts w:ascii="Source Sans Pro" w:eastAsia="Times New Roman" w:hAnsi="Source Sans Pro"/>
          <w:color w:val="333333"/>
          <w:szCs w:val="22"/>
          <w:lang w:eastAsia="en-AU"/>
        </w:rPr>
        <w:t xml:space="preserve">not </w:t>
      </w:r>
      <w:r w:rsidRPr="00E70826">
        <w:rPr>
          <w:rFonts w:ascii="Source Sans Pro" w:eastAsia="Times New Roman" w:hAnsi="Source Sans Pro"/>
          <w:color w:val="333333"/>
          <w:szCs w:val="22"/>
          <w:lang w:eastAsia="en-AU"/>
        </w:rPr>
        <w:t xml:space="preserve">have the opportunity to consider and respond to it. </w:t>
      </w:r>
      <w:r>
        <w:rPr>
          <w:rFonts w:ascii="Source Sans Pro" w:eastAsia="Times New Roman" w:hAnsi="Source Sans Pro"/>
          <w:color w:val="333333"/>
          <w:szCs w:val="22"/>
          <w:lang w:eastAsia="en-AU"/>
        </w:rPr>
        <w:t xml:space="preserve">Relevant </w:t>
      </w:r>
      <w:r w:rsidR="00C23F22">
        <w:rPr>
          <w:rFonts w:ascii="Source Sans Pro" w:eastAsia="Times New Roman" w:hAnsi="Source Sans Pro"/>
          <w:color w:val="333333"/>
          <w:szCs w:val="22"/>
          <w:lang w:eastAsia="en-AU"/>
        </w:rPr>
        <w:t>public interest cons</w:t>
      </w:r>
      <w:r>
        <w:rPr>
          <w:rFonts w:ascii="Source Sans Pro" w:eastAsia="Times New Roman" w:hAnsi="Source Sans Pro"/>
          <w:color w:val="333333"/>
          <w:szCs w:val="22"/>
          <w:lang w:eastAsia="en-AU"/>
        </w:rPr>
        <w:t xml:space="preserve">iderations </w:t>
      </w:r>
      <w:r w:rsidR="00C75C12">
        <w:rPr>
          <w:rFonts w:ascii="Source Sans Pro" w:eastAsia="Times New Roman" w:hAnsi="Source Sans Pro"/>
          <w:color w:val="333333"/>
          <w:szCs w:val="22"/>
          <w:lang w:eastAsia="en-AU"/>
        </w:rPr>
        <w:t xml:space="preserve">may </w:t>
      </w:r>
      <w:r>
        <w:rPr>
          <w:rFonts w:ascii="Source Sans Pro" w:eastAsia="Times New Roman" w:hAnsi="Source Sans Pro"/>
          <w:color w:val="333333"/>
          <w:szCs w:val="22"/>
          <w:lang w:eastAsia="en-AU"/>
        </w:rPr>
        <w:t>include:</w:t>
      </w:r>
    </w:p>
    <w:p w14:paraId="478BEB65" w14:textId="3B01DF96" w:rsidR="00682719" w:rsidRPr="004864AA" w:rsidRDefault="00682719" w:rsidP="004864AA">
      <w:pPr>
        <w:pStyle w:val="ListParagraph"/>
        <w:numPr>
          <w:ilvl w:val="0"/>
          <w:numId w:val="70"/>
        </w:numPr>
        <w:shd w:val="clear" w:color="auto" w:fill="FFFFFF"/>
        <w:ind w:left="993" w:hanging="426"/>
        <w:rPr>
          <w:rFonts w:ascii="Source Sans Pro" w:eastAsia="Times New Roman" w:hAnsi="Source Sans Pro"/>
          <w:color w:val="333333"/>
          <w:szCs w:val="22"/>
          <w:lang w:eastAsia="en-AU"/>
        </w:rPr>
      </w:pPr>
      <w:r w:rsidRPr="00F441FA">
        <w:rPr>
          <w:rFonts w:ascii="Source Sans Pro" w:eastAsia="Times New Roman" w:hAnsi="Source Sans Pro"/>
          <w:color w:val="333333"/>
          <w:szCs w:val="22"/>
          <w:lang w:eastAsia="en-AU"/>
        </w:rPr>
        <w:t>The confidentiality of discussions and briefing</w:t>
      </w:r>
      <w:r w:rsidR="00C75C12">
        <w:rPr>
          <w:rFonts w:ascii="Source Sans Pro" w:eastAsia="Times New Roman" w:hAnsi="Source Sans Pro"/>
          <w:color w:val="333333"/>
          <w:szCs w:val="22"/>
          <w:lang w:eastAsia="en-AU"/>
        </w:rPr>
        <w:t>s</w:t>
      </w:r>
      <w:r w:rsidRPr="00F441FA">
        <w:rPr>
          <w:rFonts w:ascii="Source Sans Pro" w:eastAsia="Times New Roman" w:hAnsi="Source Sans Pro"/>
          <w:color w:val="333333"/>
          <w:szCs w:val="22"/>
          <w:lang w:eastAsia="en-AU"/>
        </w:rPr>
        <w:t xml:space="preserve"> provided to the new Minister are essential at that early stage in developing a relationship that accords with the conventions of responsible parliamentary government.</w:t>
      </w:r>
      <w:r>
        <w:rPr>
          <w:rFonts w:ascii="Source Sans Pro" w:eastAsia="Times New Roman" w:hAnsi="Source Sans Pro"/>
          <w:color w:val="333333"/>
          <w:szCs w:val="22"/>
          <w:lang w:eastAsia="en-AU"/>
        </w:rPr>
        <w:t xml:space="preserve"> </w:t>
      </w:r>
      <w:r>
        <w:rPr>
          <w:rFonts w:ascii="Source Sans Pro" w:hAnsi="Source Sans Pro"/>
          <w:color w:val="333333"/>
          <w:shd w:val="clear" w:color="auto" w:fill="FFFFFF"/>
        </w:rPr>
        <w:t>Public release of any portion of the brief would compromise the department’s role in managing the transition from one government to another.</w:t>
      </w:r>
    </w:p>
    <w:p w14:paraId="647BBD93" w14:textId="77777777" w:rsidR="004864AA" w:rsidRPr="003958EE" w:rsidRDefault="004864AA" w:rsidP="004864AA">
      <w:pPr>
        <w:pStyle w:val="ListParagraph"/>
        <w:shd w:val="clear" w:color="auto" w:fill="FFFFFF"/>
        <w:ind w:left="993"/>
        <w:rPr>
          <w:rFonts w:ascii="Source Sans Pro" w:eastAsia="Times New Roman" w:hAnsi="Source Sans Pro"/>
          <w:color w:val="333333"/>
          <w:szCs w:val="22"/>
          <w:lang w:eastAsia="en-AU"/>
        </w:rPr>
      </w:pPr>
    </w:p>
    <w:p w14:paraId="6B6A126D" w14:textId="4488678E" w:rsidR="00682719" w:rsidRPr="00F441FA" w:rsidRDefault="00682719" w:rsidP="004864AA">
      <w:pPr>
        <w:pStyle w:val="ListParagraph"/>
        <w:numPr>
          <w:ilvl w:val="0"/>
          <w:numId w:val="70"/>
        </w:numPr>
        <w:shd w:val="clear" w:color="auto" w:fill="FFFFFF"/>
        <w:spacing w:before="120"/>
        <w:ind w:left="993" w:hanging="426"/>
        <w:rPr>
          <w:rFonts w:ascii="Source Sans Pro" w:eastAsia="Times New Roman" w:hAnsi="Source Sans Pro"/>
          <w:color w:val="333333"/>
          <w:szCs w:val="22"/>
          <w:lang w:eastAsia="en-AU"/>
        </w:rPr>
      </w:pPr>
      <w:r>
        <w:rPr>
          <w:rFonts w:ascii="Source Sans Pro" w:hAnsi="Source Sans Pro"/>
          <w:color w:val="333333"/>
          <w:shd w:val="clear" w:color="auto" w:fill="FFFFFF"/>
        </w:rPr>
        <w:t xml:space="preserve">It is important, in the early days of a new government, that the public service is not drawn into political </w:t>
      </w:r>
      <w:proofErr w:type="gramStart"/>
      <w:r>
        <w:rPr>
          <w:rFonts w:ascii="Source Sans Pro" w:hAnsi="Source Sans Pro"/>
          <w:color w:val="333333"/>
          <w:shd w:val="clear" w:color="auto" w:fill="FFFFFF"/>
        </w:rPr>
        <w:t>controversy, or</w:t>
      </w:r>
      <w:proofErr w:type="gramEnd"/>
      <w:r>
        <w:rPr>
          <w:rFonts w:ascii="Source Sans Pro" w:hAnsi="Source Sans Pro"/>
          <w:color w:val="333333"/>
          <w:shd w:val="clear" w:color="auto" w:fill="FFFFFF"/>
        </w:rPr>
        <w:t xml:space="preserve"> </w:t>
      </w:r>
      <w:r w:rsidR="00733362">
        <w:rPr>
          <w:rFonts w:ascii="Source Sans Pro" w:hAnsi="Source Sans Pro"/>
          <w:color w:val="333333"/>
          <w:shd w:val="clear" w:color="auto" w:fill="FFFFFF"/>
        </w:rPr>
        <w:t xml:space="preserve">is </w:t>
      </w:r>
      <w:r>
        <w:rPr>
          <w:rFonts w:ascii="Source Sans Pro" w:hAnsi="Source Sans Pro"/>
          <w:color w:val="333333"/>
          <w:shd w:val="clear" w:color="auto" w:fill="FFFFFF"/>
        </w:rPr>
        <w:t>required publicly to defend the advice provided to a new government.</w:t>
      </w:r>
      <w:r w:rsidR="00533AEF">
        <w:rPr>
          <w:rStyle w:val="FootnoteReference"/>
          <w:rFonts w:ascii="Source Sans Pro" w:hAnsi="Source Sans Pro"/>
          <w:color w:val="333333"/>
          <w:shd w:val="clear" w:color="auto" w:fill="FFFFFF"/>
        </w:rPr>
        <w:footnoteReference w:id="216"/>
      </w:r>
    </w:p>
    <w:p w14:paraId="5F51DF6C" w14:textId="77777777" w:rsidR="00682719" w:rsidRPr="00F441FA" w:rsidRDefault="00682719" w:rsidP="004864AA">
      <w:pPr>
        <w:numPr>
          <w:ilvl w:val="0"/>
          <w:numId w:val="70"/>
        </w:numPr>
        <w:shd w:val="clear" w:color="auto" w:fill="FFFFFF"/>
        <w:ind w:left="993" w:hanging="426"/>
        <w:rPr>
          <w:rFonts w:ascii="Source Sans Pro" w:eastAsia="Times New Roman" w:hAnsi="Source Sans Pro"/>
          <w:color w:val="333333"/>
          <w:szCs w:val="22"/>
          <w:lang w:eastAsia="en-AU"/>
        </w:rPr>
      </w:pPr>
      <w:r w:rsidRPr="00F441FA">
        <w:rPr>
          <w:rFonts w:ascii="Source Sans Pro" w:eastAsia="Times New Roman" w:hAnsi="Source Sans Pro"/>
          <w:color w:val="333333"/>
          <w:szCs w:val="22"/>
          <w:lang w:eastAsia="en-AU"/>
        </w:rPr>
        <w:t xml:space="preserve">It is unfair to the party that did not form government to make public the assessment of its policies by a </w:t>
      </w:r>
      <w:proofErr w:type="gramStart"/>
      <w:r w:rsidRPr="00F441FA">
        <w:rPr>
          <w:rFonts w:ascii="Source Sans Pro" w:eastAsia="Times New Roman" w:hAnsi="Source Sans Pro"/>
          <w:color w:val="333333"/>
          <w:szCs w:val="22"/>
          <w:lang w:eastAsia="en-AU"/>
        </w:rPr>
        <w:t>department, when</w:t>
      </w:r>
      <w:proofErr w:type="gramEnd"/>
      <w:r w:rsidRPr="00F441FA">
        <w:rPr>
          <w:rFonts w:ascii="Source Sans Pro" w:eastAsia="Times New Roman" w:hAnsi="Source Sans Pro"/>
          <w:color w:val="333333"/>
          <w:szCs w:val="22"/>
          <w:lang w:eastAsia="en-AU"/>
        </w:rPr>
        <w:t xml:space="preserve"> the party has not had an opportunity to adjust or implement those policies.</w:t>
      </w:r>
    </w:p>
    <w:p w14:paraId="62F52DF0" w14:textId="77777777" w:rsidR="00682719" w:rsidRPr="00F441FA" w:rsidRDefault="00682719" w:rsidP="00991A9E">
      <w:pPr>
        <w:pStyle w:val="NumberedParagraphs"/>
        <w:ind w:left="567"/>
        <w:rPr>
          <w:rFonts w:ascii="Source Sans Pro" w:eastAsia="Times New Roman" w:hAnsi="Source Sans Pro"/>
          <w:color w:val="333333"/>
          <w:szCs w:val="22"/>
          <w:lang w:eastAsia="en-AU"/>
        </w:rPr>
      </w:pPr>
      <w:r w:rsidRPr="00F441FA">
        <w:rPr>
          <w:rFonts w:ascii="Source Sans Pro" w:eastAsia="Times New Roman" w:hAnsi="Source Sans Pro"/>
          <w:color w:val="333333"/>
          <w:szCs w:val="22"/>
          <w:lang w:eastAsia="en-AU"/>
        </w:rPr>
        <w:t xml:space="preserve">It is a convention of Cabinet government that the Cabinet papers of one government are </w:t>
      </w:r>
      <w:r w:rsidRPr="00991A9E">
        <w:t>not</w:t>
      </w:r>
      <w:r w:rsidRPr="00F441FA">
        <w:rPr>
          <w:rFonts w:ascii="Source Sans Pro" w:eastAsia="Times New Roman" w:hAnsi="Source Sans Pro"/>
          <w:color w:val="333333"/>
          <w:szCs w:val="22"/>
          <w:lang w:eastAsia="en-AU"/>
        </w:rPr>
        <w:t xml:space="preserve"> available to the Ministers of another. By extension, the </w:t>
      </w:r>
      <w:proofErr w:type="gramStart"/>
      <w:r w:rsidRPr="00F441FA">
        <w:rPr>
          <w:rFonts w:ascii="Source Sans Pro" w:eastAsia="Times New Roman" w:hAnsi="Source Sans Pro"/>
          <w:color w:val="333333"/>
          <w:szCs w:val="22"/>
          <w:lang w:eastAsia="en-AU"/>
        </w:rPr>
        <w:t>high level</w:t>
      </w:r>
      <w:proofErr w:type="gramEnd"/>
      <w:r w:rsidRPr="00F441FA">
        <w:rPr>
          <w:rFonts w:ascii="Source Sans Pro" w:eastAsia="Times New Roman" w:hAnsi="Source Sans Pro"/>
          <w:color w:val="333333"/>
          <w:szCs w:val="22"/>
          <w:lang w:eastAsia="en-AU"/>
        </w:rPr>
        <w:t xml:space="preserve"> advice that was prepared for a party in the expectation that it may (but did not) form government should not be released publicly under the FOI Act.</w:t>
      </w:r>
      <w:r>
        <w:rPr>
          <w:rStyle w:val="FootnoteReference"/>
          <w:rFonts w:ascii="Source Sans Pro" w:eastAsia="Times New Roman" w:hAnsi="Source Sans Pro"/>
          <w:color w:val="333333"/>
          <w:szCs w:val="22"/>
          <w:lang w:eastAsia="en-AU"/>
        </w:rPr>
        <w:footnoteReference w:id="217"/>
      </w:r>
    </w:p>
    <w:p w14:paraId="6646ECE7" w14:textId="0BD573DA" w:rsidR="00A007D0" w:rsidRDefault="00733362" w:rsidP="00991A9E">
      <w:pPr>
        <w:pStyle w:val="NumberedParagraphs"/>
        <w:ind w:left="567"/>
      </w:pPr>
      <w:r>
        <w:t xml:space="preserve">However, </w:t>
      </w:r>
      <w:r w:rsidR="005C5086">
        <w:t xml:space="preserve">the </w:t>
      </w:r>
      <w:r>
        <w:t>former Information Commissioner</w:t>
      </w:r>
      <w:r w:rsidR="005C5086">
        <w:t>,</w:t>
      </w:r>
      <w:r>
        <w:t xml:space="preserve"> Timothy Pilgr</w:t>
      </w:r>
      <w:r w:rsidR="009B3A60">
        <w:t>i</w:t>
      </w:r>
      <w:r>
        <w:t>m</w:t>
      </w:r>
      <w:r w:rsidR="005C5086">
        <w:t>,</w:t>
      </w:r>
      <w:r>
        <w:t xml:space="preserve"> found that </w:t>
      </w:r>
      <w:r w:rsidR="00A007D0">
        <w:t>the same considerations also appl</w:t>
      </w:r>
      <w:r w:rsidR="005C5086">
        <w:t>ied</w:t>
      </w:r>
      <w:r w:rsidR="00A007D0">
        <w:t xml:space="preserve"> to incoming government briefs prepared for the party that forms government, and may also apply whe</w:t>
      </w:r>
      <w:r w:rsidR="005C5086">
        <w:t>re</w:t>
      </w:r>
      <w:r w:rsidR="00A007D0">
        <w:t xml:space="preserve"> the previous government is re-elected.</w:t>
      </w:r>
      <w:r w:rsidR="005C5086">
        <w:t xml:space="preserve"> In so finding, </w:t>
      </w:r>
      <w:r w:rsidR="005C5086">
        <w:lastRenderedPageBreak/>
        <w:t xml:space="preserve">Commissioner </w:t>
      </w:r>
      <w:r w:rsidR="009B3A60">
        <w:t>Pilgrim</w:t>
      </w:r>
      <w:r w:rsidR="005C5086">
        <w:t xml:space="preserve"> said that </w:t>
      </w:r>
      <w:r w:rsidR="005C5086">
        <w:rPr>
          <w:rFonts w:ascii="Source Sans Pro" w:hAnsi="Source Sans Pro"/>
          <w:color w:val="333333"/>
          <w:shd w:val="clear" w:color="auto" w:fill="FFFFFF"/>
        </w:rPr>
        <w:t xml:space="preserve">consideration of the damage that is likely to arise from disclosure of the incoming government brief should not be limited to damage relating to the relationship between current agencies and ministers in the present </w:t>
      </w:r>
      <w:proofErr w:type="gramStart"/>
      <w:r w:rsidR="005C5086">
        <w:rPr>
          <w:rFonts w:ascii="Source Sans Pro" w:hAnsi="Source Sans Pro"/>
          <w:color w:val="333333"/>
          <w:shd w:val="clear" w:color="auto" w:fill="FFFFFF"/>
        </w:rPr>
        <w:t>government, but</w:t>
      </w:r>
      <w:proofErr w:type="gramEnd"/>
      <w:r w:rsidR="005C5086">
        <w:rPr>
          <w:rFonts w:ascii="Source Sans Pro" w:hAnsi="Source Sans Pro"/>
          <w:color w:val="333333"/>
          <w:shd w:val="clear" w:color="auto" w:fill="FFFFFF"/>
        </w:rPr>
        <w:t xml:space="preserve"> should also include the likelihood of damage to relationships between agencies and their respective ministers in the future.</w:t>
      </w:r>
      <w:r w:rsidR="005C5086">
        <w:rPr>
          <w:rStyle w:val="FootnoteReference"/>
        </w:rPr>
        <w:footnoteReference w:id="218"/>
      </w:r>
    </w:p>
    <w:p w14:paraId="06BF6F6E" w14:textId="77777777" w:rsidR="00F4121A" w:rsidRDefault="00F4121A" w:rsidP="00490C5A"/>
    <w:sectPr w:rsidR="00F4121A" w:rsidSect="00A14F4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418" w:bottom="992" w:left="1418" w:header="556" w:footer="9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9E60" w14:textId="77777777" w:rsidR="00E71CFD" w:rsidRDefault="00E71CFD" w:rsidP="00207961">
      <w:pPr>
        <w:spacing w:after="0"/>
      </w:pPr>
      <w:r>
        <w:separator/>
      </w:r>
    </w:p>
    <w:p w14:paraId="1AD5AFAE" w14:textId="77777777" w:rsidR="00E71CFD" w:rsidRDefault="00E71CFD"/>
  </w:endnote>
  <w:endnote w:type="continuationSeparator" w:id="0">
    <w:p w14:paraId="1FD0F8A5" w14:textId="77777777" w:rsidR="00E71CFD" w:rsidRDefault="00E71CFD" w:rsidP="00207961">
      <w:pPr>
        <w:spacing w:after="0"/>
      </w:pPr>
      <w:r>
        <w:continuationSeparator/>
      </w:r>
    </w:p>
    <w:p w14:paraId="2EDF9441" w14:textId="77777777" w:rsidR="00E71CFD" w:rsidRDefault="00E71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Arial"/>
    <w:charset w:val="00"/>
    <w:family w:val="swiss"/>
    <w:pitch w:val="variable"/>
    <w:sig w:usb0="20000287" w:usb1="00000001" w:usb2="00000000" w:usb3="00000000" w:csb0="0000019F" w:csb1="00000000"/>
  </w:font>
  <w:font w:name="Monaco">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070"/>
    </w:tblGrid>
    <w:tr w:rsidR="00F85EF4" w14:paraId="5098BB51" w14:textId="77777777" w:rsidTr="00156E08">
      <w:trPr>
        <w:tblHeader/>
      </w:trPr>
      <w:tc>
        <w:tcPr>
          <w:tcW w:w="9570" w:type="dxa"/>
        </w:tcPr>
        <w:p w14:paraId="64C765C9" w14:textId="77777777" w:rsidR="00F85EF4" w:rsidRPr="00093B03" w:rsidRDefault="00F85EF4">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E56F077" w14:textId="77777777" w:rsidR="00F85EF4" w:rsidRDefault="00F85EF4" w:rsidP="00093B03">
    <w:pPr>
      <w:pStyle w:val="Footer"/>
    </w:pPr>
    <w:r>
      <w:rPr>
        <w:noProof/>
        <w:lang w:eastAsia="en-AU"/>
      </w:rPr>
      <w:drawing>
        <wp:anchor distT="0" distB="0" distL="114300" distR="114300" simplePos="0" relativeHeight="251661312" behindDoc="1" locked="1" layoutInCell="0" allowOverlap="1" wp14:anchorId="68F88CA1" wp14:editId="2237DC66">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DB6A" w14:textId="77777777" w:rsidR="00F85EF4" w:rsidRDefault="00F85EF4" w:rsidP="00EB4F37">
    <w:pPr>
      <w:pStyle w:val="Footer"/>
      <w:rPr>
        <w:sz w:val="16"/>
        <w:szCs w:val="16"/>
      </w:rPr>
    </w:pPr>
  </w:p>
  <w:p w14:paraId="2B328449" w14:textId="4CF6EE77" w:rsidR="00F85EF4" w:rsidRPr="00EB4F37" w:rsidRDefault="00F85EF4" w:rsidP="00EB4F37">
    <w:pPr>
      <w:pStyle w:val="Footer"/>
      <w:tabs>
        <w:tab w:val="right" w:pos="9070"/>
      </w:tabs>
      <w:jc w:val="left"/>
      <w:rPr>
        <w:rStyle w:val="Strong"/>
        <w:rFonts w:ascii="Source Sans Pro SemiBold" w:hAnsi="Source Sans Pro SemiBold"/>
        <w:b w:val="0"/>
        <w:bCs w:val="0"/>
      </w:rPr>
    </w:pPr>
    <w:r>
      <w:rPr>
        <w:sz w:val="16"/>
        <w:szCs w:val="16"/>
      </w:rPr>
      <w:t>Office of the Australian Information Commissioner — FOI Guidelines</w:t>
    </w:r>
    <w:r>
      <w:rPr>
        <w:rFonts w:ascii="Source Sans Pro SemiBold" w:hAnsi="Source Sans Pro SemiBold"/>
        <w:sz w:val="16"/>
        <w:szCs w:val="16"/>
      </w:rPr>
      <w:t xml:space="preserve"> </w:t>
    </w:r>
    <w:r>
      <w:rPr>
        <w:rFonts w:ascii="Source Sans Pro SemiBold" w:hAnsi="Source Sans Pro SemiBold"/>
        <w:sz w:val="16"/>
        <w:szCs w:val="16"/>
      </w:rPr>
      <w:tab/>
      <w:t xml:space="preserve">Page </w:t>
    </w:r>
    <w:r>
      <w:rPr>
        <w:rFonts w:ascii="Source Sans Pro SemiBold" w:hAnsi="Source Sans Pro SemiBold"/>
        <w:sz w:val="16"/>
        <w:szCs w:val="16"/>
      </w:rPr>
      <w:fldChar w:fldCharType="begin"/>
    </w:r>
    <w:r>
      <w:rPr>
        <w:rFonts w:ascii="Source Sans Pro SemiBold" w:hAnsi="Source Sans Pro SemiBold"/>
        <w:sz w:val="16"/>
        <w:szCs w:val="16"/>
      </w:rPr>
      <w:instrText xml:space="preserve"> PAGE   \* MERGEFORMAT </w:instrText>
    </w:r>
    <w:r>
      <w:rPr>
        <w:rFonts w:ascii="Source Sans Pro SemiBold" w:hAnsi="Source Sans Pro SemiBold"/>
        <w:sz w:val="16"/>
        <w:szCs w:val="16"/>
      </w:rPr>
      <w:fldChar w:fldCharType="separate"/>
    </w:r>
    <w:r>
      <w:rPr>
        <w:rFonts w:ascii="Source Sans Pro SemiBold" w:hAnsi="Source Sans Pro SemiBold"/>
        <w:sz w:val="16"/>
        <w:szCs w:val="16"/>
      </w:rPr>
      <w:t>10</w:t>
    </w:r>
    <w:r>
      <w:rPr>
        <w:rFonts w:ascii="Source Sans Pro SemiBold" w:hAnsi="Source Sans Pro SemiBol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45FD" w14:textId="3E814385" w:rsidR="00F85EF4" w:rsidRDefault="00F85EF4">
    <w:pPr>
      <w:pStyle w:val="Footer"/>
    </w:pPr>
    <w:r w:rsidRPr="00C579AF">
      <w:rPr>
        <w:noProof/>
      </w:rPr>
      <w:drawing>
        <wp:anchor distT="0" distB="0" distL="114300" distR="114300" simplePos="0" relativeHeight="251666432" behindDoc="0" locked="0" layoutInCell="1" allowOverlap="1" wp14:anchorId="5D2B91E0" wp14:editId="37E99BC3">
          <wp:simplePos x="0" y="0"/>
          <wp:positionH relativeFrom="column">
            <wp:posOffset>5760085</wp:posOffset>
          </wp:positionH>
          <wp:positionV relativeFrom="paragraph">
            <wp:posOffset>22860</wp:posOffset>
          </wp:positionV>
          <wp:extent cx="393065" cy="119380"/>
          <wp:effectExtent l="0" t="0" r="0" b="0"/>
          <wp:wrapNone/>
          <wp:docPr id="6" name="Picture 6">
            <a:extLst xmlns:a="http://schemas.openxmlformats.org/drawingml/2006/main">
              <a:ext uri="{FF2B5EF4-FFF2-40B4-BE49-F238E27FC236}">
                <a16:creationId xmlns:a16="http://schemas.microsoft.com/office/drawing/2014/main" id="{712CA3A5-7006-4389-895D-9282C2A1C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a:extLst>
                      <a:ext uri="{FF2B5EF4-FFF2-40B4-BE49-F238E27FC236}">
                        <a16:creationId xmlns:a16="http://schemas.microsoft.com/office/drawing/2014/main" id="{712CA3A5-7006-4389-895D-9282C2A1C0B2}"/>
                      </a:ext>
                    </a:extLst>
                  </pic:cNvPr>
                  <pic:cNvPicPr>
                    <a:picLocks noChangeAspect="1"/>
                  </pic:cNvPicPr>
                </pic:nvPicPr>
                <pic:blipFill>
                  <a:blip r:embed="rId1"/>
                  <a:stretch>
                    <a:fillRect/>
                  </a:stretch>
                </pic:blipFill>
                <pic:spPr>
                  <a:xfrm>
                    <a:off x="0" y="0"/>
                    <a:ext cx="393065" cy="119380"/>
                  </a:xfrm>
                  <a:prstGeom prst="rect">
                    <a:avLst/>
                  </a:prstGeom>
                </pic:spPr>
              </pic:pic>
            </a:graphicData>
          </a:graphic>
        </wp:anchor>
      </w:drawing>
    </w:r>
    <w:r w:rsidRPr="00C579AF">
      <w:rPr>
        <w:noProof/>
      </w:rPr>
      <mc:AlternateContent>
        <mc:Choice Requires="wps">
          <w:drawing>
            <wp:anchor distT="0" distB="0" distL="114300" distR="114300" simplePos="0" relativeHeight="251665408" behindDoc="0" locked="0" layoutInCell="1" allowOverlap="1" wp14:anchorId="7E92F0E2" wp14:editId="459E2FAC">
              <wp:simplePos x="0" y="0"/>
              <wp:positionH relativeFrom="column">
                <wp:posOffset>5538470</wp:posOffset>
              </wp:positionH>
              <wp:positionV relativeFrom="paragraph">
                <wp:posOffset>-334010</wp:posOffset>
              </wp:positionV>
              <wp:extent cx="828040" cy="82740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40"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04935" id="Rectangle 2" o:spid="_x0000_s1026" style="position:absolute;margin-left:436.1pt;margin-top:-26.3pt;width:65.2pt;height:65.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" fillcolor="#002a3a [3215]" stroked="f" strokeweight="2pt">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84B2" w14:textId="77777777" w:rsidR="00E71CFD" w:rsidRDefault="00E71CFD" w:rsidP="004F05EC">
      <w:pPr>
        <w:spacing w:before="60" w:after="60"/>
      </w:pPr>
      <w:r>
        <w:separator/>
      </w:r>
    </w:p>
  </w:footnote>
  <w:footnote w:type="continuationSeparator" w:id="0">
    <w:p w14:paraId="2E750FD1" w14:textId="77777777" w:rsidR="00E71CFD" w:rsidRDefault="00E71CFD" w:rsidP="00207961">
      <w:pPr>
        <w:spacing w:after="0"/>
      </w:pPr>
      <w:r>
        <w:continuationSeparator/>
      </w:r>
    </w:p>
    <w:p w14:paraId="5BEC84FD" w14:textId="77777777" w:rsidR="00E71CFD" w:rsidRDefault="00E71CFD"/>
  </w:footnote>
  <w:footnote w:id="1">
    <w:p w14:paraId="7DB2F26B" w14:textId="4A0EEB5F" w:rsidR="00125D01" w:rsidRDefault="00125D01" w:rsidP="0036068C">
      <w:pPr>
        <w:pStyle w:val="FootnoteText"/>
        <w:ind w:left="284" w:hanging="284"/>
      </w:pPr>
      <w:r>
        <w:rPr>
          <w:rStyle w:val="FootnoteReference"/>
        </w:rPr>
        <w:footnoteRef/>
      </w:r>
      <w:r>
        <w:t xml:space="preserve"> </w:t>
      </w:r>
      <w:r>
        <w:tab/>
        <w:t xml:space="preserve">If the harm threshold is not met, the document is not conditionally exempt. Unless another exemption applies, access to the document must be given (s 11A(5) of the FOI Act). </w:t>
      </w:r>
    </w:p>
  </w:footnote>
  <w:footnote w:id="2">
    <w:p w14:paraId="615BA3BE" w14:textId="1E21DBF4" w:rsidR="005D0C4D" w:rsidRPr="00681741" w:rsidRDefault="005D0C4D" w:rsidP="005D0C4D">
      <w:pPr>
        <w:pStyle w:val="FootnoteText"/>
        <w:tabs>
          <w:tab w:val="left" w:pos="284"/>
        </w:tabs>
        <w:rPr>
          <w:rStyle w:val="FootnoteReference"/>
          <w:vertAlign w:val="baseline"/>
        </w:rPr>
      </w:pPr>
      <w:r>
        <w:rPr>
          <w:rStyle w:val="FootnoteReference"/>
        </w:rPr>
        <w:footnoteRef/>
      </w:r>
      <w:r w:rsidRPr="00C34A0A">
        <w:rPr>
          <w:rStyle w:val="FootnoteReference"/>
        </w:rPr>
        <w:t xml:space="preserve"> </w:t>
      </w:r>
      <w:r w:rsidRPr="00C34A0A">
        <w:rPr>
          <w:rStyle w:val="FootnoteReference"/>
        </w:rPr>
        <w:tab/>
      </w:r>
      <w:r w:rsidRPr="00C34A0A">
        <w:rPr>
          <w:rStyle w:val="FootnoteReference"/>
          <w:vertAlign w:val="baseline"/>
        </w:rPr>
        <w:t>See [</w:t>
      </w:r>
      <w:r w:rsidRPr="0020561F">
        <w:rPr>
          <w:rStyle w:val="FootnoteReference"/>
          <w:vertAlign w:val="baseline"/>
        </w:rPr>
        <w:fldChar w:fldCharType="begin"/>
      </w:r>
      <w:r w:rsidRPr="0020561F">
        <w:rPr>
          <w:rStyle w:val="FootnoteReference"/>
          <w:vertAlign w:val="baseline"/>
        </w:rPr>
        <w:instrText xml:space="preserve"> REF _Ref459110587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6.22</w:t>
      </w:r>
      <w:r w:rsidRPr="0020561F">
        <w:rPr>
          <w:rStyle w:val="FootnoteReference"/>
          <w:vertAlign w:val="baseline"/>
        </w:rPr>
        <w:fldChar w:fldCharType="end"/>
      </w:r>
      <w:r w:rsidRPr="0020561F">
        <w:rPr>
          <w:rStyle w:val="FootnoteReference"/>
          <w:vertAlign w:val="baseline"/>
        </w:rPr>
        <w:t>] – [</w:t>
      </w:r>
      <w:r w:rsidR="00E01ED0" w:rsidRPr="0020561F">
        <w:t>6.44</w:t>
      </w:r>
      <w:r w:rsidRPr="0020561F">
        <w:rPr>
          <w:rStyle w:val="FootnoteReference"/>
          <w:vertAlign w:val="baseline"/>
        </w:rPr>
        <w:t>]</w:t>
      </w:r>
      <w:r w:rsidRPr="00681741">
        <w:rPr>
          <w:rStyle w:val="FootnoteReference"/>
          <w:vertAlign w:val="baseline"/>
        </w:rPr>
        <w:t xml:space="preserve"> below.</w:t>
      </w:r>
    </w:p>
  </w:footnote>
  <w:footnote w:id="3">
    <w:p w14:paraId="13A5A7D6" w14:textId="5D214038" w:rsidR="005D0C4D" w:rsidRPr="00681741" w:rsidRDefault="005D0C4D" w:rsidP="005D0C4D">
      <w:pPr>
        <w:pStyle w:val="FootnoteText"/>
        <w:tabs>
          <w:tab w:val="left" w:pos="284"/>
        </w:tabs>
        <w:rPr>
          <w:rStyle w:val="FootnoteReference"/>
          <w:vertAlign w:val="baseline"/>
        </w:rPr>
      </w:pPr>
      <w:r w:rsidRPr="00681741">
        <w:rPr>
          <w:rStyle w:val="FootnoteReference"/>
        </w:rPr>
        <w:footnoteRef/>
      </w:r>
      <w:r w:rsidRPr="00681741">
        <w:rPr>
          <w:rStyle w:val="FootnoteReference"/>
          <w:vertAlign w:val="baseline"/>
        </w:rPr>
        <w:t xml:space="preserve"> </w:t>
      </w:r>
      <w:r w:rsidRPr="00681741">
        <w:tab/>
      </w:r>
      <w:r w:rsidRPr="00681741">
        <w:rPr>
          <w:rStyle w:val="FootnoteReference"/>
          <w:vertAlign w:val="baseline"/>
        </w:rPr>
        <w:t>See [</w:t>
      </w:r>
      <w:r w:rsidRPr="0020561F">
        <w:rPr>
          <w:rStyle w:val="FootnoteReference"/>
          <w:vertAlign w:val="baseline"/>
        </w:rPr>
        <w:fldChar w:fldCharType="begin"/>
      </w:r>
      <w:r w:rsidRPr="0020561F">
        <w:rPr>
          <w:rStyle w:val="FootnoteReference"/>
          <w:vertAlign w:val="baseline"/>
        </w:rPr>
        <w:instrText xml:space="preserve"> REF _Ref459110891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6.45</w:t>
      </w:r>
      <w:r w:rsidRPr="0020561F">
        <w:rPr>
          <w:rStyle w:val="FootnoteReference"/>
          <w:vertAlign w:val="baseline"/>
        </w:rPr>
        <w:fldChar w:fldCharType="end"/>
      </w:r>
      <w:r w:rsidR="00E01ED0" w:rsidRPr="0020561F">
        <w:t>5</w:t>
      </w:r>
      <w:r w:rsidRPr="0020561F">
        <w:rPr>
          <w:rStyle w:val="FootnoteReference"/>
          <w:vertAlign w:val="baseline"/>
        </w:rPr>
        <w:t>] – [6.</w:t>
      </w:r>
      <w:r w:rsidR="00E01ED0" w:rsidRPr="0020561F">
        <w:rPr>
          <w:rStyle w:val="FootnoteReference"/>
          <w:vertAlign w:val="baseline"/>
        </w:rPr>
        <w:t>7</w:t>
      </w:r>
      <w:r w:rsidR="00E01ED0" w:rsidRPr="0020561F">
        <w:t>3</w:t>
      </w:r>
      <w:r w:rsidRPr="0020561F">
        <w:rPr>
          <w:rStyle w:val="FootnoteReference"/>
          <w:vertAlign w:val="baseline"/>
        </w:rPr>
        <w:t>]</w:t>
      </w:r>
      <w:r w:rsidRPr="00681741">
        <w:rPr>
          <w:rStyle w:val="FootnoteReference"/>
          <w:vertAlign w:val="baseline"/>
        </w:rPr>
        <w:t xml:space="preserve"> below.</w:t>
      </w:r>
    </w:p>
  </w:footnote>
  <w:footnote w:id="4">
    <w:p w14:paraId="5524813A" w14:textId="046BE1F9" w:rsidR="005D0C4D" w:rsidRPr="00C34A0A" w:rsidRDefault="005D0C4D" w:rsidP="005D0C4D">
      <w:pPr>
        <w:pStyle w:val="FootnoteText"/>
        <w:tabs>
          <w:tab w:val="left" w:pos="284"/>
        </w:tabs>
        <w:rPr>
          <w:rStyle w:val="FootnoteReference"/>
          <w:vertAlign w:val="baseline"/>
        </w:rPr>
      </w:pPr>
      <w:r w:rsidRPr="00681741">
        <w:rPr>
          <w:rStyle w:val="FootnoteReference"/>
        </w:rPr>
        <w:footnoteRef/>
      </w:r>
      <w:r w:rsidRPr="00681741">
        <w:rPr>
          <w:rStyle w:val="FootnoteReference"/>
        </w:rPr>
        <w:t xml:space="preserve"> </w:t>
      </w:r>
      <w:r w:rsidRPr="00681741">
        <w:tab/>
      </w:r>
      <w:r w:rsidRPr="00681741">
        <w:rPr>
          <w:rStyle w:val="FootnoteReference"/>
          <w:vertAlign w:val="baseline"/>
        </w:rPr>
        <w:t>See [</w:t>
      </w:r>
      <w:r w:rsidR="00681741">
        <w:t>6.7</w:t>
      </w:r>
      <w:r w:rsidR="00E01ED0" w:rsidRPr="0020561F">
        <w:rPr>
          <w:rStyle w:val="FootnoteReference"/>
          <w:vertAlign w:val="baseline"/>
        </w:rPr>
        <w:t>4</w:t>
      </w:r>
      <w:r w:rsidRPr="0020561F">
        <w:rPr>
          <w:rStyle w:val="FootnoteReference"/>
          <w:vertAlign w:val="baseline"/>
        </w:rPr>
        <w:t>] – [</w:t>
      </w:r>
      <w:r w:rsidRPr="0020561F">
        <w:rPr>
          <w:rStyle w:val="FootnoteReference"/>
          <w:vertAlign w:val="baseline"/>
        </w:rPr>
        <w:fldChar w:fldCharType="begin"/>
      </w:r>
      <w:r w:rsidRPr="0020561F">
        <w:rPr>
          <w:rStyle w:val="FootnoteReference"/>
          <w:vertAlign w:val="baseline"/>
        </w:rPr>
        <w:instrText xml:space="preserve"> REF _Ref465693321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6.78</w:t>
      </w:r>
      <w:r w:rsidRPr="0020561F">
        <w:rPr>
          <w:rStyle w:val="FootnoteReference"/>
          <w:vertAlign w:val="baseline"/>
        </w:rPr>
        <w:fldChar w:fldCharType="end"/>
      </w:r>
      <w:r w:rsidRPr="0020561F">
        <w:rPr>
          <w:rStyle w:val="FootnoteReference"/>
          <w:vertAlign w:val="baseline"/>
        </w:rPr>
        <w:t>]</w:t>
      </w:r>
      <w:r w:rsidRPr="00681741">
        <w:rPr>
          <w:rStyle w:val="FootnoteReference"/>
          <w:vertAlign w:val="baseline"/>
        </w:rPr>
        <w:t xml:space="preserve"> belo</w:t>
      </w:r>
      <w:r w:rsidRPr="00C34A0A">
        <w:rPr>
          <w:rStyle w:val="FootnoteReference"/>
          <w:vertAlign w:val="baseline"/>
        </w:rPr>
        <w:t>w.</w:t>
      </w:r>
    </w:p>
  </w:footnote>
  <w:footnote w:id="5">
    <w:p w14:paraId="747E68A8" w14:textId="4B47DBF4" w:rsidR="005D0C4D" w:rsidRPr="003140F3" w:rsidRDefault="005D0C4D" w:rsidP="005D0C4D">
      <w:pPr>
        <w:pStyle w:val="FootnoteText"/>
        <w:tabs>
          <w:tab w:val="left" w:pos="284"/>
        </w:tabs>
        <w:rPr>
          <w:rStyle w:val="FootnoteReference"/>
          <w:vertAlign w:val="baseline"/>
        </w:rPr>
      </w:pPr>
      <w:r w:rsidRPr="00C34A0A">
        <w:rPr>
          <w:rStyle w:val="FootnoteReference"/>
        </w:rPr>
        <w:footnoteRef/>
      </w:r>
      <w:r w:rsidRPr="00C34A0A">
        <w:rPr>
          <w:rStyle w:val="FootnoteReference"/>
          <w:vertAlign w:val="baseline"/>
        </w:rPr>
        <w:t xml:space="preserve"> </w:t>
      </w:r>
      <w:r>
        <w:tab/>
      </w:r>
      <w:r w:rsidRPr="003140F3">
        <w:rPr>
          <w:rStyle w:val="FootnoteReference"/>
          <w:vertAlign w:val="baseline"/>
        </w:rPr>
        <w:t xml:space="preserve">See </w:t>
      </w:r>
      <w:r w:rsidRPr="0020561F">
        <w:rPr>
          <w:rStyle w:val="FootnoteReference"/>
          <w:vertAlign w:val="baseline"/>
        </w:rPr>
        <w:t>[</w:t>
      </w:r>
      <w:r w:rsidRPr="0020561F">
        <w:rPr>
          <w:rStyle w:val="FootnoteReference"/>
          <w:vertAlign w:val="baseline"/>
        </w:rPr>
        <w:fldChar w:fldCharType="begin"/>
      </w:r>
      <w:r w:rsidRPr="0020561F">
        <w:rPr>
          <w:rStyle w:val="FootnoteReference"/>
          <w:vertAlign w:val="baseline"/>
        </w:rPr>
        <w:instrText xml:space="preserve"> REF _Ref459110961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6.79</w:t>
      </w:r>
      <w:r w:rsidRPr="0020561F">
        <w:rPr>
          <w:rStyle w:val="FootnoteReference"/>
          <w:vertAlign w:val="baseline"/>
        </w:rPr>
        <w:fldChar w:fldCharType="end"/>
      </w:r>
      <w:r w:rsidRPr="0020561F">
        <w:rPr>
          <w:rStyle w:val="FootnoteReference"/>
          <w:vertAlign w:val="baseline"/>
        </w:rPr>
        <w:t>]</w:t>
      </w:r>
      <w:r w:rsidR="003140F3">
        <w:rPr>
          <w:rStyle w:val="FootnoteReference"/>
          <w:vertAlign w:val="baseline"/>
        </w:rPr>
        <w:t>–</w:t>
      </w:r>
      <w:r w:rsidRPr="0020561F">
        <w:rPr>
          <w:rStyle w:val="FootnoteReference"/>
          <w:vertAlign w:val="baseline"/>
        </w:rPr>
        <w:t>[</w:t>
      </w:r>
      <w:r w:rsidRPr="0020561F">
        <w:rPr>
          <w:rStyle w:val="FootnoteReference"/>
          <w:vertAlign w:val="baseline"/>
        </w:rPr>
        <w:fldChar w:fldCharType="begin"/>
      </w:r>
      <w:r w:rsidRPr="0020561F">
        <w:rPr>
          <w:rStyle w:val="FootnoteReference"/>
          <w:vertAlign w:val="baseline"/>
        </w:rPr>
        <w:instrText xml:space="preserve"> REF _Ref459110998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6.110</w:t>
      </w:r>
      <w:r w:rsidRPr="0020561F">
        <w:rPr>
          <w:rStyle w:val="FootnoteReference"/>
          <w:vertAlign w:val="baseline"/>
        </w:rPr>
        <w:fldChar w:fldCharType="end"/>
      </w:r>
      <w:r w:rsidRPr="0020561F">
        <w:rPr>
          <w:rStyle w:val="FootnoteReference"/>
          <w:vertAlign w:val="baseline"/>
        </w:rPr>
        <w:t>]</w:t>
      </w:r>
      <w:r w:rsidRPr="003140F3">
        <w:rPr>
          <w:rStyle w:val="FootnoteReference"/>
          <w:vertAlign w:val="baseline"/>
        </w:rPr>
        <w:t xml:space="preserve"> below.</w:t>
      </w:r>
    </w:p>
  </w:footnote>
  <w:footnote w:id="6">
    <w:p w14:paraId="3081E606" w14:textId="6438A47A" w:rsidR="005D0C4D" w:rsidRPr="003140F3" w:rsidRDefault="005D0C4D" w:rsidP="005D0C4D">
      <w:pPr>
        <w:pStyle w:val="FootnoteText"/>
        <w:tabs>
          <w:tab w:val="left" w:pos="284"/>
        </w:tabs>
        <w:rPr>
          <w:rStyle w:val="FootnoteReference"/>
          <w:vertAlign w:val="baseline"/>
        </w:rPr>
      </w:pPr>
      <w:r w:rsidRPr="003140F3">
        <w:rPr>
          <w:rStyle w:val="FootnoteReference"/>
        </w:rPr>
        <w:footnoteRef/>
      </w:r>
      <w:r w:rsidRPr="003140F3">
        <w:rPr>
          <w:rStyle w:val="FootnoteReference"/>
        </w:rPr>
        <w:t xml:space="preserve"> </w:t>
      </w:r>
      <w:r w:rsidRPr="003140F3">
        <w:tab/>
      </w:r>
      <w:r w:rsidRPr="003140F3">
        <w:rPr>
          <w:rStyle w:val="FootnoteReference"/>
          <w:vertAlign w:val="baseline"/>
        </w:rPr>
        <w:t xml:space="preserve">See </w:t>
      </w:r>
      <w:r w:rsidRPr="0020561F">
        <w:rPr>
          <w:rStyle w:val="FootnoteReference"/>
          <w:vertAlign w:val="baseline"/>
        </w:rPr>
        <w:t>[</w:t>
      </w:r>
      <w:r w:rsidRPr="0020561F">
        <w:rPr>
          <w:rStyle w:val="FootnoteReference"/>
          <w:vertAlign w:val="baseline"/>
        </w:rPr>
        <w:fldChar w:fldCharType="begin"/>
      </w:r>
      <w:r w:rsidRPr="0020561F">
        <w:rPr>
          <w:rStyle w:val="FootnoteReference"/>
          <w:vertAlign w:val="baseline"/>
        </w:rPr>
        <w:instrText xml:space="preserve"> REF _Ref459111017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6.114</w:t>
      </w:r>
      <w:r w:rsidRPr="0020561F">
        <w:rPr>
          <w:rStyle w:val="FootnoteReference"/>
          <w:vertAlign w:val="baseline"/>
        </w:rPr>
        <w:fldChar w:fldCharType="end"/>
      </w:r>
      <w:r w:rsidRPr="0020561F">
        <w:rPr>
          <w:rStyle w:val="FootnoteReference"/>
          <w:vertAlign w:val="baseline"/>
        </w:rPr>
        <w:t>]</w:t>
      </w:r>
      <w:r w:rsidR="003140F3">
        <w:rPr>
          <w:rStyle w:val="FootnoteReference"/>
          <w:vertAlign w:val="baseline"/>
        </w:rPr>
        <w:t>–</w:t>
      </w:r>
      <w:r w:rsidRPr="0020561F">
        <w:rPr>
          <w:rStyle w:val="FootnoteReference"/>
          <w:vertAlign w:val="baseline"/>
        </w:rPr>
        <w:t>[</w:t>
      </w:r>
      <w:r w:rsidRPr="0020561F">
        <w:rPr>
          <w:rStyle w:val="FootnoteReference"/>
          <w:vertAlign w:val="baseline"/>
        </w:rPr>
        <w:fldChar w:fldCharType="begin"/>
      </w:r>
      <w:r w:rsidRPr="0020561F">
        <w:rPr>
          <w:rStyle w:val="FootnoteReference"/>
          <w:vertAlign w:val="baseline"/>
        </w:rPr>
        <w:instrText xml:space="preserve"> REF _Ref459111037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6.172</w:t>
      </w:r>
      <w:r w:rsidRPr="0020561F">
        <w:rPr>
          <w:rStyle w:val="FootnoteReference"/>
          <w:vertAlign w:val="baseline"/>
        </w:rPr>
        <w:fldChar w:fldCharType="end"/>
      </w:r>
      <w:r w:rsidRPr="003140F3">
        <w:rPr>
          <w:rStyle w:val="FootnoteReference"/>
          <w:vertAlign w:val="baseline"/>
        </w:rPr>
        <w:t>] below.</w:t>
      </w:r>
    </w:p>
  </w:footnote>
  <w:footnote w:id="7">
    <w:p w14:paraId="02624ABA" w14:textId="7354050B" w:rsidR="005D0C4D" w:rsidRPr="003140F3" w:rsidRDefault="005D0C4D" w:rsidP="005D0C4D">
      <w:pPr>
        <w:pStyle w:val="FootnoteText"/>
        <w:tabs>
          <w:tab w:val="left" w:pos="284"/>
        </w:tabs>
        <w:rPr>
          <w:rStyle w:val="FootnoteReference"/>
          <w:vertAlign w:val="baseline"/>
        </w:rPr>
      </w:pPr>
      <w:r w:rsidRPr="003140F3">
        <w:rPr>
          <w:rStyle w:val="FootnoteReference"/>
        </w:rPr>
        <w:footnoteRef/>
      </w:r>
      <w:r w:rsidRPr="003140F3">
        <w:rPr>
          <w:rStyle w:val="FootnoteReference"/>
        </w:rPr>
        <w:t xml:space="preserve"> </w:t>
      </w:r>
      <w:r w:rsidRPr="003140F3">
        <w:tab/>
      </w:r>
      <w:r w:rsidRPr="003140F3">
        <w:rPr>
          <w:rStyle w:val="FootnoteReference"/>
          <w:vertAlign w:val="baseline"/>
        </w:rPr>
        <w:t xml:space="preserve">See </w:t>
      </w:r>
      <w:r w:rsidRPr="0020561F">
        <w:rPr>
          <w:rStyle w:val="FootnoteReference"/>
          <w:vertAlign w:val="baseline"/>
        </w:rPr>
        <w:t>[</w:t>
      </w:r>
      <w:r w:rsidRPr="0020561F">
        <w:rPr>
          <w:rStyle w:val="FootnoteReference"/>
          <w:vertAlign w:val="baseline"/>
        </w:rPr>
        <w:fldChar w:fldCharType="begin"/>
      </w:r>
      <w:r w:rsidRPr="0020561F">
        <w:rPr>
          <w:rStyle w:val="FootnoteReference"/>
          <w:vertAlign w:val="baseline"/>
        </w:rPr>
        <w:instrText xml:space="preserve"> REF _Ref459111108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6.173</w:t>
      </w:r>
      <w:r w:rsidRPr="0020561F">
        <w:rPr>
          <w:rStyle w:val="FootnoteReference"/>
          <w:vertAlign w:val="baseline"/>
        </w:rPr>
        <w:fldChar w:fldCharType="end"/>
      </w:r>
      <w:r w:rsidRPr="0020561F">
        <w:rPr>
          <w:rStyle w:val="FootnoteReference"/>
          <w:vertAlign w:val="baseline"/>
        </w:rPr>
        <w:t>]</w:t>
      </w:r>
      <w:r w:rsidR="003140F3">
        <w:t>–</w:t>
      </w:r>
      <w:r w:rsidRPr="0020561F">
        <w:rPr>
          <w:rStyle w:val="FootnoteReference"/>
          <w:vertAlign w:val="baseline"/>
        </w:rPr>
        <w:t>[</w:t>
      </w:r>
      <w:r w:rsidR="00A42BD1" w:rsidRPr="0020561F">
        <w:rPr>
          <w:rStyle w:val="FootnoteReference"/>
          <w:vertAlign w:val="baseline"/>
        </w:rPr>
        <w:t>6.20</w:t>
      </w:r>
      <w:r w:rsidR="003B58AE">
        <w:t>5</w:t>
      </w:r>
      <w:r w:rsidRPr="003140F3">
        <w:rPr>
          <w:rStyle w:val="FootnoteReference"/>
          <w:vertAlign w:val="baseline"/>
        </w:rPr>
        <w:t>] below.</w:t>
      </w:r>
    </w:p>
  </w:footnote>
  <w:footnote w:id="8">
    <w:p w14:paraId="0FD96D2F" w14:textId="5EBBFBFA" w:rsidR="005D0C4D" w:rsidRPr="00C34A0A" w:rsidRDefault="005D0C4D" w:rsidP="005D0C4D">
      <w:pPr>
        <w:pStyle w:val="FootnoteText"/>
        <w:tabs>
          <w:tab w:val="left" w:pos="284"/>
        </w:tabs>
        <w:rPr>
          <w:rStyle w:val="FootnoteReference"/>
          <w:vertAlign w:val="baseline"/>
        </w:rPr>
      </w:pPr>
      <w:r w:rsidRPr="003140F3">
        <w:rPr>
          <w:rStyle w:val="FootnoteReference"/>
        </w:rPr>
        <w:footnoteRef/>
      </w:r>
      <w:r w:rsidRPr="003140F3">
        <w:rPr>
          <w:rStyle w:val="FootnoteReference"/>
        </w:rPr>
        <w:t xml:space="preserve"> </w:t>
      </w:r>
      <w:r w:rsidRPr="003140F3">
        <w:rPr>
          <w:rStyle w:val="FootnoteReference"/>
        </w:rPr>
        <w:tab/>
      </w:r>
      <w:r w:rsidRPr="003140F3">
        <w:rPr>
          <w:rStyle w:val="FootnoteReference"/>
          <w:vertAlign w:val="baseline"/>
        </w:rPr>
        <w:t xml:space="preserve">See </w:t>
      </w:r>
      <w:r w:rsidRPr="0020561F">
        <w:rPr>
          <w:rStyle w:val="FootnoteReference"/>
          <w:vertAlign w:val="baseline"/>
        </w:rPr>
        <w:t>[</w:t>
      </w:r>
      <w:r w:rsidRPr="0020561F">
        <w:rPr>
          <w:rStyle w:val="FootnoteReference"/>
          <w:vertAlign w:val="baseline"/>
        </w:rPr>
        <w:fldChar w:fldCharType="begin"/>
      </w:r>
      <w:r w:rsidRPr="003140F3">
        <w:rPr>
          <w:rStyle w:val="FootnoteReference"/>
          <w:vertAlign w:val="baseline"/>
        </w:rPr>
        <w:instrText xml:space="preserve"> REF _Ref459111148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6.207</w:t>
      </w:r>
      <w:r w:rsidRPr="0020561F">
        <w:rPr>
          <w:rStyle w:val="FootnoteReference"/>
          <w:vertAlign w:val="baseline"/>
        </w:rPr>
        <w:fldChar w:fldCharType="end"/>
      </w:r>
      <w:r w:rsidRPr="0020561F">
        <w:rPr>
          <w:rStyle w:val="FootnoteReference"/>
          <w:vertAlign w:val="baseline"/>
        </w:rPr>
        <w:t>]</w:t>
      </w:r>
      <w:r w:rsidR="003140F3">
        <w:t>–</w:t>
      </w:r>
      <w:r w:rsidRPr="0020561F">
        <w:rPr>
          <w:rStyle w:val="FootnoteReference"/>
          <w:vertAlign w:val="baseline"/>
        </w:rPr>
        <w:t>[</w:t>
      </w:r>
      <w:r w:rsidRPr="0020561F">
        <w:rPr>
          <w:rStyle w:val="FootnoteReference"/>
          <w:vertAlign w:val="baseline"/>
        </w:rPr>
        <w:fldChar w:fldCharType="begin"/>
      </w:r>
      <w:r w:rsidRPr="0020561F">
        <w:rPr>
          <w:rStyle w:val="FootnoteReference"/>
          <w:vertAlign w:val="baseline"/>
        </w:rPr>
        <w:instrText xml:space="preserve"> REF _Ref459111161 \r \h  \* MERGEFORMAT </w:instrText>
      </w:r>
      <w:r w:rsidRPr="0020561F">
        <w:rPr>
          <w:rStyle w:val="FootnoteReference"/>
          <w:vertAlign w:val="baseline"/>
        </w:rPr>
      </w:r>
      <w:r w:rsidRPr="0020561F">
        <w:rPr>
          <w:rStyle w:val="FootnoteReference"/>
          <w:vertAlign w:val="baseline"/>
        </w:rPr>
        <w:fldChar w:fldCharType="separate"/>
      </w:r>
      <w:r w:rsidR="00A721BB">
        <w:rPr>
          <w:rStyle w:val="FootnoteReference"/>
          <w:vertAlign w:val="baseline"/>
        </w:rPr>
        <w:t>6.208</w:t>
      </w:r>
      <w:r w:rsidRPr="0020561F">
        <w:rPr>
          <w:rStyle w:val="FootnoteReference"/>
          <w:vertAlign w:val="baseline"/>
        </w:rPr>
        <w:fldChar w:fldCharType="end"/>
      </w:r>
      <w:r w:rsidR="003B58AE">
        <w:t>7</w:t>
      </w:r>
      <w:r w:rsidRPr="003140F3">
        <w:rPr>
          <w:rStyle w:val="FootnoteReference"/>
          <w:vertAlign w:val="baseline"/>
        </w:rPr>
        <w:t>] below</w:t>
      </w:r>
      <w:r w:rsidRPr="00C34A0A">
        <w:rPr>
          <w:rStyle w:val="FootnoteReference"/>
          <w:vertAlign w:val="baseline"/>
        </w:rPr>
        <w:t>.</w:t>
      </w:r>
    </w:p>
  </w:footnote>
  <w:footnote w:id="9">
    <w:p w14:paraId="699B6E38" w14:textId="7BBFFFDF" w:rsidR="003140F3" w:rsidRDefault="003140F3" w:rsidP="0020561F">
      <w:pPr>
        <w:pStyle w:val="FootnoteText"/>
        <w:ind w:left="284" w:hanging="284"/>
      </w:pPr>
      <w:r>
        <w:rPr>
          <w:rStyle w:val="FootnoteReference"/>
        </w:rPr>
        <w:footnoteRef/>
      </w:r>
      <w:r>
        <w:t xml:space="preserve"> </w:t>
      </w:r>
      <w:r>
        <w:tab/>
        <w:t>See [6.20</w:t>
      </w:r>
      <w:r w:rsidR="003B58AE">
        <w:t>8</w:t>
      </w:r>
      <w:r>
        <w:t>]–[6.21</w:t>
      </w:r>
      <w:r w:rsidR="003B58AE">
        <w:t>4</w:t>
      </w:r>
      <w:r>
        <w:t>] below.</w:t>
      </w:r>
    </w:p>
  </w:footnote>
  <w:footnote w:id="10">
    <w:p w14:paraId="41C10FEC" w14:textId="77777777" w:rsidR="007027EE" w:rsidRPr="00DD07E1" w:rsidRDefault="007027EE" w:rsidP="007027EE">
      <w:pPr>
        <w:pStyle w:val="FootnoteText"/>
        <w:tabs>
          <w:tab w:val="left" w:pos="284"/>
        </w:tabs>
        <w:ind w:left="284" w:hanging="284"/>
      </w:pPr>
      <w:r w:rsidRPr="0043786E">
        <w:rPr>
          <w:rStyle w:val="FootnoteReference"/>
        </w:rPr>
        <w:footnoteRef/>
      </w:r>
      <w:r w:rsidRPr="0043786E">
        <w:t xml:space="preserve"> </w:t>
      </w:r>
      <w:r>
        <w:tab/>
      </w:r>
      <w:r w:rsidRPr="00756129">
        <w:t>For example, as with the s 47G, business affairs public interest conditional exemption.</w:t>
      </w:r>
    </w:p>
  </w:footnote>
  <w:footnote w:id="11">
    <w:p w14:paraId="268CB0CB" w14:textId="27F500FC" w:rsidR="007027EE" w:rsidRPr="00DD07E1" w:rsidRDefault="007027EE" w:rsidP="007027EE">
      <w:pPr>
        <w:pStyle w:val="FootnoteText"/>
        <w:tabs>
          <w:tab w:val="left" w:pos="284"/>
        </w:tabs>
        <w:ind w:left="284" w:hanging="284"/>
      </w:pPr>
      <w:r w:rsidRPr="0043786E">
        <w:rPr>
          <w:rStyle w:val="FootnoteReference"/>
        </w:rPr>
        <w:footnoteRef/>
      </w:r>
      <w:r w:rsidRPr="0043786E">
        <w:t xml:space="preserve"> </w:t>
      </w:r>
      <w:bookmarkStart w:id="10" w:name="_Hlk50113254"/>
      <w:r>
        <w:tab/>
      </w:r>
      <w:r w:rsidRPr="00A739A3">
        <w:rPr>
          <w:i/>
          <w:iCs/>
        </w:rPr>
        <w:t>Bell and Secretary, Department of Health (Freedom of information)</w:t>
      </w:r>
      <w:r w:rsidRPr="00A739A3">
        <w:t xml:space="preserve"> </w:t>
      </w:r>
      <w:hyperlink r:id="rId1" w:history="1">
        <w:r w:rsidRPr="00FE6F99">
          <w:rPr>
            <w:rStyle w:val="Hyperlink"/>
            <w:color w:val="007BAB" w:themeColor="text2" w:themeTint="BF"/>
          </w:rPr>
          <w:t>[2015] AATA 494</w:t>
        </w:r>
      </w:hyperlink>
      <w:r w:rsidRPr="00A739A3">
        <w:t xml:space="preserve"> [49].</w:t>
      </w:r>
      <w:bookmarkEnd w:id="10"/>
    </w:p>
  </w:footnote>
  <w:footnote w:id="12">
    <w:p w14:paraId="7E673056" w14:textId="5238A45B" w:rsidR="007027EE" w:rsidRPr="0043786E" w:rsidRDefault="007027EE" w:rsidP="007027EE">
      <w:pPr>
        <w:pStyle w:val="FootnoteText"/>
        <w:tabs>
          <w:tab w:val="left" w:pos="284"/>
        </w:tabs>
        <w:ind w:left="284" w:hanging="284"/>
      </w:pPr>
      <w:r w:rsidRPr="0043786E">
        <w:rPr>
          <w:rStyle w:val="FootnoteReference"/>
        </w:rPr>
        <w:footnoteRef/>
      </w:r>
      <w:r w:rsidRPr="0043786E">
        <w:t xml:space="preserve"> </w:t>
      </w:r>
      <w:r>
        <w:tab/>
      </w:r>
      <w:r w:rsidRPr="00A739A3">
        <w:t xml:space="preserve">See Deputy President Forgie’s discussions in </w:t>
      </w:r>
      <w:r w:rsidRPr="00A739A3">
        <w:rPr>
          <w:i/>
          <w:iCs/>
        </w:rPr>
        <w:t>Bell and Secretary, Department of Health (Freedom of information)</w:t>
      </w:r>
      <w:r w:rsidRPr="00A739A3">
        <w:t xml:space="preserve"> </w:t>
      </w:r>
      <w:hyperlink r:id="rId2" w:history="1">
        <w:r w:rsidRPr="00FE6F99">
          <w:rPr>
            <w:rStyle w:val="Hyperlink"/>
            <w:color w:val="007BAB" w:themeColor="text2" w:themeTint="BF"/>
          </w:rPr>
          <w:t>[2015] AATA 494</w:t>
        </w:r>
      </w:hyperlink>
      <w:r w:rsidRPr="00A739A3">
        <w:t xml:space="preserve"> particularly at [44]. The Information Commissioner has discussed and followed the </w:t>
      </w:r>
      <w:r w:rsidRPr="0020561F">
        <w:rPr>
          <w:i/>
          <w:iCs/>
        </w:rPr>
        <w:t>Bell</w:t>
      </w:r>
      <w:r w:rsidRPr="00A739A3">
        <w:t xml:space="preserve"> approach in a number of IC review decisions, for example </w:t>
      </w:r>
      <w:r w:rsidRPr="00F1507F">
        <w:rPr>
          <w:i/>
          <w:iCs/>
        </w:rPr>
        <w:t>Linton Besser and Department of Employment</w:t>
      </w:r>
      <w:r w:rsidRPr="00A739A3">
        <w:t xml:space="preserve"> </w:t>
      </w:r>
      <w:hyperlink r:id="rId3" w:history="1">
        <w:r w:rsidRPr="00FE6F99">
          <w:rPr>
            <w:rStyle w:val="Hyperlink"/>
            <w:color w:val="007BAB" w:themeColor="text2" w:themeTint="BF"/>
          </w:rPr>
          <w:t>[2015] AICmr 67</w:t>
        </w:r>
      </w:hyperlink>
      <w:r>
        <w:t xml:space="preserve">; </w:t>
      </w:r>
      <w:r>
        <w:rPr>
          <w:rFonts w:ascii="Source Sans Pro" w:hAnsi="Source Sans Pro"/>
          <w:i/>
          <w:iCs/>
          <w:color w:val="333333"/>
          <w:shd w:val="clear" w:color="auto" w:fill="FFFFFF"/>
        </w:rPr>
        <w:t xml:space="preserve">‘'VO' and Northern Australia Infrastructure Facility (Freedom of information) </w:t>
      </w:r>
      <w:hyperlink r:id="rId4" w:tooltip="View Case" w:history="1">
        <w:r w:rsidRPr="00D55EF1">
          <w:rPr>
            <w:rStyle w:val="Hyperlink"/>
            <w:rFonts w:ascii="Source Sans Pro" w:hAnsi="Source Sans Pro"/>
            <w:color w:val="3796CC"/>
          </w:rPr>
          <w:t>[2020] AICmr 47</w:t>
        </w:r>
      </w:hyperlink>
      <w:r>
        <w:rPr>
          <w:rFonts w:ascii="Source Sans Pro" w:hAnsi="Source Sans Pro"/>
          <w:i/>
          <w:iCs/>
          <w:color w:val="333333"/>
          <w:shd w:val="clear" w:color="auto" w:fill="FFFFFF"/>
        </w:rPr>
        <w:t>; Boston Consulting Group and Australian National University (Freedom of information) (No 2)</w:t>
      </w:r>
      <w:r>
        <w:rPr>
          <w:rFonts w:ascii="Source Sans Pro" w:hAnsi="Source Sans Pro"/>
          <w:color w:val="333333"/>
          <w:shd w:val="clear" w:color="auto" w:fill="FFFFFF"/>
        </w:rPr>
        <w:t> </w:t>
      </w:r>
      <w:hyperlink r:id="rId5" w:tooltip="View Case" w:history="1">
        <w:r>
          <w:rPr>
            <w:rStyle w:val="Hyperlink"/>
            <w:rFonts w:ascii="Source Sans Pro" w:hAnsi="Source Sans Pro"/>
            <w:color w:val="3796CC"/>
            <w:shd w:val="clear" w:color="auto" w:fill="FFFFFF"/>
          </w:rPr>
          <w:t>[2022] AICmr 16</w:t>
        </w:r>
      </w:hyperlink>
      <w:r w:rsidRPr="00A739A3">
        <w:t>.</w:t>
      </w:r>
    </w:p>
  </w:footnote>
  <w:footnote w:id="13">
    <w:p w14:paraId="1544F0AE" w14:textId="3A96E089" w:rsidR="00F85EF4" w:rsidRPr="006773C5" w:rsidRDefault="00F85EF4" w:rsidP="00C844CE">
      <w:pPr>
        <w:pStyle w:val="FootnoteText"/>
        <w:tabs>
          <w:tab w:val="left" w:pos="284"/>
        </w:tabs>
        <w:ind w:left="284" w:hanging="284"/>
      </w:pPr>
      <w:r w:rsidRPr="0043786E">
        <w:rPr>
          <w:rStyle w:val="FootnoteReference"/>
        </w:rPr>
        <w:footnoteRef/>
      </w:r>
      <w:r w:rsidR="00C34A0A">
        <w:tab/>
      </w:r>
      <w:r w:rsidRPr="006773C5">
        <w:t xml:space="preserve">See </w:t>
      </w:r>
      <w:r w:rsidRPr="006773C5">
        <w:rPr>
          <w:i/>
          <w:iCs/>
        </w:rPr>
        <w:t>Crowe and Department of the Treasury</w:t>
      </w:r>
      <w:r w:rsidRPr="006773C5">
        <w:t xml:space="preserve"> </w:t>
      </w:r>
      <w:hyperlink r:id="rId6" w:history="1">
        <w:r w:rsidRPr="00E2412E">
          <w:rPr>
            <w:rStyle w:val="Hyperlink"/>
            <w:color w:val="007BAB" w:themeColor="text2" w:themeTint="BF"/>
          </w:rPr>
          <w:t>[2013] AICmr 69</w:t>
        </w:r>
      </w:hyperlink>
      <w:r w:rsidRPr="006773C5">
        <w:t xml:space="preserve"> [36]–[45]</w:t>
      </w:r>
      <w:r w:rsidR="00AD6C46">
        <w:t>;</w:t>
      </w:r>
      <w:r w:rsidRPr="006773C5">
        <w:t xml:space="preserve"> </w:t>
      </w:r>
      <w:r w:rsidRPr="006773C5">
        <w:rPr>
          <w:i/>
          <w:iCs/>
        </w:rPr>
        <w:t>Cornerstone Legal Pty Ltd and Australian Securities and Investment Commission</w:t>
      </w:r>
      <w:r w:rsidRPr="006773C5">
        <w:t xml:space="preserve"> </w:t>
      </w:r>
      <w:hyperlink r:id="rId7" w:history="1">
        <w:r w:rsidRPr="00E2412E">
          <w:rPr>
            <w:rStyle w:val="Hyperlink"/>
            <w:color w:val="007BAB" w:themeColor="text2" w:themeTint="BF"/>
          </w:rPr>
          <w:t>[2013] AICmr 71</w:t>
        </w:r>
      </w:hyperlink>
      <w:r w:rsidRPr="006773C5">
        <w:t xml:space="preserve"> [32]–[41] and [53]</w:t>
      </w:r>
      <w:r w:rsidR="00AD6C46">
        <w:t>;</w:t>
      </w:r>
      <w:r w:rsidRPr="006773C5">
        <w:t xml:space="preserve"> </w:t>
      </w:r>
      <w:r w:rsidRPr="006773C5">
        <w:rPr>
          <w:i/>
          <w:iCs/>
        </w:rPr>
        <w:t>‘FI’ and Australian Securities and Investments Commission</w:t>
      </w:r>
      <w:r w:rsidRPr="006773C5">
        <w:t xml:space="preserve"> </w:t>
      </w:r>
      <w:hyperlink r:id="rId8" w:history="1">
        <w:r w:rsidRPr="00E2412E">
          <w:rPr>
            <w:rStyle w:val="Hyperlink"/>
            <w:color w:val="007BAB" w:themeColor="text2" w:themeTint="BF"/>
          </w:rPr>
          <w:t>[2015] AICmr 28</w:t>
        </w:r>
      </w:hyperlink>
      <w:r w:rsidRPr="006773C5">
        <w:t xml:space="preserve"> [14</w:t>
      </w:r>
      <w:r w:rsidRPr="00155D49">
        <w:t>]</w:t>
      </w:r>
      <w:r w:rsidR="00155D49" w:rsidRPr="00155D49">
        <w:t>;</w:t>
      </w:r>
      <w:r w:rsidR="00155D49" w:rsidRPr="009F6EB1">
        <w:t xml:space="preserve"> </w:t>
      </w:r>
      <w:r w:rsidR="009F6EB1" w:rsidRPr="00173CE5">
        <w:rPr>
          <w:rFonts w:ascii="Source Sans Pro" w:hAnsi="Source Sans Pro"/>
          <w:i/>
          <w:iCs/>
          <w:color w:val="333333"/>
          <w:shd w:val="clear" w:color="auto" w:fill="FFFFFF"/>
        </w:rPr>
        <w:t>MacTiernan and Secretary, Department of Infrastructure and Regional Development (Freedom of Information)</w:t>
      </w:r>
      <w:r w:rsidR="009F6EB1" w:rsidRPr="00173CE5">
        <w:rPr>
          <w:rFonts w:ascii="Source Sans Pro" w:hAnsi="Source Sans Pro"/>
          <w:color w:val="333333"/>
          <w:shd w:val="clear" w:color="auto" w:fill="FFFFFF"/>
        </w:rPr>
        <w:t xml:space="preserve"> </w:t>
      </w:r>
      <w:hyperlink r:id="rId9" w:history="1">
        <w:r w:rsidR="009F6EB1" w:rsidRPr="00173CE5">
          <w:rPr>
            <w:rStyle w:val="Hyperlink"/>
            <w:rFonts w:ascii="Source Sans Pro" w:hAnsi="Source Sans Pro"/>
            <w:color w:val="007BAB" w:themeColor="text2" w:themeTint="BF"/>
            <w:shd w:val="clear" w:color="auto" w:fill="FFFFFF"/>
          </w:rPr>
          <w:t>[2016] AATA 506</w:t>
        </w:r>
      </w:hyperlink>
      <w:r w:rsidR="009F6EB1" w:rsidRPr="00173CE5">
        <w:rPr>
          <w:rFonts w:ascii="Source Sans Pro" w:hAnsi="Source Sans Pro"/>
          <w:color w:val="333333"/>
          <w:shd w:val="clear" w:color="auto" w:fill="FFFFFF"/>
        </w:rPr>
        <w:t xml:space="preserve"> [</w:t>
      </w:r>
      <w:r w:rsidR="0070460B">
        <w:rPr>
          <w:rFonts w:ascii="Source Sans Pro" w:hAnsi="Source Sans Pro"/>
          <w:color w:val="333333"/>
          <w:shd w:val="clear" w:color="auto" w:fill="FFFFFF"/>
        </w:rPr>
        <w:t>63</w:t>
      </w:r>
      <w:r w:rsidR="009F6EB1" w:rsidRPr="00173CE5">
        <w:rPr>
          <w:rFonts w:ascii="Source Sans Pro" w:hAnsi="Source Sans Pro"/>
          <w:color w:val="333333"/>
          <w:shd w:val="clear" w:color="auto" w:fill="FFFFFF"/>
        </w:rPr>
        <w:t xml:space="preserve">]; </w:t>
      </w:r>
      <w:r w:rsidR="00155D49" w:rsidRPr="005C4B27">
        <w:rPr>
          <w:rFonts w:ascii="Source Sans Pro" w:hAnsi="Source Sans Pro"/>
          <w:i/>
          <w:iCs/>
          <w:color w:val="333333"/>
          <w:shd w:val="clear" w:color="auto" w:fill="FFFFFF"/>
        </w:rPr>
        <w:t>Dan Conifer and Department of the Prime Minister and Cabinet (No. 2) (Freedom of information)</w:t>
      </w:r>
      <w:r w:rsidR="00155D49" w:rsidRPr="005C4B27">
        <w:rPr>
          <w:rFonts w:ascii="Source Sans Pro" w:hAnsi="Source Sans Pro"/>
          <w:color w:val="333333"/>
          <w:shd w:val="clear" w:color="auto" w:fill="FFFFFF"/>
        </w:rPr>
        <w:t> </w:t>
      </w:r>
      <w:hyperlink r:id="rId10" w:tooltip="View Case" w:history="1">
        <w:r w:rsidR="00155D49" w:rsidRPr="009712D1">
          <w:rPr>
            <w:rStyle w:val="Hyperlink"/>
            <w:rFonts w:ascii="Source Sans Pro" w:hAnsi="Source Sans Pro"/>
            <w:color w:val="007BAB" w:themeColor="text2" w:themeTint="BF"/>
          </w:rPr>
          <w:t>[2017] AICmr 117</w:t>
        </w:r>
      </w:hyperlink>
      <w:r w:rsidR="009712D1" w:rsidRPr="00DC44B4">
        <w:rPr>
          <w:rFonts w:ascii="Source Sans Pro" w:hAnsi="Source Sans Pro"/>
          <w:shd w:val="clear" w:color="auto" w:fill="FFFFFF"/>
        </w:rPr>
        <w:t xml:space="preserve"> [1</w:t>
      </w:r>
      <w:r w:rsidR="00155D49" w:rsidRPr="005C4B27">
        <w:rPr>
          <w:rFonts w:ascii="Source Sans Pro" w:hAnsi="Source Sans Pro"/>
          <w:color w:val="333333"/>
          <w:shd w:val="clear" w:color="auto" w:fill="FFFFFF"/>
        </w:rPr>
        <w:t>5]</w:t>
      </w:r>
      <w:r w:rsidR="005C4B27">
        <w:rPr>
          <w:rFonts w:ascii="Source Sans Pro" w:hAnsi="Source Sans Pro"/>
          <w:color w:val="333333"/>
          <w:shd w:val="clear" w:color="auto" w:fill="FFFFFF"/>
        </w:rPr>
        <w:t xml:space="preserve">; </w:t>
      </w:r>
      <w:r w:rsidR="005C4B27">
        <w:rPr>
          <w:rFonts w:ascii="Source Sans Pro" w:hAnsi="Source Sans Pro"/>
          <w:i/>
          <w:iCs/>
          <w:color w:val="333333"/>
          <w:shd w:val="clear" w:color="auto" w:fill="FFFFFF"/>
        </w:rPr>
        <w:t>‘ABH’ and Australian Transport Safety Bureau (Freedom of information)</w:t>
      </w:r>
      <w:r w:rsidR="005C4B27">
        <w:rPr>
          <w:rFonts w:ascii="Source Sans Pro" w:hAnsi="Source Sans Pro"/>
          <w:color w:val="333333"/>
          <w:shd w:val="clear" w:color="auto" w:fill="FFFFFF"/>
        </w:rPr>
        <w:t> </w:t>
      </w:r>
      <w:hyperlink r:id="rId11" w:tooltip="View Case" w:history="1">
        <w:r w:rsidR="005C4B27" w:rsidRPr="00DC44B4">
          <w:rPr>
            <w:rStyle w:val="Hyperlink"/>
            <w:rFonts w:ascii="Source Sans Pro" w:hAnsi="Source Sans Pro"/>
            <w:color w:val="007BAB" w:themeColor="text2" w:themeTint="BF"/>
            <w:shd w:val="clear" w:color="auto" w:fill="FFFFFF"/>
          </w:rPr>
          <w:t>[2022] AICmr 27</w:t>
        </w:r>
      </w:hyperlink>
      <w:r w:rsidR="00624551">
        <w:rPr>
          <w:color w:val="007BAB" w:themeColor="text2" w:themeTint="BF"/>
        </w:rPr>
        <w:t xml:space="preserve"> </w:t>
      </w:r>
      <w:r w:rsidR="005C4B27">
        <w:rPr>
          <w:rFonts w:ascii="Source Sans Pro" w:hAnsi="Source Sans Pro"/>
          <w:color w:val="333333"/>
          <w:shd w:val="clear" w:color="auto" w:fill="FFFFFF"/>
        </w:rPr>
        <w:t>[27]</w:t>
      </w:r>
      <w:r w:rsidR="009E2BA5">
        <w:rPr>
          <w:rFonts w:ascii="Source Sans Pro" w:hAnsi="Source Sans Pro"/>
          <w:color w:val="333333"/>
          <w:shd w:val="clear" w:color="auto" w:fill="FFFFFF"/>
        </w:rPr>
        <w:t xml:space="preserve">; </w:t>
      </w:r>
      <w:r w:rsidR="009E2BA5">
        <w:rPr>
          <w:rFonts w:ascii="Source Sans Pro" w:hAnsi="Source Sans Pro"/>
          <w:i/>
          <w:iCs/>
          <w:color w:val="333333"/>
          <w:shd w:val="clear" w:color="auto" w:fill="FFFFFF"/>
        </w:rPr>
        <w:t>‘ZT’</w:t>
      </w:r>
      <w:r w:rsidR="00624551">
        <w:rPr>
          <w:rFonts w:ascii="Source Sans Pro" w:hAnsi="Source Sans Pro"/>
          <w:i/>
          <w:iCs/>
          <w:color w:val="333333"/>
          <w:shd w:val="clear" w:color="auto" w:fill="FFFFFF"/>
        </w:rPr>
        <w:t xml:space="preserve"> </w:t>
      </w:r>
      <w:r w:rsidR="009E2BA5">
        <w:rPr>
          <w:rFonts w:ascii="Source Sans Pro" w:hAnsi="Source Sans Pro"/>
          <w:i/>
          <w:iCs/>
          <w:color w:val="333333"/>
          <w:shd w:val="clear" w:color="auto" w:fill="FFFFFF"/>
        </w:rPr>
        <w:t>and the Department of Home Affairs</w:t>
      </w:r>
      <w:r w:rsidR="009E2BA5">
        <w:rPr>
          <w:rFonts w:ascii="Source Sans Pro" w:hAnsi="Source Sans Pro"/>
          <w:color w:val="333333"/>
          <w:shd w:val="clear" w:color="auto" w:fill="FFFFFF"/>
        </w:rPr>
        <w:t> </w:t>
      </w:r>
      <w:hyperlink r:id="rId12" w:tooltip="View Case" w:history="1">
        <w:r w:rsidR="009E2BA5" w:rsidRPr="00DC44B4">
          <w:rPr>
            <w:rStyle w:val="Hyperlink"/>
            <w:rFonts w:ascii="Source Sans Pro" w:hAnsi="Source Sans Pro"/>
            <w:color w:val="007BAB" w:themeColor="text2" w:themeTint="BF"/>
            <w:shd w:val="clear" w:color="auto" w:fill="FFFFFF"/>
          </w:rPr>
          <w:t>[2022] AICmr 4</w:t>
        </w:r>
      </w:hyperlink>
      <w:r w:rsidR="009E2BA5">
        <w:rPr>
          <w:rFonts w:ascii="Source Sans Pro" w:hAnsi="Source Sans Pro"/>
          <w:color w:val="333333"/>
          <w:shd w:val="clear" w:color="auto" w:fill="FFFFFF"/>
        </w:rPr>
        <w:t> [23].</w:t>
      </w:r>
      <w:r w:rsidR="00696324">
        <w:t xml:space="preserve"> See also discussion of class claims in</w:t>
      </w:r>
      <w:r w:rsidR="00696324" w:rsidRPr="007A1671">
        <w:t xml:space="preserve"> </w:t>
      </w:r>
      <w:r w:rsidR="007A1671" w:rsidRPr="002E6DBD">
        <w:rPr>
          <w:rFonts w:ascii="Source Sans Pro" w:hAnsi="Source Sans Pro"/>
          <w:i/>
          <w:iCs/>
          <w:color w:val="333333"/>
          <w:shd w:val="clear" w:color="auto" w:fill="FFFFFF"/>
        </w:rPr>
        <w:t>Patrick and Secretary, Department of Prime Minister and Cabinet (Freedom of Information)</w:t>
      </w:r>
      <w:r w:rsidR="007A1671" w:rsidRPr="002E6DBD">
        <w:rPr>
          <w:rFonts w:ascii="Source Sans Pro" w:hAnsi="Source Sans Pro"/>
          <w:color w:val="333333"/>
          <w:shd w:val="clear" w:color="auto" w:fill="FFFFFF"/>
        </w:rPr>
        <w:t> </w:t>
      </w:r>
      <w:hyperlink r:id="rId13" w:tooltip="View Case" w:history="1">
        <w:r w:rsidR="007A1671" w:rsidRPr="002E6DBD">
          <w:rPr>
            <w:rStyle w:val="Hyperlink"/>
            <w:rFonts w:ascii="Source Sans Pro" w:hAnsi="Source Sans Pro"/>
            <w:color w:val="007BAB" w:themeColor="text2" w:themeTint="BF"/>
          </w:rPr>
          <w:t>[2021] AATA 2719</w:t>
        </w:r>
      </w:hyperlink>
      <w:r w:rsidR="007A1671" w:rsidRPr="002E6DBD">
        <w:rPr>
          <w:rFonts w:ascii="Source Sans Pro" w:hAnsi="Source Sans Pro"/>
          <w:color w:val="333333"/>
          <w:shd w:val="clear" w:color="auto" w:fill="FFFFFF"/>
        </w:rPr>
        <w:t xml:space="preserve"> [230]–[244].</w:t>
      </w:r>
    </w:p>
  </w:footnote>
  <w:footnote w:id="14">
    <w:p w14:paraId="01DACF3F" w14:textId="77777777" w:rsidR="00D32726" w:rsidRPr="006C3793" w:rsidRDefault="00D32726" w:rsidP="002709DD">
      <w:pPr>
        <w:pStyle w:val="FootnoteText"/>
        <w:tabs>
          <w:tab w:val="left" w:pos="284"/>
        </w:tabs>
        <w:ind w:left="284" w:hanging="284"/>
        <w:rPr>
          <w:szCs w:val="18"/>
        </w:rPr>
      </w:pPr>
      <w:r w:rsidRPr="003E26B2">
        <w:rPr>
          <w:rStyle w:val="FootnoteReference"/>
        </w:rPr>
        <w:footnoteRef/>
      </w:r>
      <w:r w:rsidRPr="003E26B2">
        <w:t xml:space="preserve"> </w:t>
      </w:r>
      <w:r w:rsidRPr="003E26B2">
        <w:tab/>
      </w:r>
      <w:r w:rsidRPr="006C3793">
        <w:rPr>
          <w:szCs w:val="18"/>
        </w:rPr>
        <w:t xml:space="preserve">The test ‘would or could reasonably be expected’ has been discussed in various decisions. For example see </w:t>
      </w:r>
      <w:r w:rsidRPr="006C3793">
        <w:rPr>
          <w:i/>
          <w:szCs w:val="18"/>
        </w:rPr>
        <w:t>Bell and Secretary, Department of Health (Freedom of information)</w:t>
      </w:r>
      <w:r w:rsidRPr="006C3793">
        <w:rPr>
          <w:szCs w:val="18"/>
        </w:rPr>
        <w:t xml:space="preserve"> </w:t>
      </w:r>
      <w:hyperlink r:id="rId14" w:history="1">
        <w:r w:rsidRPr="006C3793">
          <w:rPr>
            <w:rStyle w:val="Hyperlink"/>
            <w:szCs w:val="18"/>
          </w:rPr>
          <w:t>[2015] AATA 494</w:t>
        </w:r>
      </w:hyperlink>
      <w:r w:rsidRPr="006C3793">
        <w:rPr>
          <w:szCs w:val="18"/>
        </w:rPr>
        <w:t xml:space="preserve"> [37]; </w:t>
      </w:r>
      <w:r w:rsidRPr="002709DD">
        <w:rPr>
          <w:rStyle w:val="Strong"/>
          <w:rFonts w:cstheme="minorHAnsi"/>
          <w:b w:val="0"/>
          <w:bCs w:val="0"/>
          <w:i/>
          <w:iCs/>
          <w:color w:val="000000" w:themeColor="text1"/>
          <w:szCs w:val="18"/>
        </w:rPr>
        <w:t>Xenophon and Secretary, Department of Defence (Freedom of information</w:t>
      </w:r>
      <w:r w:rsidRPr="006C3793">
        <w:rPr>
          <w:rStyle w:val="Strong"/>
          <w:rFonts w:cstheme="minorHAnsi"/>
          <w:i/>
          <w:iCs/>
          <w:color w:val="000000" w:themeColor="text1"/>
          <w:szCs w:val="18"/>
        </w:rPr>
        <w:t xml:space="preserve">) </w:t>
      </w:r>
      <w:hyperlink r:id="rId15" w:history="1">
        <w:r w:rsidRPr="006C3793">
          <w:rPr>
            <w:rStyle w:val="Hyperlink"/>
            <w:rFonts w:cstheme="minorHAnsi"/>
            <w:szCs w:val="18"/>
          </w:rPr>
          <w:t>[2019] AATA 3667</w:t>
        </w:r>
      </w:hyperlink>
      <w:r w:rsidRPr="006C3793">
        <w:rPr>
          <w:rStyle w:val="Hyperlink"/>
          <w:rFonts w:cstheme="minorHAnsi"/>
          <w:szCs w:val="18"/>
        </w:rPr>
        <w:t xml:space="preserve"> [98]–[103]</w:t>
      </w:r>
      <w:r w:rsidRPr="006C3793">
        <w:rPr>
          <w:szCs w:val="18"/>
        </w:rPr>
        <w:t>.</w:t>
      </w:r>
    </w:p>
  </w:footnote>
  <w:footnote w:id="15">
    <w:p w14:paraId="424D5C02" w14:textId="77777777" w:rsidR="00D32726" w:rsidRPr="006C3793" w:rsidRDefault="00D32726" w:rsidP="002709DD">
      <w:pPr>
        <w:pStyle w:val="FootnoteText"/>
        <w:tabs>
          <w:tab w:val="left" w:pos="284"/>
        </w:tabs>
        <w:rPr>
          <w:szCs w:val="18"/>
        </w:rPr>
      </w:pPr>
      <w:r w:rsidRPr="006C3793">
        <w:rPr>
          <w:rStyle w:val="FootnoteReference"/>
          <w:szCs w:val="18"/>
        </w:rPr>
        <w:footnoteRef/>
      </w:r>
      <w:r w:rsidRPr="006C3793">
        <w:rPr>
          <w:szCs w:val="18"/>
        </w:rPr>
        <w:t xml:space="preserve"> </w:t>
      </w:r>
      <w:r w:rsidRPr="006C3793">
        <w:rPr>
          <w:szCs w:val="18"/>
        </w:rPr>
        <w:tab/>
      </w:r>
      <w:r w:rsidRPr="006C3793">
        <w:rPr>
          <w:i/>
          <w:spacing w:val="-1"/>
          <w:szCs w:val="18"/>
        </w:rPr>
        <w:t>Re</w:t>
      </w:r>
      <w:r w:rsidRPr="006C3793">
        <w:rPr>
          <w:i/>
          <w:spacing w:val="-6"/>
          <w:szCs w:val="18"/>
        </w:rPr>
        <w:t xml:space="preserve"> </w:t>
      </w:r>
      <w:bookmarkStart w:id="25" w:name="_Hlk14711046"/>
      <w:r w:rsidRPr="006C3793">
        <w:rPr>
          <w:i/>
          <w:szCs w:val="18"/>
        </w:rPr>
        <w:t>Maksimovic</w:t>
      </w:r>
      <w:r w:rsidRPr="006C3793">
        <w:rPr>
          <w:i/>
          <w:spacing w:val="-6"/>
          <w:szCs w:val="18"/>
        </w:rPr>
        <w:t xml:space="preserve"> </w:t>
      </w:r>
      <w:r w:rsidRPr="006C3793">
        <w:rPr>
          <w:i/>
          <w:szCs w:val="18"/>
        </w:rPr>
        <w:t xml:space="preserve">and </w:t>
      </w:r>
      <w:r w:rsidRPr="006C3793">
        <w:rPr>
          <w:i/>
          <w:spacing w:val="-1"/>
          <w:szCs w:val="18"/>
        </w:rPr>
        <w:t>Australian</w:t>
      </w:r>
      <w:r w:rsidRPr="006C3793">
        <w:rPr>
          <w:i/>
          <w:spacing w:val="-6"/>
          <w:szCs w:val="18"/>
        </w:rPr>
        <w:t xml:space="preserve"> </w:t>
      </w:r>
      <w:r w:rsidRPr="006C3793">
        <w:rPr>
          <w:i/>
          <w:spacing w:val="-1"/>
          <w:szCs w:val="18"/>
        </w:rPr>
        <w:t>Customs</w:t>
      </w:r>
      <w:r w:rsidRPr="006C3793">
        <w:rPr>
          <w:i/>
          <w:spacing w:val="-7"/>
          <w:szCs w:val="18"/>
        </w:rPr>
        <w:t xml:space="preserve"> </w:t>
      </w:r>
      <w:r w:rsidRPr="006C3793">
        <w:rPr>
          <w:i/>
          <w:spacing w:val="-1"/>
          <w:szCs w:val="18"/>
        </w:rPr>
        <w:t>Service</w:t>
      </w:r>
      <w:r w:rsidRPr="006C3793">
        <w:rPr>
          <w:i/>
          <w:spacing w:val="-3"/>
          <w:szCs w:val="18"/>
        </w:rPr>
        <w:t xml:space="preserve"> </w:t>
      </w:r>
      <w:hyperlink r:id="rId16" w:history="1">
        <w:r w:rsidRPr="006C3793">
          <w:rPr>
            <w:rStyle w:val="Hyperlink"/>
            <w:spacing w:val="-1"/>
            <w:szCs w:val="18"/>
          </w:rPr>
          <w:t>[2009]</w:t>
        </w:r>
        <w:r w:rsidRPr="006C3793">
          <w:rPr>
            <w:rStyle w:val="Hyperlink"/>
            <w:spacing w:val="-7"/>
            <w:szCs w:val="18"/>
          </w:rPr>
          <w:t xml:space="preserve"> </w:t>
        </w:r>
        <w:r w:rsidRPr="006C3793">
          <w:rPr>
            <w:rStyle w:val="Hyperlink"/>
            <w:szCs w:val="18"/>
          </w:rPr>
          <w:t>AATA 28</w:t>
        </w:r>
        <w:bookmarkEnd w:id="25"/>
      </w:hyperlink>
      <w:r w:rsidRPr="006C3793">
        <w:rPr>
          <w:szCs w:val="18"/>
        </w:rPr>
        <w:t xml:space="preserve"> [28].</w:t>
      </w:r>
    </w:p>
  </w:footnote>
  <w:footnote w:id="16">
    <w:p w14:paraId="2CCF9471" w14:textId="1CFE96FD" w:rsidR="00D32726" w:rsidRPr="006C3793" w:rsidRDefault="00D32726" w:rsidP="002709DD">
      <w:pPr>
        <w:pStyle w:val="FootnoteText"/>
        <w:tabs>
          <w:tab w:val="left" w:pos="284"/>
        </w:tabs>
        <w:ind w:left="284" w:hanging="284"/>
        <w:rPr>
          <w:szCs w:val="18"/>
        </w:rPr>
      </w:pPr>
      <w:r w:rsidRPr="006C3793">
        <w:rPr>
          <w:rStyle w:val="FootnoteReference"/>
          <w:szCs w:val="18"/>
        </w:rPr>
        <w:footnoteRef/>
      </w:r>
      <w:r w:rsidRPr="006C3793">
        <w:rPr>
          <w:szCs w:val="18"/>
        </w:rPr>
        <w:t xml:space="preserve"> </w:t>
      </w:r>
      <w:r w:rsidRPr="006C3793">
        <w:rPr>
          <w:szCs w:val="18"/>
        </w:rPr>
        <w:tab/>
      </w:r>
      <w:bookmarkStart w:id="27" w:name="_Hlk14711060"/>
      <w:r w:rsidRPr="006C3793">
        <w:rPr>
          <w:i/>
          <w:szCs w:val="18"/>
        </w:rPr>
        <w:t>Re</w:t>
      </w:r>
      <w:r w:rsidRPr="006C3793">
        <w:rPr>
          <w:i/>
          <w:spacing w:val="-6"/>
          <w:szCs w:val="18"/>
        </w:rPr>
        <w:t xml:space="preserve"> </w:t>
      </w:r>
      <w:r w:rsidRPr="006C3793">
        <w:rPr>
          <w:i/>
          <w:szCs w:val="18"/>
        </w:rPr>
        <w:t>News</w:t>
      </w:r>
      <w:r w:rsidRPr="006C3793">
        <w:rPr>
          <w:i/>
          <w:spacing w:val="-6"/>
          <w:szCs w:val="18"/>
        </w:rPr>
        <w:t xml:space="preserve"> </w:t>
      </w:r>
      <w:r w:rsidRPr="006C3793">
        <w:rPr>
          <w:i/>
          <w:spacing w:val="-1"/>
          <w:szCs w:val="18"/>
        </w:rPr>
        <w:t>Corporation</w:t>
      </w:r>
      <w:r w:rsidRPr="006C3793">
        <w:rPr>
          <w:i/>
          <w:spacing w:val="-6"/>
          <w:szCs w:val="18"/>
        </w:rPr>
        <w:t xml:space="preserve"> </w:t>
      </w:r>
      <w:r w:rsidRPr="006C3793">
        <w:rPr>
          <w:i/>
          <w:szCs w:val="18"/>
        </w:rPr>
        <w:t>Limited v</w:t>
      </w:r>
      <w:r w:rsidRPr="006C3793">
        <w:rPr>
          <w:i/>
          <w:spacing w:val="-2"/>
          <w:szCs w:val="18"/>
        </w:rPr>
        <w:t xml:space="preserve"> </w:t>
      </w:r>
      <w:r w:rsidRPr="006C3793">
        <w:rPr>
          <w:i/>
          <w:szCs w:val="18"/>
        </w:rPr>
        <w:t>National</w:t>
      </w:r>
      <w:r w:rsidRPr="006C3793">
        <w:rPr>
          <w:i/>
          <w:spacing w:val="-7"/>
          <w:szCs w:val="18"/>
        </w:rPr>
        <w:t xml:space="preserve"> </w:t>
      </w:r>
      <w:r w:rsidRPr="006C3793">
        <w:rPr>
          <w:i/>
          <w:spacing w:val="-1"/>
          <w:szCs w:val="18"/>
        </w:rPr>
        <w:t>Companies</w:t>
      </w:r>
      <w:r w:rsidRPr="006C3793">
        <w:rPr>
          <w:i/>
          <w:spacing w:val="-6"/>
          <w:szCs w:val="18"/>
        </w:rPr>
        <w:t xml:space="preserve"> </w:t>
      </w:r>
      <w:r w:rsidRPr="006C3793">
        <w:rPr>
          <w:i/>
          <w:szCs w:val="18"/>
        </w:rPr>
        <w:t>and</w:t>
      </w:r>
      <w:r w:rsidRPr="006C3793">
        <w:rPr>
          <w:i/>
          <w:spacing w:val="-7"/>
          <w:szCs w:val="18"/>
        </w:rPr>
        <w:t xml:space="preserve"> </w:t>
      </w:r>
      <w:r w:rsidRPr="006C3793">
        <w:rPr>
          <w:i/>
          <w:spacing w:val="-1"/>
          <w:szCs w:val="18"/>
        </w:rPr>
        <w:t>Securities</w:t>
      </w:r>
      <w:r w:rsidRPr="006C3793">
        <w:rPr>
          <w:i/>
          <w:spacing w:val="-7"/>
          <w:szCs w:val="18"/>
        </w:rPr>
        <w:t xml:space="preserve"> </w:t>
      </w:r>
      <w:r w:rsidRPr="006C3793">
        <w:rPr>
          <w:i/>
          <w:spacing w:val="-1"/>
          <w:szCs w:val="18"/>
        </w:rPr>
        <w:t xml:space="preserve">Commission </w:t>
      </w:r>
      <w:hyperlink r:id="rId17" w:history="1">
        <w:r w:rsidRPr="006C3793">
          <w:rPr>
            <w:rStyle w:val="Hyperlink"/>
            <w:szCs w:val="18"/>
          </w:rPr>
          <w:t>[1984] FCA 400</w:t>
        </w:r>
      </w:hyperlink>
      <w:r w:rsidRPr="006C3793">
        <w:rPr>
          <w:szCs w:val="18"/>
        </w:rPr>
        <w:t xml:space="preserve">; </w:t>
      </w:r>
      <w:r w:rsidRPr="006C3793">
        <w:rPr>
          <w:spacing w:val="-1"/>
          <w:szCs w:val="18"/>
        </w:rPr>
        <w:t>(1984)</w:t>
      </w:r>
      <w:r w:rsidRPr="006C3793">
        <w:rPr>
          <w:spacing w:val="-6"/>
          <w:szCs w:val="18"/>
        </w:rPr>
        <w:t xml:space="preserve"> </w:t>
      </w:r>
      <w:r w:rsidRPr="006C3793">
        <w:rPr>
          <w:szCs w:val="18"/>
        </w:rPr>
        <w:t>5</w:t>
      </w:r>
      <w:r w:rsidRPr="006C3793">
        <w:rPr>
          <w:spacing w:val="-7"/>
          <w:szCs w:val="18"/>
        </w:rPr>
        <w:t xml:space="preserve"> </w:t>
      </w:r>
      <w:r w:rsidRPr="006C3793">
        <w:rPr>
          <w:szCs w:val="18"/>
        </w:rPr>
        <w:t>FCR</w:t>
      </w:r>
      <w:r w:rsidRPr="006C3793">
        <w:rPr>
          <w:spacing w:val="-6"/>
          <w:szCs w:val="18"/>
        </w:rPr>
        <w:t xml:space="preserve"> </w:t>
      </w:r>
      <w:r w:rsidRPr="006C3793">
        <w:rPr>
          <w:szCs w:val="18"/>
        </w:rPr>
        <w:t xml:space="preserve">88 per Fox and Woodward JJ; </w:t>
      </w:r>
      <w:r w:rsidRPr="006C3793">
        <w:rPr>
          <w:i/>
          <w:iCs/>
          <w:spacing w:val="-1"/>
          <w:szCs w:val="18"/>
        </w:rPr>
        <w:t xml:space="preserve">Re Maher and Attorney-General’s Department </w:t>
      </w:r>
      <w:hyperlink r:id="rId18" w:history="1">
        <w:r w:rsidRPr="006C3793">
          <w:rPr>
            <w:rStyle w:val="Hyperlink"/>
            <w:szCs w:val="18"/>
          </w:rPr>
          <w:t>[1985] AATA 180</w:t>
        </w:r>
      </w:hyperlink>
      <w:r w:rsidRPr="006C3793">
        <w:rPr>
          <w:szCs w:val="18"/>
        </w:rPr>
        <w:t xml:space="preserve"> [41];</w:t>
      </w:r>
      <w:r w:rsidRPr="006C3793">
        <w:rPr>
          <w:i/>
          <w:iCs/>
          <w:spacing w:val="-1"/>
          <w:szCs w:val="18"/>
        </w:rPr>
        <w:t xml:space="preserve"> </w:t>
      </w:r>
      <w:hyperlink r:id="rId19" w:history="1">
        <w:r w:rsidRPr="006C3793">
          <w:rPr>
            <w:rStyle w:val="Hyperlink"/>
            <w:spacing w:val="-1"/>
            <w:szCs w:val="18"/>
          </w:rPr>
          <w:t>(1985) 7 ALD 731</w:t>
        </w:r>
      </w:hyperlink>
      <w:r w:rsidRPr="006C3793">
        <w:rPr>
          <w:spacing w:val="-1"/>
          <w:szCs w:val="18"/>
        </w:rPr>
        <w:t xml:space="preserve"> at 742.</w:t>
      </w:r>
    </w:p>
    <w:bookmarkEnd w:id="27"/>
  </w:footnote>
  <w:footnote w:id="17">
    <w:p w14:paraId="327E8A1E" w14:textId="3752FC8E" w:rsidR="00D32726" w:rsidRPr="006C3793" w:rsidRDefault="00D32726" w:rsidP="002709DD">
      <w:pPr>
        <w:pStyle w:val="FootnoteText"/>
        <w:tabs>
          <w:tab w:val="left" w:pos="284"/>
        </w:tabs>
        <w:ind w:left="284" w:hanging="284"/>
        <w:rPr>
          <w:szCs w:val="18"/>
        </w:rPr>
      </w:pPr>
      <w:r w:rsidRPr="006C3793">
        <w:rPr>
          <w:rStyle w:val="FootnoteReference"/>
          <w:szCs w:val="18"/>
        </w:rPr>
        <w:footnoteRef/>
      </w:r>
      <w:r w:rsidRPr="006C3793">
        <w:rPr>
          <w:szCs w:val="18"/>
        </w:rPr>
        <w:t xml:space="preserve"> </w:t>
      </w:r>
      <w:r w:rsidRPr="006C3793">
        <w:rPr>
          <w:szCs w:val="18"/>
        </w:rPr>
        <w:tab/>
      </w:r>
      <w:r w:rsidRPr="006C3793">
        <w:rPr>
          <w:i/>
          <w:spacing w:val="-1"/>
          <w:szCs w:val="18"/>
        </w:rPr>
        <w:t>Chemical</w:t>
      </w:r>
      <w:r w:rsidRPr="006C3793">
        <w:rPr>
          <w:i/>
          <w:spacing w:val="-7"/>
          <w:szCs w:val="18"/>
        </w:rPr>
        <w:t xml:space="preserve"> </w:t>
      </w:r>
      <w:r w:rsidRPr="006C3793">
        <w:rPr>
          <w:i/>
          <w:spacing w:val="-1"/>
          <w:szCs w:val="18"/>
        </w:rPr>
        <w:t>Trustee</w:t>
      </w:r>
      <w:r w:rsidRPr="006C3793">
        <w:rPr>
          <w:i/>
          <w:spacing w:val="-6"/>
          <w:szCs w:val="18"/>
        </w:rPr>
        <w:t xml:space="preserve"> </w:t>
      </w:r>
      <w:r w:rsidRPr="006C3793">
        <w:rPr>
          <w:i/>
          <w:szCs w:val="18"/>
        </w:rPr>
        <w:t>Limited</w:t>
      </w:r>
      <w:r w:rsidRPr="006C3793">
        <w:rPr>
          <w:i/>
          <w:spacing w:val="-6"/>
          <w:szCs w:val="18"/>
        </w:rPr>
        <w:t xml:space="preserve"> </w:t>
      </w:r>
      <w:r w:rsidRPr="006C3793">
        <w:rPr>
          <w:i/>
          <w:szCs w:val="18"/>
        </w:rPr>
        <w:t>and</w:t>
      </w:r>
      <w:r w:rsidRPr="006C3793">
        <w:rPr>
          <w:i/>
          <w:spacing w:val="-6"/>
          <w:szCs w:val="18"/>
        </w:rPr>
        <w:t xml:space="preserve"> </w:t>
      </w:r>
      <w:r w:rsidRPr="006C3793">
        <w:rPr>
          <w:i/>
          <w:szCs w:val="18"/>
        </w:rPr>
        <w:t>Ors</w:t>
      </w:r>
      <w:r w:rsidRPr="006C3793">
        <w:rPr>
          <w:i/>
          <w:spacing w:val="-7"/>
          <w:szCs w:val="18"/>
        </w:rPr>
        <w:t xml:space="preserve"> </w:t>
      </w:r>
      <w:r w:rsidRPr="006C3793">
        <w:rPr>
          <w:i/>
          <w:szCs w:val="18"/>
        </w:rPr>
        <w:t>and</w:t>
      </w:r>
      <w:r w:rsidRPr="006C3793">
        <w:rPr>
          <w:i/>
          <w:spacing w:val="-6"/>
          <w:szCs w:val="18"/>
        </w:rPr>
        <w:t xml:space="preserve"> </w:t>
      </w:r>
      <w:r w:rsidRPr="006C3793">
        <w:rPr>
          <w:i/>
          <w:spacing w:val="-1"/>
          <w:szCs w:val="18"/>
        </w:rPr>
        <w:t>Commissioner</w:t>
      </w:r>
      <w:r w:rsidRPr="006C3793">
        <w:rPr>
          <w:i/>
          <w:spacing w:val="-8"/>
          <w:szCs w:val="18"/>
        </w:rPr>
        <w:t xml:space="preserve"> </w:t>
      </w:r>
      <w:r w:rsidRPr="006C3793">
        <w:rPr>
          <w:i/>
          <w:szCs w:val="18"/>
        </w:rPr>
        <w:t xml:space="preserve">of </w:t>
      </w:r>
      <w:r w:rsidRPr="006C3793">
        <w:rPr>
          <w:i/>
          <w:spacing w:val="-1"/>
          <w:szCs w:val="18"/>
        </w:rPr>
        <w:t>Taxation</w:t>
      </w:r>
      <w:r w:rsidRPr="006C3793">
        <w:rPr>
          <w:i/>
          <w:spacing w:val="-6"/>
          <w:szCs w:val="18"/>
        </w:rPr>
        <w:t xml:space="preserve"> </w:t>
      </w:r>
      <w:r w:rsidRPr="006C3793">
        <w:rPr>
          <w:i/>
          <w:szCs w:val="18"/>
        </w:rPr>
        <w:t>and</w:t>
      </w:r>
      <w:r w:rsidRPr="006C3793">
        <w:rPr>
          <w:i/>
          <w:spacing w:val="-6"/>
          <w:szCs w:val="18"/>
        </w:rPr>
        <w:t xml:space="preserve"> </w:t>
      </w:r>
      <w:r w:rsidRPr="006C3793">
        <w:rPr>
          <w:i/>
          <w:spacing w:val="-1"/>
          <w:szCs w:val="18"/>
        </w:rPr>
        <w:t>Chief</w:t>
      </w:r>
      <w:r w:rsidRPr="006C3793">
        <w:rPr>
          <w:i/>
          <w:spacing w:val="-6"/>
          <w:szCs w:val="18"/>
        </w:rPr>
        <w:t xml:space="preserve"> </w:t>
      </w:r>
      <w:r w:rsidRPr="006C3793">
        <w:rPr>
          <w:i/>
          <w:spacing w:val="-1"/>
          <w:szCs w:val="18"/>
        </w:rPr>
        <w:t>Executive</w:t>
      </w:r>
      <w:r w:rsidRPr="006C3793">
        <w:rPr>
          <w:i/>
          <w:spacing w:val="-6"/>
          <w:szCs w:val="18"/>
        </w:rPr>
        <w:t xml:space="preserve"> </w:t>
      </w:r>
      <w:r w:rsidRPr="006C3793">
        <w:rPr>
          <w:i/>
          <w:spacing w:val="-1"/>
          <w:szCs w:val="18"/>
        </w:rPr>
        <w:t>Officer,</w:t>
      </w:r>
      <w:r w:rsidRPr="006C3793">
        <w:rPr>
          <w:i/>
          <w:spacing w:val="-6"/>
          <w:szCs w:val="18"/>
        </w:rPr>
        <w:t xml:space="preserve"> </w:t>
      </w:r>
      <w:r w:rsidRPr="006C3793">
        <w:rPr>
          <w:i/>
          <w:szCs w:val="18"/>
        </w:rPr>
        <w:t>AUSTRAC</w:t>
      </w:r>
      <w:r w:rsidR="00FB4D67">
        <w:rPr>
          <w:i/>
          <w:szCs w:val="18"/>
        </w:rPr>
        <w:t> </w:t>
      </w:r>
      <w:r w:rsidRPr="006C3793">
        <w:rPr>
          <w:i/>
          <w:spacing w:val="-1"/>
          <w:szCs w:val="18"/>
        </w:rPr>
        <w:t>(Joined</w:t>
      </w:r>
      <w:r w:rsidRPr="006C3793">
        <w:rPr>
          <w:i/>
          <w:szCs w:val="18"/>
        </w:rPr>
        <w:t xml:space="preserve"> </w:t>
      </w:r>
      <w:r w:rsidRPr="006C3793">
        <w:rPr>
          <w:i/>
          <w:spacing w:val="-1"/>
          <w:szCs w:val="18"/>
        </w:rPr>
        <w:t>Party)</w:t>
      </w:r>
      <w:r w:rsidRPr="006C3793">
        <w:rPr>
          <w:i/>
          <w:szCs w:val="18"/>
        </w:rPr>
        <w:t xml:space="preserve"> </w:t>
      </w:r>
      <w:hyperlink r:id="rId20" w:history="1">
        <w:r w:rsidRPr="006C3793">
          <w:rPr>
            <w:rStyle w:val="Hyperlink"/>
            <w:szCs w:val="18"/>
          </w:rPr>
          <w:t>[2013]</w:t>
        </w:r>
        <w:r w:rsidRPr="006C3793">
          <w:rPr>
            <w:rStyle w:val="Hyperlink"/>
            <w:spacing w:val="-6"/>
            <w:szCs w:val="18"/>
          </w:rPr>
          <w:t xml:space="preserve"> </w:t>
        </w:r>
        <w:r w:rsidRPr="006C3793">
          <w:rPr>
            <w:rStyle w:val="Hyperlink"/>
            <w:szCs w:val="18"/>
          </w:rPr>
          <w:t>AATA</w:t>
        </w:r>
        <w:r w:rsidRPr="006C3793">
          <w:rPr>
            <w:rStyle w:val="Hyperlink"/>
            <w:spacing w:val="-6"/>
            <w:szCs w:val="18"/>
          </w:rPr>
          <w:t xml:space="preserve"> </w:t>
        </w:r>
        <w:r w:rsidRPr="006C3793">
          <w:rPr>
            <w:rStyle w:val="Hyperlink"/>
            <w:szCs w:val="18"/>
          </w:rPr>
          <w:t>623</w:t>
        </w:r>
      </w:hyperlink>
      <w:r w:rsidRPr="006C3793">
        <w:rPr>
          <w:spacing w:val="-2"/>
          <w:szCs w:val="18"/>
        </w:rPr>
        <w:t xml:space="preserve"> </w:t>
      </w:r>
      <w:r w:rsidRPr="006C3793">
        <w:rPr>
          <w:spacing w:val="-1"/>
          <w:szCs w:val="18"/>
        </w:rPr>
        <w:t>[79].</w:t>
      </w:r>
    </w:p>
  </w:footnote>
  <w:footnote w:id="18">
    <w:p w14:paraId="3B857D49" w14:textId="77777777" w:rsidR="00D32726" w:rsidRPr="006C3793" w:rsidRDefault="00D32726" w:rsidP="002709DD">
      <w:pPr>
        <w:pStyle w:val="FootnoteText"/>
        <w:tabs>
          <w:tab w:val="left" w:pos="284"/>
        </w:tabs>
        <w:rPr>
          <w:szCs w:val="18"/>
        </w:rPr>
      </w:pPr>
      <w:r w:rsidRPr="006C3793">
        <w:rPr>
          <w:rStyle w:val="FootnoteReference"/>
          <w:szCs w:val="18"/>
        </w:rPr>
        <w:footnoteRef/>
      </w:r>
      <w:r w:rsidRPr="006C3793">
        <w:rPr>
          <w:szCs w:val="18"/>
        </w:rPr>
        <w:t xml:space="preserve"> </w:t>
      </w:r>
      <w:r w:rsidRPr="006C3793">
        <w:rPr>
          <w:szCs w:val="18"/>
        </w:rPr>
        <w:tab/>
      </w:r>
      <w:r w:rsidRPr="006C3793">
        <w:rPr>
          <w:spacing w:val="-1"/>
          <w:szCs w:val="18"/>
        </w:rPr>
        <w:t>Sections</w:t>
      </w:r>
      <w:r w:rsidRPr="006C3793">
        <w:rPr>
          <w:spacing w:val="-9"/>
          <w:szCs w:val="18"/>
        </w:rPr>
        <w:t xml:space="preserve"> </w:t>
      </w:r>
      <w:r w:rsidRPr="006C3793">
        <w:rPr>
          <w:szCs w:val="18"/>
        </w:rPr>
        <w:t>47D,</w:t>
      </w:r>
      <w:r w:rsidRPr="006C3793">
        <w:rPr>
          <w:spacing w:val="-6"/>
          <w:szCs w:val="18"/>
        </w:rPr>
        <w:t xml:space="preserve"> </w:t>
      </w:r>
      <w:r w:rsidRPr="006C3793">
        <w:rPr>
          <w:spacing w:val="-1"/>
          <w:szCs w:val="18"/>
        </w:rPr>
        <w:t>47E(c),</w:t>
      </w:r>
      <w:r w:rsidRPr="006C3793">
        <w:rPr>
          <w:spacing w:val="-6"/>
          <w:szCs w:val="18"/>
        </w:rPr>
        <w:t xml:space="preserve"> </w:t>
      </w:r>
      <w:r w:rsidRPr="006C3793">
        <w:rPr>
          <w:spacing w:val="-1"/>
          <w:szCs w:val="18"/>
        </w:rPr>
        <w:t>47E(d) and</w:t>
      </w:r>
      <w:r w:rsidRPr="006C3793">
        <w:rPr>
          <w:spacing w:val="-7"/>
          <w:szCs w:val="18"/>
        </w:rPr>
        <w:t xml:space="preserve"> </w:t>
      </w:r>
      <w:r w:rsidRPr="006C3793">
        <w:rPr>
          <w:spacing w:val="-1"/>
          <w:szCs w:val="18"/>
        </w:rPr>
        <w:t>47J.</w:t>
      </w:r>
    </w:p>
  </w:footnote>
  <w:footnote w:id="19">
    <w:p w14:paraId="0B2431F0" w14:textId="77777777" w:rsidR="00D32726" w:rsidRPr="006C3793" w:rsidRDefault="00D32726" w:rsidP="002709DD">
      <w:pPr>
        <w:pStyle w:val="FootnoteText"/>
        <w:tabs>
          <w:tab w:val="left" w:pos="284"/>
        </w:tabs>
        <w:rPr>
          <w:szCs w:val="18"/>
        </w:rPr>
      </w:pPr>
      <w:r w:rsidRPr="006C3793">
        <w:rPr>
          <w:rStyle w:val="FootnoteReference"/>
          <w:szCs w:val="18"/>
        </w:rPr>
        <w:footnoteRef/>
      </w:r>
      <w:r w:rsidRPr="006C3793">
        <w:rPr>
          <w:szCs w:val="18"/>
        </w:rPr>
        <w:t xml:space="preserve"> </w:t>
      </w:r>
      <w:r w:rsidRPr="006C3793">
        <w:rPr>
          <w:szCs w:val="18"/>
        </w:rPr>
        <w:tab/>
      </w:r>
      <w:r w:rsidRPr="006C3793">
        <w:rPr>
          <w:spacing w:val="-1"/>
          <w:szCs w:val="18"/>
        </w:rPr>
        <w:t>See</w:t>
      </w:r>
      <w:r w:rsidRPr="006C3793">
        <w:rPr>
          <w:spacing w:val="-6"/>
          <w:szCs w:val="18"/>
        </w:rPr>
        <w:t xml:space="preserve"> </w:t>
      </w:r>
      <w:r w:rsidRPr="006C3793">
        <w:rPr>
          <w:i/>
          <w:szCs w:val="18"/>
        </w:rPr>
        <w:t>Re</w:t>
      </w:r>
      <w:r w:rsidRPr="006C3793">
        <w:rPr>
          <w:i/>
          <w:spacing w:val="-2"/>
          <w:szCs w:val="18"/>
        </w:rPr>
        <w:t xml:space="preserve"> </w:t>
      </w:r>
      <w:r w:rsidRPr="006C3793">
        <w:rPr>
          <w:i/>
          <w:spacing w:val="-1"/>
          <w:szCs w:val="18"/>
        </w:rPr>
        <w:t>Thies</w:t>
      </w:r>
      <w:r w:rsidRPr="006C3793">
        <w:rPr>
          <w:i/>
          <w:spacing w:val="-6"/>
          <w:szCs w:val="18"/>
        </w:rPr>
        <w:t xml:space="preserve"> </w:t>
      </w:r>
      <w:r w:rsidRPr="006C3793">
        <w:rPr>
          <w:i/>
          <w:szCs w:val="18"/>
        </w:rPr>
        <w:t xml:space="preserve">and </w:t>
      </w:r>
      <w:r w:rsidRPr="006C3793">
        <w:rPr>
          <w:i/>
          <w:spacing w:val="-1"/>
          <w:szCs w:val="18"/>
        </w:rPr>
        <w:t>Department</w:t>
      </w:r>
      <w:r w:rsidRPr="006C3793">
        <w:rPr>
          <w:i/>
          <w:szCs w:val="18"/>
        </w:rPr>
        <w:t xml:space="preserve"> of Aviation</w:t>
      </w:r>
      <w:r w:rsidRPr="006C3793">
        <w:rPr>
          <w:i/>
          <w:spacing w:val="-1"/>
          <w:szCs w:val="18"/>
        </w:rPr>
        <w:t xml:space="preserve"> </w:t>
      </w:r>
      <w:hyperlink r:id="rId21" w:history="1">
        <w:r w:rsidRPr="006C3793">
          <w:rPr>
            <w:rStyle w:val="Hyperlink"/>
            <w:spacing w:val="-1"/>
            <w:szCs w:val="18"/>
          </w:rPr>
          <w:t>[1986]</w:t>
        </w:r>
        <w:r w:rsidRPr="006C3793">
          <w:rPr>
            <w:rStyle w:val="Hyperlink"/>
            <w:spacing w:val="-6"/>
            <w:szCs w:val="18"/>
          </w:rPr>
          <w:t xml:space="preserve"> </w:t>
        </w:r>
        <w:r w:rsidRPr="006C3793">
          <w:rPr>
            <w:rStyle w:val="Hyperlink"/>
            <w:szCs w:val="18"/>
          </w:rPr>
          <w:t>AATA</w:t>
        </w:r>
        <w:r w:rsidRPr="006C3793">
          <w:rPr>
            <w:rStyle w:val="Hyperlink"/>
            <w:spacing w:val="-6"/>
            <w:szCs w:val="18"/>
          </w:rPr>
          <w:t xml:space="preserve"> </w:t>
        </w:r>
        <w:r w:rsidRPr="006C3793">
          <w:rPr>
            <w:rStyle w:val="Hyperlink"/>
            <w:szCs w:val="18"/>
          </w:rPr>
          <w:t>141</w:t>
        </w:r>
      </w:hyperlink>
      <w:r w:rsidRPr="006C3793">
        <w:rPr>
          <w:szCs w:val="18"/>
        </w:rPr>
        <w:t xml:space="preserve"> [24].</w:t>
      </w:r>
    </w:p>
  </w:footnote>
  <w:footnote w:id="20">
    <w:p w14:paraId="069C848E" w14:textId="77777777" w:rsidR="00D32726" w:rsidRDefault="00D32726" w:rsidP="00BA1702">
      <w:pPr>
        <w:pStyle w:val="FootnoteText"/>
        <w:tabs>
          <w:tab w:val="left" w:pos="284"/>
        </w:tabs>
        <w:ind w:left="284" w:hanging="284"/>
      </w:pPr>
      <w:r w:rsidRPr="003E26B2">
        <w:rPr>
          <w:rStyle w:val="FootnoteReference"/>
        </w:rPr>
        <w:footnoteRef/>
      </w:r>
      <w:r w:rsidRPr="003E26B2">
        <w:t xml:space="preserve"> </w:t>
      </w:r>
      <w:r w:rsidRPr="003E26B2">
        <w:tab/>
      </w:r>
      <w:r w:rsidRPr="003E26B2">
        <w:rPr>
          <w:spacing w:val="-1"/>
        </w:rPr>
        <w:t>See</w:t>
      </w:r>
      <w:r w:rsidRPr="003E26B2">
        <w:rPr>
          <w:spacing w:val="-4"/>
        </w:rPr>
        <w:t xml:space="preserve"> </w:t>
      </w:r>
      <w:bookmarkStart w:id="32" w:name="_Hlk14711211"/>
      <w:r w:rsidRPr="003E26B2">
        <w:rPr>
          <w:i/>
          <w:spacing w:val="-1"/>
        </w:rPr>
        <w:t>Tillmanns</w:t>
      </w:r>
      <w:r w:rsidRPr="003E26B2">
        <w:rPr>
          <w:i/>
          <w:spacing w:val="-6"/>
        </w:rPr>
        <w:t xml:space="preserve"> </w:t>
      </w:r>
      <w:r w:rsidRPr="003E26B2">
        <w:rPr>
          <w:i/>
          <w:spacing w:val="-1"/>
        </w:rPr>
        <w:t>Butcheries</w:t>
      </w:r>
      <w:r w:rsidRPr="003E26B2">
        <w:rPr>
          <w:i/>
          <w:spacing w:val="-6"/>
        </w:rPr>
        <w:t xml:space="preserve"> </w:t>
      </w:r>
      <w:r w:rsidRPr="003E26B2">
        <w:rPr>
          <w:i/>
        </w:rPr>
        <w:t>Pty</w:t>
      </w:r>
      <w:r w:rsidRPr="003E26B2">
        <w:rPr>
          <w:i/>
          <w:spacing w:val="-4"/>
        </w:rPr>
        <w:t xml:space="preserve"> </w:t>
      </w:r>
      <w:r w:rsidRPr="003E26B2">
        <w:rPr>
          <w:i/>
        </w:rPr>
        <w:t xml:space="preserve">Ltd v </w:t>
      </w:r>
      <w:r w:rsidRPr="003E26B2">
        <w:rPr>
          <w:i/>
          <w:spacing w:val="-1"/>
        </w:rPr>
        <w:t>Australasian</w:t>
      </w:r>
      <w:r w:rsidRPr="003E26B2">
        <w:rPr>
          <w:i/>
        </w:rPr>
        <w:t xml:space="preserve"> Meat</w:t>
      </w:r>
      <w:r w:rsidRPr="003E26B2">
        <w:rPr>
          <w:i/>
          <w:spacing w:val="-4"/>
        </w:rPr>
        <w:t xml:space="preserve"> </w:t>
      </w:r>
      <w:r w:rsidRPr="003E26B2">
        <w:rPr>
          <w:i/>
          <w:spacing w:val="-1"/>
        </w:rPr>
        <w:t>Employees</w:t>
      </w:r>
      <w:r w:rsidRPr="003E26B2">
        <w:rPr>
          <w:i/>
          <w:spacing w:val="-6"/>
        </w:rPr>
        <w:t xml:space="preserve"> </w:t>
      </w:r>
      <w:r w:rsidRPr="003E26B2">
        <w:rPr>
          <w:i/>
        </w:rPr>
        <w:t>Union &amp;</w:t>
      </w:r>
      <w:r w:rsidRPr="003E26B2">
        <w:rPr>
          <w:i/>
          <w:spacing w:val="3"/>
        </w:rPr>
        <w:t xml:space="preserve"> </w:t>
      </w:r>
      <w:r w:rsidRPr="003E26B2">
        <w:rPr>
          <w:i/>
          <w:spacing w:val="-1"/>
        </w:rPr>
        <w:t>Ors</w:t>
      </w:r>
      <w:r>
        <w:rPr>
          <w:i/>
          <w:spacing w:val="-1"/>
        </w:rPr>
        <w:t xml:space="preserve"> </w:t>
      </w:r>
      <w:hyperlink r:id="rId22" w:history="1">
        <w:r w:rsidRPr="00867EE9">
          <w:rPr>
            <w:rStyle w:val="Hyperlink"/>
          </w:rPr>
          <w:t>[1979] FCA 85</w:t>
        </w:r>
      </w:hyperlink>
      <w:r w:rsidRPr="00340F50">
        <w:t xml:space="preserve"> [14]</w:t>
      </w:r>
      <w:r>
        <w:t>–</w:t>
      </w:r>
      <w:r w:rsidRPr="00340F50">
        <w:t>[15]</w:t>
      </w:r>
      <w:r>
        <w:t>;</w:t>
      </w:r>
      <w:r w:rsidRPr="003E26B2">
        <w:rPr>
          <w:i/>
          <w:spacing w:val="-6"/>
        </w:rPr>
        <w:t xml:space="preserve"> </w:t>
      </w:r>
      <w:r w:rsidRPr="003E26B2">
        <w:t>(1979) 27</w:t>
      </w:r>
      <w:r w:rsidRPr="003E26B2">
        <w:rPr>
          <w:spacing w:val="-6"/>
        </w:rPr>
        <w:t xml:space="preserve"> </w:t>
      </w:r>
      <w:r w:rsidRPr="003E26B2">
        <w:t>ALR</w:t>
      </w:r>
      <w:r w:rsidRPr="003E26B2">
        <w:rPr>
          <w:spacing w:val="-6"/>
        </w:rPr>
        <w:t xml:space="preserve"> </w:t>
      </w:r>
      <w:r w:rsidRPr="003E26B2">
        <w:t xml:space="preserve">367 </w:t>
      </w:r>
      <w:bookmarkEnd w:id="32"/>
      <w:r w:rsidRPr="003E26B2">
        <w:t xml:space="preserve">[383]; </w:t>
      </w:r>
      <w:bookmarkStart w:id="33" w:name="_Hlk14771362"/>
      <w:r w:rsidRPr="003E26B2">
        <w:t>per Deane J</w:t>
      </w:r>
      <w:bookmarkEnd w:id="33"/>
      <w:r w:rsidRPr="003E26B2">
        <w:t xml:space="preserve"> </w:t>
      </w:r>
      <w:bookmarkStart w:id="34" w:name="_Hlk14771665"/>
      <w:r w:rsidRPr="003E26B2">
        <w:t xml:space="preserve">in relation to the meaning of ‘substantial loss’ in s 45D of the </w:t>
      </w:r>
      <w:r w:rsidRPr="003E26B2">
        <w:rPr>
          <w:i/>
          <w:iCs/>
        </w:rPr>
        <w:t>Trade Practices Act 1974</w:t>
      </w:r>
      <w:bookmarkEnd w:id="34"/>
      <w:r w:rsidRPr="003E26B2">
        <w:t xml:space="preserve">. Although Deane J noted that it was unnecessary that he form a concluded view, Deane J’s interpretation of ‘substantial’ provides general guidance on the interpretation of this term under the FOI Act. See </w:t>
      </w:r>
      <w:r>
        <w:t xml:space="preserve">also </w:t>
      </w:r>
      <w:r w:rsidRPr="003E26B2">
        <w:t xml:space="preserve">for example </w:t>
      </w:r>
      <w:r w:rsidRPr="003E26B2">
        <w:rPr>
          <w:i/>
          <w:iCs/>
        </w:rPr>
        <w:t>Re</w:t>
      </w:r>
      <w:r w:rsidRPr="003E26B2">
        <w:t xml:space="preserve"> </w:t>
      </w:r>
      <w:r w:rsidRPr="003E26B2">
        <w:rPr>
          <w:i/>
          <w:iCs/>
        </w:rPr>
        <w:t>Marko Ascic v Australian Federal Police</w:t>
      </w:r>
      <w:r w:rsidRPr="003E26B2">
        <w:t xml:space="preserve"> </w:t>
      </w:r>
      <w:hyperlink r:id="rId23" w:history="1">
        <w:r w:rsidRPr="00804DF3">
          <w:rPr>
            <w:rStyle w:val="Hyperlink"/>
          </w:rPr>
          <w:t>[1986] FCA 260</w:t>
        </w:r>
      </w:hyperlink>
      <w:r w:rsidRPr="003E26B2">
        <w:t>.</w:t>
      </w:r>
    </w:p>
  </w:footnote>
  <w:footnote w:id="21">
    <w:p w14:paraId="3D95F030" w14:textId="77777777" w:rsidR="00D32726" w:rsidRDefault="00D32726" w:rsidP="00BA1702">
      <w:pPr>
        <w:pStyle w:val="FootnoteText"/>
        <w:tabs>
          <w:tab w:val="left" w:pos="284"/>
        </w:tabs>
        <w:ind w:left="284" w:hanging="284"/>
      </w:pPr>
      <w:r>
        <w:rPr>
          <w:rStyle w:val="FootnoteReference"/>
        </w:rPr>
        <w:footnoteRef/>
      </w:r>
      <w:r>
        <w:t xml:space="preserve"> </w:t>
      </w:r>
      <w:r>
        <w:tab/>
      </w:r>
      <w:r w:rsidRPr="00B20FF8">
        <w:rPr>
          <w:spacing w:val="-1"/>
        </w:rPr>
        <w:t>Sections</w:t>
      </w:r>
      <w:r w:rsidRPr="00B20FF8">
        <w:rPr>
          <w:spacing w:val="-10"/>
        </w:rPr>
        <w:t xml:space="preserve"> 37</w:t>
      </w:r>
      <w:r>
        <w:rPr>
          <w:spacing w:val="-10"/>
        </w:rPr>
        <w:t>(1)(a), 37(2)(a), 37(2)(c)</w:t>
      </w:r>
      <w:r w:rsidRPr="00B20FF8">
        <w:rPr>
          <w:spacing w:val="-10"/>
        </w:rPr>
        <w:t xml:space="preserve">, </w:t>
      </w:r>
      <w:r w:rsidRPr="00B20FF8">
        <w:rPr>
          <w:spacing w:val="-1"/>
        </w:rPr>
        <w:t>47E(a),</w:t>
      </w:r>
      <w:r w:rsidRPr="00B20FF8">
        <w:rPr>
          <w:spacing w:val="-9"/>
        </w:rPr>
        <w:t xml:space="preserve"> </w:t>
      </w:r>
      <w:r w:rsidRPr="00B20FF8">
        <w:rPr>
          <w:spacing w:val="-1"/>
        </w:rPr>
        <w:t>47E(b)</w:t>
      </w:r>
      <w:r>
        <w:rPr>
          <w:spacing w:val="-1"/>
        </w:rPr>
        <w:t xml:space="preserve"> and</w:t>
      </w:r>
      <w:r w:rsidRPr="00142068">
        <w:rPr>
          <w:spacing w:val="-9"/>
        </w:rPr>
        <w:t xml:space="preserve"> </w:t>
      </w:r>
      <w:r w:rsidRPr="00142068">
        <w:t>47G(1)(b).</w:t>
      </w:r>
    </w:p>
  </w:footnote>
  <w:footnote w:id="22">
    <w:p w14:paraId="3C2C288C" w14:textId="21524C3F" w:rsidR="00D32726" w:rsidRDefault="00D32726" w:rsidP="00BA1702">
      <w:pPr>
        <w:pStyle w:val="FootnoteText"/>
        <w:tabs>
          <w:tab w:val="left" w:pos="284"/>
        </w:tabs>
        <w:ind w:left="284" w:hanging="284"/>
      </w:pPr>
      <w:bookmarkStart w:id="37" w:name="_Hlk14711304"/>
      <w:r>
        <w:rPr>
          <w:rStyle w:val="FootnoteReference"/>
        </w:rPr>
        <w:footnoteRef/>
      </w:r>
      <w:r>
        <w:t xml:space="preserve"> </w:t>
      </w:r>
      <w:r>
        <w:tab/>
      </w:r>
      <w:r>
        <w:rPr>
          <w:spacing w:val="-1"/>
        </w:rPr>
        <w:t>See</w:t>
      </w:r>
      <w:r>
        <w:rPr>
          <w:spacing w:val="-7"/>
        </w:rPr>
        <w:t xml:space="preserve"> </w:t>
      </w:r>
      <w:r>
        <w:rPr>
          <w:i/>
          <w:spacing w:val="-1"/>
        </w:rPr>
        <w:t>Re</w:t>
      </w:r>
      <w:r>
        <w:rPr>
          <w:i/>
          <w:spacing w:val="-3"/>
        </w:rPr>
        <w:t xml:space="preserve"> </w:t>
      </w:r>
      <w:r>
        <w:rPr>
          <w:i/>
          <w:spacing w:val="-1"/>
        </w:rPr>
        <w:t>James</w:t>
      </w:r>
      <w:r>
        <w:rPr>
          <w:i/>
          <w:spacing w:val="-6"/>
        </w:rPr>
        <w:t xml:space="preserve"> and Ors </w:t>
      </w:r>
      <w:r>
        <w:rPr>
          <w:i/>
        </w:rPr>
        <w:t xml:space="preserve">and </w:t>
      </w:r>
      <w:r>
        <w:rPr>
          <w:i/>
          <w:spacing w:val="-1"/>
        </w:rPr>
        <w:t>Australian</w:t>
      </w:r>
      <w:r>
        <w:rPr>
          <w:i/>
          <w:spacing w:val="-6"/>
        </w:rPr>
        <w:t xml:space="preserve"> </w:t>
      </w:r>
      <w:r>
        <w:rPr>
          <w:i/>
        </w:rPr>
        <w:t>National</w:t>
      </w:r>
      <w:r>
        <w:rPr>
          <w:i/>
          <w:spacing w:val="-6"/>
        </w:rPr>
        <w:t xml:space="preserve"> </w:t>
      </w:r>
      <w:r>
        <w:rPr>
          <w:i/>
          <w:spacing w:val="-1"/>
        </w:rPr>
        <w:t>University</w:t>
      </w:r>
      <w:r>
        <w:rPr>
          <w:i/>
          <w:spacing w:val="-4"/>
        </w:rPr>
        <w:t xml:space="preserve"> </w:t>
      </w:r>
      <w:hyperlink r:id="rId24" w:history="1">
        <w:r w:rsidRPr="001B5E95">
          <w:rPr>
            <w:rStyle w:val="Hyperlink"/>
          </w:rPr>
          <w:t>[1984] AATA 501</w:t>
        </w:r>
      </w:hyperlink>
      <w:r>
        <w:t xml:space="preserve">; </w:t>
      </w:r>
      <w:r>
        <w:rPr>
          <w:spacing w:val="-7"/>
        </w:rPr>
        <w:t xml:space="preserve">(1984) </w:t>
      </w:r>
      <w:r>
        <w:t>6 ALD 687 per President Hall on the operation of s 32 of the FOI Act.</w:t>
      </w:r>
      <w:bookmarkEnd w:id="37"/>
    </w:p>
  </w:footnote>
  <w:footnote w:id="23">
    <w:p w14:paraId="10D20A52" w14:textId="2C02D311"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C34A0A">
        <w:tab/>
      </w:r>
      <w:r w:rsidRPr="00DD07E1">
        <w:t xml:space="preserve">See </w:t>
      </w:r>
      <w:r w:rsidRPr="00337F86">
        <w:rPr>
          <w:i/>
          <w:iCs/>
        </w:rPr>
        <w:t xml:space="preserve">Arnold (on behalf of Australians for Animals) v Queensland </w:t>
      </w:r>
      <w:hyperlink r:id="rId25" w:history="1">
        <w:r w:rsidR="00472B65" w:rsidRPr="00472B65">
          <w:rPr>
            <w:rStyle w:val="Hyperlink"/>
            <w:color w:val="007BAB" w:themeColor="text2" w:themeTint="BF"/>
          </w:rPr>
          <w:t>[1987] FCA 148</w:t>
        </w:r>
      </w:hyperlink>
      <w:r w:rsidR="00472B65">
        <w:t xml:space="preserve">; </w:t>
      </w:r>
      <w:r w:rsidRPr="00DD07E1">
        <w:t xml:space="preserve">(1987) </w:t>
      </w:r>
      <w:r w:rsidRPr="0043786E">
        <w:t>73</w:t>
      </w:r>
      <w:r w:rsidRPr="00DD07E1">
        <w:t xml:space="preserve"> </w:t>
      </w:r>
      <w:r w:rsidRPr="0043786E">
        <w:t>ALR</w:t>
      </w:r>
      <w:r w:rsidRPr="00DD07E1">
        <w:t xml:space="preserve"> </w:t>
      </w:r>
      <w:r w:rsidRPr="0043786E">
        <w:t>607.</w:t>
      </w:r>
    </w:p>
  </w:footnote>
  <w:footnote w:id="24">
    <w:p w14:paraId="64E2ADB9" w14:textId="6C82134C"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C34A0A">
        <w:tab/>
      </w:r>
      <w:r w:rsidRPr="00DD07E1">
        <w:t xml:space="preserve">See </w:t>
      </w:r>
      <w:r w:rsidRPr="00337F86">
        <w:rPr>
          <w:i/>
          <w:iCs/>
        </w:rPr>
        <w:t>Arnold (on behalf of Australians for Animals) v Queensland</w:t>
      </w:r>
      <w:r w:rsidRPr="00DD07E1">
        <w:t xml:space="preserve"> </w:t>
      </w:r>
      <w:hyperlink r:id="rId26" w:history="1">
        <w:r w:rsidR="00472B65" w:rsidRPr="00472B65">
          <w:rPr>
            <w:rStyle w:val="Hyperlink"/>
            <w:color w:val="007BAB" w:themeColor="text2" w:themeTint="BF"/>
          </w:rPr>
          <w:t>[1987] FCA 148</w:t>
        </w:r>
      </w:hyperlink>
      <w:r w:rsidR="00472B65">
        <w:t>;</w:t>
      </w:r>
      <w:r w:rsidR="00624551">
        <w:t xml:space="preserve"> </w:t>
      </w:r>
      <w:r w:rsidRPr="00DD07E1">
        <w:t xml:space="preserve">(1987) </w:t>
      </w:r>
      <w:r w:rsidRPr="0043786E">
        <w:t>73</w:t>
      </w:r>
      <w:r w:rsidRPr="00DD07E1">
        <w:t xml:space="preserve"> </w:t>
      </w:r>
      <w:r w:rsidRPr="0043786E">
        <w:t>ALR</w:t>
      </w:r>
      <w:r w:rsidRPr="00DD07E1">
        <w:t xml:space="preserve"> </w:t>
      </w:r>
      <w:r w:rsidRPr="0043786E">
        <w:t>607.</w:t>
      </w:r>
      <w:r w:rsidR="006F72D9">
        <w:t xml:space="preserve"> See also </w:t>
      </w:r>
      <w:r w:rsidR="006F72D9">
        <w:rPr>
          <w:rFonts w:ascii="Source Sans Pro" w:hAnsi="Source Sans Pro"/>
          <w:i/>
          <w:iCs/>
          <w:color w:val="333333"/>
          <w:shd w:val="clear" w:color="auto" w:fill="FFFFFF"/>
        </w:rPr>
        <w:t>Rex Patrick and Department of Agriculture, Water and the Environment (Freedom of information)</w:t>
      </w:r>
      <w:r w:rsidR="006F72D9">
        <w:rPr>
          <w:rFonts w:ascii="Source Sans Pro" w:hAnsi="Source Sans Pro"/>
          <w:color w:val="333333"/>
          <w:shd w:val="clear" w:color="auto" w:fill="FFFFFF"/>
        </w:rPr>
        <w:t> </w:t>
      </w:r>
      <w:hyperlink r:id="rId27" w:tooltip="View Case" w:history="1">
        <w:r w:rsidR="006F72D9" w:rsidRPr="00E70826">
          <w:rPr>
            <w:rStyle w:val="Hyperlink"/>
            <w:color w:val="007BAB" w:themeColor="text2" w:themeTint="BF"/>
          </w:rPr>
          <w:t>[2021] AICmr 57</w:t>
        </w:r>
      </w:hyperlink>
      <w:r w:rsidR="006F72D9">
        <w:t xml:space="preserve"> </w:t>
      </w:r>
      <w:r w:rsidR="00F973DE">
        <w:t xml:space="preserve">[31] </w:t>
      </w:r>
      <w:r w:rsidR="006F72D9">
        <w:t>in which the conditional exemption was found not to apply because the negotiations referred to in the statement of reasons had concluded</w:t>
      </w:r>
      <w:r w:rsidR="00F973DE">
        <w:t>.</w:t>
      </w:r>
    </w:p>
  </w:footnote>
  <w:footnote w:id="25">
    <w:p w14:paraId="672F8C6A" w14:textId="2EBDCDB3"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C34A0A">
        <w:tab/>
      </w:r>
      <w:r w:rsidRPr="0043786E">
        <w:t>See</w:t>
      </w:r>
      <w:r w:rsidRPr="00DD07E1">
        <w:t xml:space="preserve"> </w:t>
      </w:r>
      <w:r w:rsidRPr="00337F86">
        <w:rPr>
          <w:i/>
          <w:iCs/>
        </w:rPr>
        <w:t>Re Cosco Holdings Pty Limited and Department of Treasury</w:t>
      </w:r>
      <w:r w:rsidRPr="00DD07E1">
        <w:t xml:space="preserve"> </w:t>
      </w:r>
      <w:hyperlink r:id="rId28" w:history="1">
        <w:r w:rsidRPr="00AD6C46">
          <w:rPr>
            <w:rStyle w:val="Hyperlink"/>
            <w:color w:val="007BAB" w:themeColor="text2" w:themeTint="BF"/>
          </w:rPr>
          <w:t>[1998] AATA 124</w:t>
        </w:r>
      </w:hyperlink>
      <w:r w:rsidRPr="0043786E">
        <w:t>.</w:t>
      </w:r>
    </w:p>
  </w:footnote>
  <w:footnote w:id="26">
    <w:p w14:paraId="262AA22A" w14:textId="4093545C"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C34A0A">
        <w:tab/>
      </w:r>
      <w:r w:rsidRPr="00DD07E1">
        <w:t xml:space="preserve">See </w:t>
      </w:r>
      <w:r w:rsidRPr="00337F86">
        <w:rPr>
          <w:i/>
          <w:iCs/>
        </w:rPr>
        <w:t>Arnold (on behalf of Australians for Animals) v Queensland</w:t>
      </w:r>
      <w:r w:rsidRPr="00DD07E1">
        <w:t xml:space="preserve"> </w:t>
      </w:r>
      <w:hyperlink r:id="rId29" w:history="1">
        <w:r w:rsidR="00472B65" w:rsidRPr="00472B65">
          <w:rPr>
            <w:rStyle w:val="Hyperlink"/>
            <w:color w:val="007BAB" w:themeColor="text2" w:themeTint="BF"/>
          </w:rPr>
          <w:t>[1987] FCA 148</w:t>
        </w:r>
      </w:hyperlink>
      <w:r w:rsidR="00472B65">
        <w:t xml:space="preserve">; </w:t>
      </w:r>
      <w:r w:rsidRPr="00DD07E1">
        <w:t xml:space="preserve">(1987) </w:t>
      </w:r>
      <w:r w:rsidRPr="0043786E">
        <w:t>73</w:t>
      </w:r>
      <w:r w:rsidRPr="00DD07E1">
        <w:t xml:space="preserve"> </w:t>
      </w:r>
      <w:r w:rsidRPr="0043786E">
        <w:t>ALR</w:t>
      </w:r>
      <w:r w:rsidRPr="00DD07E1">
        <w:t xml:space="preserve"> </w:t>
      </w:r>
      <w:r w:rsidRPr="0043786E">
        <w:t>607.</w:t>
      </w:r>
    </w:p>
  </w:footnote>
  <w:footnote w:id="27">
    <w:p w14:paraId="4C9BEF10" w14:textId="6DF1C607"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C34A0A">
        <w:tab/>
      </w:r>
      <w:r w:rsidRPr="00DD07E1">
        <w:t xml:space="preserve">See </w:t>
      </w:r>
      <w:r w:rsidRPr="00337F86">
        <w:rPr>
          <w:i/>
          <w:iCs/>
        </w:rPr>
        <w:t>Re Shopping Centre Council and Australian Competition and Consumer Commission</w:t>
      </w:r>
      <w:r w:rsidRPr="00DD07E1">
        <w:t xml:space="preserve"> </w:t>
      </w:r>
      <w:hyperlink r:id="rId30" w:history="1">
        <w:r w:rsidRPr="00AD6C46">
          <w:rPr>
            <w:rStyle w:val="Hyperlink"/>
            <w:color w:val="007BAB" w:themeColor="text2" w:themeTint="BF"/>
          </w:rPr>
          <w:t>[2004] AATA 119</w:t>
        </w:r>
      </w:hyperlink>
      <w:r w:rsidR="00472B65" w:rsidRPr="00472B65">
        <w:rPr>
          <w:color w:val="007BAB" w:themeColor="text2" w:themeTint="BF"/>
        </w:rPr>
        <w:t xml:space="preserve">; </w:t>
      </w:r>
      <w:r w:rsidR="00472B65" w:rsidRPr="00472B65">
        <w:rPr>
          <w:rFonts w:cs="Arial"/>
          <w:color w:val="000000"/>
          <w:szCs w:val="18"/>
          <w:shd w:val="clear" w:color="auto" w:fill="FFFFFF"/>
        </w:rPr>
        <w:t>78 ALD 494</w:t>
      </w:r>
      <w:r w:rsidRPr="0043786E">
        <w:t>.</w:t>
      </w:r>
    </w:p>
  </w:footnote>
  <w:footnote w:id="28">
    <w:p w14:paraId="152F0F6F" w14:textId="26508CF8"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C34A0A">
        <w:tab/>
      </w:r>
      <w:r w:rsidRPr="00997487">
        <w:t xml:space="preserve">See </w:t>
      </w:r>
      <w:r w:rsidRPr="00997487">
        <w:rPr>
          <w:i/>
          <w:iCs/>
        </w:rPr>
        <w:t>Re Angel and the Department of Arts, Heritage and Environment; HC Sleigh Resources Ltd Tasmania</w:t>
      </w:r>
      <w:r w:rsidRPr="00997487">
        <w:t xml:space="preserve"> </w:t>
      </w:r>
      <w:hyperlink r:id="rId31" w:history="1">
        <w:r w:rsidRPr="00472B65">
          <w:rPr>
            <w:rStyle w:val="Hyperlink"/>
            <w:color w:val="007BAB" w:themeColor="text2" w:themeTint="BF"/>
          </w:rPr>
          <w:t>[1985] AATA 314</w:t>
        </w:r>
      </w:hyperlink>
      <w:r w:rsidRPr="00997487">
        <w:t>.</w:t>
      </w:r>
    </w:p>
  </w:footnote>
  <w:footnote w:id="29">
    <w:p w14:paraId="496FC7E7" w14:textId="44FF80C7" w:rsidR="00F85EF4" w:rsidRPr="00DD07E1" w:rsidRDefault="00F85EF4" w:rsidP="00C34A0A">
      <w:pPr>
        <w:pStyle w:val="FootnoteText"/>
        <w:tabs>
          <w:tab w:val="left" w:pos="284"/>
        </w:tabs>
        <w:ind w:left="284" w:hanging="284"/>
      </w:pPr>
      <w:r w:rsidRPr="0043786E">
        <w:rPr>
          <w:rStyle w:val="FootnoteReference"/>
        </w:rPr>
        <w:footnoteRef/>
      </w:r>
      <w:r w:rsidRPr="0043786E">
        <w:t xml:space="preserve"> </w:t>
      </w:r>
      <w:r w:rsidR="00C34A0A">
        <w:tab/>
      </w:r>
      <w:r w:rsidRPr="00997487">
        <w:t xml:space="preserve">See </w:t>
      </w:r>
      <w:r w:rsidRPr="00997487">
        <w:rPr>
          <w:i/>
          <w:iCs/>
        </w:rPr>
        <w:t>MacTiernan and Secretary, Department of Infrastructure and Regional Development (Freedom of Information)</w:t>
      </w:r>
      <w:r w:rsidRPr="00997487">
        <w:t xml:space="preserve"> </w:t>
      </w:r>
      <w:hyperlink r:id="rId32" w:history="1">
        <w:r w:rsidRPr="00472B65">
          <w:rPr>
            <w:rStyle w:val="Hyperlink"/>
            <w:color w:val="007BAB" w:themeColor="text2" w:themeTint="BF"/>
          </w:rPr>
          <w:t>[2016] AATA 506</w:t>
        </w:r>
      </w:hyperlink>
      <w:r>
        <w:t xml:space="preserve"> </w:t>
      </w:r>
      <w:r w:rsidRPr="00997487">
        <w:t>[63].</w:t>
      </w:r>
    </w:p>
  </w:footnote>
  <w:footnote w:id="30">
    <w:p w14:paraId="6054B3B2" w14:textId="21DCD704" w:rsidR="00F85EF4" w:rsidRPr="0043786E" w:rsidRDefault="00F85EF4" w:rsidP="001A2B3A">
      <w:pPr>
        <w:pStyle w:val="FootnoteText"/>
        <w:tabs>
          <w:tab w:val="left" w:pos="284"/>
        </w:tabs>
        <w:ind w:left="284" w:hanging="284"/>
      </w:pPr>
      <w:r w:rsidRPr="0043786E">
        <w:rPr>
          <w:rStyle w:val="FootnoteReference"/>
        </w:rPr>
        <w:footnoteRef/>
      </w:r>
      <w:r w:rsidRPr="0043786E">
        <w:t xml:space="preserve"> </w:t>
      </w:r>
      <w:r w:rsidR="00C34A0A">
        <w:tab/>
      </w:r>
      <w:r w:rsidRPr="00997487">
        <w:rPr>
          <w:i/>
          <w:iCs/>
        </w:rPr>
        <w:t>Diamond and Australian Curriculum, Assessment and Reporting Authority</w:t>
      </w:r>
      <w:r w:rsidRPr="00997487">
        <w:t xml:space="preserve"> </w:t>
      </w:r>
      <w:hyperlink r:id="rId33" w:history="1">
        <w:r w:rsidRPr="00EF67FD">
          <w:rPr>
            <w:rStyle w:val="Hyperlink"/>
            <w:color w:val="007BAB" w:themeColor="text2" w:themeTint="BF"/>
          </w:rPr>
          <w:t>[2013] AICmr 57</w:t>
        </w:r>
      </w:hyperlink>
      <w:r w:rsidRPr="00997487">
        <w:t>.</w:t>
      </w:r>
      <w:r w:rsidRPr="0043786E">
        <w:t xml:space="preserve"> </w:t>
      </w:r>
    </w:p>
  </w:footnote>
  <w:footnote w:id="31">
    <w:p w14:paraId="2C7E9825" w14:textId="4ECCDD87"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BC5D2E">
        <w:tab/>
      </w:r>
      <w:r w:rsidRPr="00997487">
        <w:t xml:space="preserve">See </w:t>
      </w:r>
      <w:r w:rsidRPr="00997487">
        <w:rPr>
          <w:i/>
          <w:iCs/>
        </w:rPr>
        <w:t>Attorney-General’s Department and Australian Iron and Steel Pty Ltd v Cockcroft</w:t>
      </w:r>
      <w:r w:rsidRPr="00997487">
        <w:t xml:space="preserve"> </w:t>
      </w:r>
      <w:hyperlink r:id="rId34" w:history="1">
        <w:r w:rsidR="004C0BCF" w:rsidRPr="004C0BCF">
          <w:rPr>
            <w:rStyle w:val="Hyperlink"/>
            <w:color w:val="007BAB" w:themeColor="text2" w:themeTint="BF"/>
          </w:rPr>
          <w:t>[1986] FCA 35</w:t>
        </w:r>
      </w:hyperlink>
      <w:r w:rsidR="004C0BCF">
        <w:t xml:space="preserve">; </w:t>
      </w:r>
      <w:r w:rsidRPr="00997487">
        <w:t>(1986) 10 FCR 180.</w:t>
      </w:r>
      <w:r w:rsidR="00D80740">
        <w:t xml:space="preserve"> See also </w:t>
      </w:r>
      <w:r w:rsidR="00D80740">
        <w:rPr>
          <w:rFonts w:ascii="Source Sans Pro" w:hAnsi="Source Sans Pro"/>
          <w:i/>
          <w:iCs/>
          <w:color w:val="333333"/>
          <w:shd w:val="clear" w:color="auto" w:fill="FFFFFF"/>
        </w:rPr>
        <w:t>Community and Public Sector Union and Attorney-General’s Department (Freedom of information)</w:t>
      </w:r>
      <w:r w:rsidR="00D80740">
        <w:rPr>
          <w:rFonts w:ascii="Source Sans Pro" w:hAnsi="Source Sans Pro"/>
          <w:color w:val="333333"/>
          <w:shd w:val="clear" w:color="auto" w:fill="FFFFFF"/>
        </w:rPr>
        <w:t> </w:t>
      </w:r>
      <w:hyperlink r:id="rId35" w:tooltip="View Case" w:history="1">
        <w:r w:rsidR="00D80740">
          <w:rPr>
            <w:rStyle w:val="Hyperlink"/>
            <w:rFonts w:ascii="Source Sans Pro" w:hAnsi="Source Sans Pro"/>
            <w:color w:val="3796CC"/>
            <w:shd w:val="clear" w:color="auto" w:fill="FFFFFF"/>
          </w:rPr>
          <w:t>[2019] AICmr 75</w:t>
        </w:r>
      </w:hyperlink>
      <w:r w:rsidR="00D80740">
        <w:t xml:space="preserve"> [22] and </w:t>
      </w:r>
      <w:r w:rsidR="00D80740">
        <w:rPr>
          <w:rFonts w:ascii="Source Sans Pro" w:hAnsi="Source Sans Pro"/>
          <w:i/>
          <w:iCs/>
          <w:color w:val="333333"/>
          <w:shd w:val="clear" w:color="auto" w:fill="FFFFFF"/>
        </w:rPr>
        <w:t>Dan Conifer and National Disability Insurance Agency (Freedom of information) </w:t>
      </w:r>
      <w:hyperlink r:id="rId36" w:tooltip="View Case" w:history="1">
        <w:r w:rsidR="00D80740">
          <w:rPr>
            <w:rStyle w:val="Hyperlink"/>
            <w:rFonts w:ascii="Source Sans Pro" w:hAnsi="Source Sans Pro"/>
            <w:color w:val="256A91"/>
            <w:shd w:val="clear" w:color="auto" w:fill="FFFFFF"/>
          </w:rPr>
          <w:t>[2020] AICmr 33</w:t>
        </w:r>
      </w:hyperlink>
      <w:r w:rsidR="00D80740">
        <w:t xml:space="preserve"> [28] in which the Information Commissioner stresses the need for agencies and ministers to provide evidence to support claims that there </w:t>
      </w:r>
      <w:r w:rsidR="00D80740">
        <w:rPr>
          <w:rFonts w:ascii="Source Sans Pro" w:hAnsi="Source Sans Pro"/>
          <w:color w:val="333333"/>
          <w:shd w:val="clear" w:color="auto" w:fill="FFFFFF"/>
        </w:rPr>
        <w:t xml:space="preserve">are real and substantial grounds for expecting disclosure would cause damage to Commonwealth-State relations. </w:t>
      </w:r>
    </w:p>
  </w:footnote>
  <w:footnote w:id="32">
    <w:p w14:paraId="3B1F6ED3" w14:textId="64822CB5" w:rsidR="00B67701" w:rsidRDefault="00B67701" w:rsidP="0049745E">
      <w:pPr>
        <w:pStyle w:val="FootnoteText"/>
        <w:tabs>
          <w:tab w:val="left" w:pos="284"/>
        </w:tabs>
      </w:pPr>
      <w:r>
        <w:rPr>
          <w:rStyle w:val="FootnoteReference"/>
        </w:rPr>
        <w:footnoteRef/>
      </w:r>
      <w:r>
        <w:t xml:space="preserve"> </w:t>
      </w:r>
      <w:r>
        <w:tab/>
      </w:r>
      <w:r w:rsidRPr="0049745E">
        <w:rPr>
          <w:i/>
          <w:iCs/>
        </w:rPr>
        <w:t>Diamond v Chief Executive Officer of the Australian Curriculum, Assessment and Reporting Authority</w:t>
      </w:r>
      <w:r w:rsidRPr="0049745E">
        <w:t> </w:t>
      </w:r>
      <w:hyperlink r:id="rId37" w:tooltip="View Case" w:history="1">
        <w:r w:rsidRPr="0049745E">
          <w:rPr>
            <w:rStyle w:val="Hyperlink"/>
            <w:color w:val="007BAB" w:themeColor="text2" w:themeTint="BF"/>
          </w:rPr>
          <w:t>[2014] AATA 707</w:t>
        </w:r>
      </w:hyperlink>
      <w:r w:rsidRPr="0049745E">
        <w:t> </w:t>
      </w:r>
      <w:hyperlink r:id="rId38" w:anchor="para103" w:history="1">
        <w:r w:rsidRPr="0049745E">
          <w:t>[103]</w:t>
        </w:r>
      </w:hyperlink>
      <w:r w:rsidR="008B6C20">
        <w:t>.</w:t>
      </w:r>
    </w:p>
  </w:footnote>
  <w:footnote w:id="33">
    <w:p w14:paraId="3DCC87FC" w14:textId="2A146216" w:rsidR="001F2D0A" w:rsidRPr="00B14F6C" w:rsidRDefault="001F2D0A" w:rsidP="0049745E">
      <w:pPr>
        <w:pStyle w:val="FootnoteText"/>
        <w:tabs>
          <w:tab w:val="left" w:pos="284"/>
        </w:tabs>
        <w:ind w:left="284" w:hanging="284"/>
      </w:pPr>
      <w:r>
        <w:rPr>
          <w:rStyle w:val="FootnoteReference"/>
        </w:rPr>
        <w:footnoteRef/>
      </w:r>
      <w:r>
        <w:t xml:space="preserve"> </w:t>
      </w:r>
      <w:r>
        <w:tab/>
      </w:r>
      <w:r w:rsidR="00B14F6C" w:rsidRPr="0049745E">
        <w:rPr>
          <w:rFonts w:ascii="Source Sans Pro" w:hAnsi="Source Sans Pro"/>
          <w:i/>
          <w:iCs/>
          <w:color w:val="333333"/>
          <w:shd w:val="clear" w:color="auto" w:fill="FFFFFF"/>
        </w:rPr>
        <w:t>Patrick and Secretary, Department of Prime Minister and Cabinet (Freedom of Information)</w:t>
      </w:r>
      <w:r w:rsidR="00B14F6C" w:rsidRPr="0049745E">
        <w:rPr>
          <w:rFonts w:ascii="Source Sans Pro" w:hAnsi="Source Sans Pro"/>
          <w:color w:val="333333"/>
          <w:shd w:val="clear" w:color="auto" w:fill="FFFFFF"/>
        </w:rPr>
        <w:t> </w:t>
      </w:r>
      <w:hyperlink r:id="rId39" w:tooltip="View Case" w:history="1">
        <w:r w:rsidR="00B14F6C" w:rsidRPr="0049745E">
          <w:rPr>
            <w:rStyle w:val="Hyperlink"/>
            <w:rFonts w:ascii="Source Sans Pro" w:hAnsi="Source Sans Pro"/>
            <w:color w:val="3796CC"/>
          </w:rPr>
          <w:t>[2021] AATA 2719</w:t>
        </w:r>
      </w:hyperlink>
      <w:r w:rsidR="00B14F6C" w:rsidRPr="0049745E">
        <w:rPr>
          <w:rFonts w:ascii="Source Sans Pro" w:hAnsi="Source Sans Pro"/>
          <w:color w:val="333333"/>
          <w:shd w:val="clear" w:color="auto" w:fill="FFFFFF"/>
        </w:rPr>
        <w:t> [216].</w:t>
      </w:r>
    </w:p>
  </w:footnote>
  <w:footnote w:id="34">
    <w:p w14:paraId="0F9F8D2D" w14:textId="189BFDF0"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BC5D2E">
        <w:tab/>
      </w:r>
      <w:r w:rsidRPr="00997487">
        <w:t xml:space="preserve">See </w:t>
      </w:r>
      <w:r w:rsidRPr="00997487">
        <w:rPr>
          <w:i/>
          <w:iCs/>
        </w:rPr>
        <w:t>Re Mann and Australian Tax Office</w:t>
      </w:r>
      <w:r w:rsidRPr="00997487">
        <w:t xml:space="preserve"> </w:t>
      </w:r>
      <w:hyperlink r:id="rId40" w:history="1">
        <w:r w:rsidRPr="000022FA">
          <w:rPr>
            <w:rStyle w:val="Hyperlink"/>
            <w:color w:val="007BAB" w:themeColor="text2" w:themeTint="BF"/>
          </w:rPr>
          <w:t>[1985] AATA 144</w:t>
        </w:r>
      </w:hyperlink>
      <w:r w:rsidRPr="00997487">
        <w:t>.</w:t>
      </w:r>
    </w:p>
  </w:footnote>
  <w:footnote w:id="35">
    <w:p w14:paraId="76F7A0A1" w14:textId="621BE341"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BC5D2E">
        <w:tab/>
      </w:r>
      <w:r w:rsidRPr="00997487">
        <w:rPr>
          <w:i/>
          <w:iCs/>
        </w:rPr>
        <w:t>MacTiernan and Secretary, Department of Infrastructure and Regional Development (Freedom of Information)</w:t>
      </w:r>
      <w:r w:rsidRPr="00997487">
        <w:t xml:space="preserve"> </w:t>
      </w:r>
      <w:hyperlink r:id="rId41" w:history="1">
        <w:r w:rsidRPr="000022FA">
          <w:rPr>
            <w:rStyle w:val="Hyperlink"/>
            <w:color w:val="007BAB" w:themeColor="text2" w:themeTint="BF"/>
          </w:rPr>
          <w:t>[2016] AATA 506</w:t>
        </w:r>
      </w:hyperlink>
      <w:r>
        <w:t xml:space="preserve"> </w:t>
      </w:r>
      <w:r w:rsidRPr="00997487">
        <w:t>[83].</w:t>
      </w:r>
    </w:p>
  </w:footnote>
  <w:footnote w:id="36">
    <w:p w14:paraId="14DA43EA" w14:textId="6C367005" w:rsidR="00F85EF4" w:rsidRPr="00DD07E1" w:rsidRDefault="00F85EF4" w:rsidP="001A2B3A">
      <w:pPr>
        <w:pStyle w:val="FootnoteText"/>
        <w:tabs>
          <w:tab w:val="left" w:pos="284"/>
        </w:tabs>
        <w:ind w:left="284" w:hanging="284"/>
      </w:pPr>
      <w:r w:rsidRPr="0043786E">
        <w:rPr>
          <w:rStyle w:val="FootnoteReference"/>
        </w:rPr>
        <w:footnoteRef/>
      </w:r>
      <w:r w:rsidRPr="0043786E">
        <w:t xml:space="preserve"> </w:t>
      </w:r>
      <w:r w:rsidR="00BC5D2E">
        <w:tab/>
      </w:r>
      <w:r w:rsidRPr="00DD07E1">
        <w:t>S</w:t>
      </w:r>
      <w:r w:rsidRPr="00997487">
        <w:t xml:space="preserve">ee </w:t>
      </w:r>
      <w:r w:rsidRPr="00997487">
        <w:rPr>
          <w:i/>
          <w:iCs/>
        </w:rPr>
        <w:t>Re Maher and Attorney-General’s Department</w:t>
      </w:r>
      <w:r w:rsidRPr="00997487">
        <w:t xml:space="preserve"> </w:t>
      </w:r>
      <w:hyperlink r:id="rId42" w:history="1">
        <w:r w:rsidRPr="000022FA">
          <w:rPr>
            <w:rStyle w:val="Hyperlink"/>
            <w:color w:val="007BAB" w:themeColor="text2" w:themeTint="BF"/>
          </w:rPr>
          <w:t>[1985] AATA 180</w:t>
        </w:r>
      </w:hyperlink>
      <w:r w:rsidRPr="00997487">
        <w:t>.</w:t>
      </w:r>
    </w:p>
  </w:footnote>
  <w:footnote w:id="37">
    <w:p w14:paraId="146C3290" w14:textId="108A2CB2" w:rsidR="00F85EF4" w:rsidRPr="00466A96" w:rsidRDefault="00F85EF4" w:rsidP="001A2B3A">
      <w:pPr>
        <w:pStyle w:val="FootnoteText"/>
        <w:tabs>
          <w:tab w:val="left" w:pos="284"/>
        </w:tabs>
        <w:ind w:left="284" w:hanging="284"/>
      </w:pPr>
      <w:r w:rsidRPr="0043786E">
        <w:rPr>
          <w:rStyle w:val="FootnoteReference"/>
        </w:rPr>
        <w:footnoteRef/>
      </w:r>
      <w:r w:rsidRPr="0043786E">
        <w:t xml:space="preserve"> </w:t>
      </w:r>
      <w:r w:rsidR="00BC5D2E">
        <w:tab/>
      </w:r>
      <w:r w:rsidRPr="00997487">
        <w:t xml:space="preserve">See </w:t>
      </w:r>
      <w:r w:rsidRPr="00997487">
        <w:rPr>
          <w:i/>
          <w:iCs/>
        </w:rPr>
        <w:t>Re Maher and Attorney-General’s Department</w:t>
      </w:r>
      <w:r w:rsidRPr="00997487">
        <w:t xml:space="preserve"> </w:t>
      </w:r>
      <w:hyperlink r:id="rId43" w:history="1">
        <w:r w:rsidRPr="000022FA">
          <w:rPr>
            <w:rStyle w:val="Hyperlink"/>
            <w:color w:val="007BAB" w:themeColor="text2" w:themeTint="BF"/>
          </w:rPr>
          <w:t>[1985] AATA 180</w:t>
        </w:r>
      </w:hyperlink>
      <w:r w:rsidRPr="00997487">
        <w:t xml:space="preserve"> for agreements and </w:t>
      </w:r>
      <w:r w:rsidRPr="00997487">
        <w:rPr>
          <w:i/>
          <w:iCs/>
        </w:rPr>
        <w:t>Re Queensland and Australian National Parks and Wildlife Service (Australians for Animals, party joined)</w:t>
      </w:r>
      <w:r w:rsidRPr="00997487">
        <w:t xml:space="preserve"> </w:t>
      </w:r>
      <w:hyperlink r:id="rId44" w:history="1">
        <w:r w:rsidRPr="000022FA">
          <w:rPr>
            <w:rStyle w:val="Hyperlink"/>
            <w:color w:val="007BAB" w:themeColor="text2" w:themeTint="BF"/>
          </w:rPr>
          <w:t>[1986] AATA 224</w:t>
        </w:r>
      </w:hyperlink>
      <w:r w:rsidRPr="00997487">
        <w:t xml:space="preserve"> for assumed arrangements.</w:t>
      </w:r>
      <w:r w:rsidR="00687FA1">
        <w:t xml:space="preserve"> </w:t>
      </w:r>
      <w:r w:rsidR="00687FA1" w:rsidRPr="00466A96">
        <w:t xml:space="preserve">See </w:t>
      </w:r>
      <w:r w:rsidR="00D93274" w:rsidRPr="00C563BD">
        <w:rPr>
          <w:rFonts w:ascii="Source Sans Pro" w:hAnsi="Source Sans Pro"/>
          <w:i/>
          <w:iCs/>
          <w:color w:val="333333"/>
          <w:shd w:val="clear" w:color="auto" w:fill="FFFFFF"/>
        </w:rPr>
        <w:t>Bradford and Australian Federal Police (Freedom of information)</w:t>
      </w:r>
      <w:r w:rsidR="00D93274" w:rsidRPr="00C563BD">
        <w:rPr>
          <w:rFonts w:ascii="Source Sans Pro" w:hAnsi="Source Sans Pro"/>
          <w:color w:val="333333"/>
          <w:shd w:val="clear" w:color="auto" w:fill="FFFFFF"/>
        </w:rPr>
        <w:t> </w:t>
      </w:r>
      <w:hyperlink r:id="rId45" w:tooltip="View Case" w:history="1">
        <w:r w:rsidR="00D93274" w:rsidRPr="00C563BD">
          <w:rPr>
            <w:rStyle w:val="Hyperlink"/>
            <w:rFonts w:ascii="Source Sans Pro" w:hAnsi="Source Sans Pro"/>
            <w:color w:val="007BAB" w:themeColor="text2" w:themeTint="BF"/>
          </w:rPr>
          <w:t>[2021] AATA 3984</w:t>
        </w:r>
      </w:hyperlink>
      <w:r w:rsidR="00D93274" w:rsidRPr="00C563BD">
        <w:rPr>
          <w:rFonts w:ascii="Source Sans Pro" w:hAnsi="Source Sans Pro"/>
          <w:color w:val="333333"/>
          <w:shd w:val="clear" w:color="auto" w:fill="FFFFFF"/>
        </w:rPr>
        <w:t xml:space="preserve"> [146]–[15</w:t>
      </w:r>
      <w:r w:rsidR="00C150F0">
        <w:rPr>
          <w:rFonts w:ascii="Source Sans Pro" w:hAnsi="Source Sans Pro"/>
          <w:color w:val="333333"/>
          <w:shd w:val="clear" w:color="auto" w:fill="FFFFFF"/>
        </w:rPr>
        <w:t>1</w:t>
      </w:r>
      <w:r w:rsidR="00D93274" w:rsidRPr="00C563BD">
        <w:rPr>
          <w:rFonts w:ascii="Source Sans Pro" w:hAnsi="Source Sans Pro"/>
          <w:color w:val="333333"/>
          <w:shd w:val="clear" w:color="auto" w:fill="FFFFFF"/>
        </w:rPr>
        <w:t xml:space="preserve">] for </w:t>
      </w:r>
      <w:r w:rsidR="008001AE">
        <w:rPr>
          <w:rFonts w:ascii="Source Sans Pro" w:hAnsi="Source Sans Pro"/>
          <w:color w:val="333333"/>
          <w:shd w:val="clear" w:color="auto" w:fill="FFFFFF"/>
        </w:rPr>
        <w:t xml:space="preserve">examples of </w:t>
      </w:r>
      <w:r w:rsidR="00466A96" w:rsidRPr="00C563BD">
        <w:rPr>
          <w:rFonts w:ascii="Source Sans Pro" w:hAnsi="Source Sans Pro"/>
          <w:color w:val="333333"/>
          <w:shd w:val="clear" w:color="auto" w:fill="FFFFFF"/>
        </w:rPr>
        <w:t>existing arrangements and understandings.</w:t>
      </w:r>
    </w:p>
  </w:footnote>
  <w:footnote w:id="38">
    <w:p w14:paraId="15DC8DE4" w14:textId="08D74329" w:rsidR="00F85EF4" w:rsidRPr="00997487" w:rsidRDefault="00F85EF4" w:rsidP="001A2B3A">
      <w:pPr>
        <w:pStyle w:val="FootnoteText"/>
        <w:tabs>
          <w:tab w:val="left" w:pos="284"/>
        </w:tabs>
        <w:ind w:left="284" w:hanging="284"/>
      </w:pPr>
      <w:r w:rsidRPr="0043786E">
        <w:rPr>
          <w:rStyle w:val="FootnoteReference"/>
        </w:rPr>
        <w:footnoteRef/>
      </w:r>
      <w:r w:rsidRPr="0043786E">
        <w:t xml:space="preserve"> </w:t>
      </w:r>
      <w:r w:rsidR="00BC5D2E">
        <w:tab/>
      </w:r>
      <w:r w:rsidRPr="00997487">
        <w:t xml:space="preserve">See </w:t>
      </w:r>
      <w:r w:rsidRPr="00997487">
        <w:rPr>
          <w:i/>
          <w:iCs/>
        </w:rPr>
        <w:t>McGarvin and Australian Prudential Regulation Authority</w:t>
      </w:r>
      <w:r w:rsidRPr="00997487">
        <w:t xml:space="preserve"> </w:t>
      </w:r>
      <w:hyperlink r:id="rId46" w:history="1">
        <w:r w:rsidRPr="00946CA3">
          <w:rPr>
            <w:rStyle w:val="Hyperlink"/>
            <w:color w:val="007BAB" w:themeColor="text2" w:themeTint="BF"/>
          </w:rPr>
          <w:t>[1998] AATA 585</w:t>
        </w:r>
      </w:hyperlink>
      <w:r w:rsidR="009325F8">
        <w:rPr>
          <w:rStyle w:val="Hyperlink"/>
          <w:color w:val="007BAB" w:themeColor="text2" w:themeTint="BF"/>
        </w:rPr>
        <w:t xml:space="preserve">; </w:t>
      </w:r>
      <w:r w:rsidR="009325F8">
        <w:rPr>
          <w:rFonts w:ascii="Source Sans Pro" w:hAnsi="Source Sans Pro"/>
          <w:i/>
          <w:iCs/>
          <w:color w:val="333333"/>
          <w:shd w:val="clear" w:color="auto" w:fill="FFFFFF"/>
        </w:rPr>
        <w:t>Rex Patrick and Department of Agriculture, Water and the Environment (Freedom of information)</w:t>
      </w:r>
      <w:r w:rsidR="009325F8">
        <w:rPr>
          <w:rFonts w:ascii="Source Sans Pro" w:hAnsi="Source Sans Pro"/>
          <w:color w:val="333333"/>
          <w:shd w:val="clear" w:color="auto" w:fill="FFFFFF"/>
        </w:rPr>
        <w:t> </w:t>
      </w:r>
      <w:hyperlink r:id="rId47" w:tooltip="View Case" w:history="1">
        <w:r w:rsidR="009325F8">
          <w:rPr>
            <w:rStyle w:val="Hyperlink"/>
            <w:rFonts w:ascii="Source Sans Pro" w:hAnsi="Source Sans Pro"/>
            <w:color w:val="3796CC"/>
            <w:shd w:val="clear" w:color="auto" w:fill="FFFFFF"/>
          </w:rPr>
          <w:t>[2021] AICmr 57</w:t>
        </w:r>
      </w:hyperlink>
      <w:r w:rsidR="009325F8">
        <w:t xml:space="preserve"> [30]–[31]</w:t>
      </w:r>
      <w:r w:rsidRPr="00946CA3">
        <w:rPr>
          <w:color w:val="007BAB" w:themeColor="text2" w:themeTint="BF"/>
        </w:rPr>
        <w:t>.</w:t>
      </w:r>
    </w:p>
  </w:footnote>
  <w:footnote w:id="39">
    <w:p w14:paraId="21C670D0" w14:textId="44474534" w:rsidR="00771398" w:rsidRDefault="00771398" w:rsidP="00E70826">
      <w:pPr>
        <w:pStyle w:val="FootnoteText"/>
        <w:ind w:left="284" w:hanging="284"/>
      </w:pPr>
      <w:r>
        <w:rPr>
          <w:rStyle w:val="FootnoteReference"/>
        </w:rPr>
        <w:footnoteRef/>
      </w:r>
      <w:r>
        <w:t xml:space="preserve"> </w:t>
      </w:r>
      <w:r>
        <w:tab/>
      </w:r>
      <w:r w:rsidR="0074337B">
        <w:t xml:space="preserve">In </w:t>
      </w:r>
      <w:r>
        <w:rPr>
          <w:rFonts w:ascii="Source Sans Pro" w:hAnsi="Source Sans Pro"/>
          <w:i/>
          <w:iCs/>
          <w:color w:val="333333"/>
          <w:shd w:val="clear" w:color="auto" w:fill="FFFFFF"/>
        </w:rPr>
        <w:t>Rex Patrick and Department of Agriculture, Water and the Environment (Freedom of information)</w:t>
      </w:r>
      <w:r>
        <w:rPr>
          <w:rFonts w:ascii="Source Sans Pro" w:hAnsi="Source Sans Pro"/>
          <w:color w:val="333333"/>
          <w:shd w:val="clear" w:color="auto" w:fill="FFFFFF"/>
        </w:rPr>
        <w:t> </w:t>
      </w:r>
      <w:hyperlink r:id="rId48" w:tooltip="View Case" w:history="1">
        <w:r>
          <w:rPr>
            <w:rStyle w:val="Hyperlink"/>
            <w:rFonts w:ascii="Source Sans Pro" w:hAnsi="Source Sans Pro"/>
            <w:color w:val="3796CC"/>
            <w:shd w:val="clear" w:color="auto" w:fill="FFFFFF"/>
          </w:rPr>
          <w:t>[2021] AICmr 57</w:t>
        </w:r>
      </w:hyperlink>
      <w:r>
        <w:t xml:space="preserve"> [30]</w:t>
      </w:r>
      <w:r w:rsidR="00D80740">
        <w:t xml:space="preserve">–[31] </w:t>
      </w:r>
      <w:r w:rsidR="0074337B">
        <w:t xml:space="preserve">the requested </w:t>
      </w:r>
      <w:r w:rsidR="0074337B">
        <w:rPr>
          <w:rFonts w:ascii="Source Sans Pro" w:hAnsi="Source Sans Pro"/>
          <w:color w:val="333333"/>
          <w:shd w:val="clear" w:color="auto" w:fill="FFFFFF"/>
        </w:rPr>
        <w:t>document was shared with the Department on a confidential basis at the time of the consultation</w:t>
      </w:r>
      <w:r w:rsidR="00D80740">
        <w:rPr>
          <w:rFonts w:ascii="Source Sans Pro" w:hAnsi="Source Sans Pro"/>
          <w:color w:val="333333"/>
          <w:shd w:val="clear" w:color="auto" w:fill="FFFFFF"/>
        </w:rPr>
        <w:t>,</w:t>
      </w:r>
      <w:r w:rsidR="0074337B">
        <w:rPr>
          <w:rFonts w:ascii="Source Sans Pro" w:hAnsi="Source Sans Pro"/>
          <w:color w:val="333333"/>
          <w:shd w:val="clear" w:color="auto" w:fill="FFFFFF"/>
        </w:rPr>
        <w:t xml:space="preserve"> but since then the final version of the document had been published.</w:t>
      </w:r>
    </w:p>
  </w:footnote>
  <w:footnote w:id="40">
    <w:p w14:paraId="20B986DF" w14:textId="23290CBF" w:rsidR="006204FE" w:rsidRDefault="006204FE" w:rsidP="00BA1702">
      <w:pPr>
        <w:pStyle w:val="FootnoteText"/>
        <w:tabs>
          <w:tab w:val="left" w:pos="284"/>
        </w:tabs>
        <w:ind w:left="284" w:hanging="284"/>
      </w:pPr>
      <w:r>
        <w:rPr>
          <w:rStyle w:val="FootnoteReference"/>
        </w:rPr>
        <w:footnoteRef/>
      </w:r>
      <w:r>
        <w:t xml:space="preserve"> </w:t>
      </w:r>
      <w:r w:rsidR="00FB7D28">
        <w:tab/>
      </w:r>
      <w:r w:rsidR="00FB7D28" w:rsidRPr="00BA1702">
        <w:rPr>
          <w:i/>
          <w:iCs/>
        </w:rPr>
        <w:t>D</w:t>
      </w:r>
      <w:r w:rsidR="00FB7D28" w:rsidRPr="00FB7D28">
        <w:rPr>
          <w:rFonts w:ascii="Segoe UI" w:hAnsi="Segoe UI" w:cs="Segoe UI"/>
          <w:i/>
          <w:iCs/>
          <w:color w:val="333333"/>
          <w:spacing w:val="0"/>
          <w:szCs w:val="18"/>
          <w:shd w:val="clear" w:color="auto" w:fill="FFFFFF"/>
        </w:rPr>
        <w:t>iamond and Chief Executive Officer of the Australian Curriculum, Assessment and Reporting Authority</w:t>
      </w:r>
      <w:r w:rsidR="00FB7D28" w:rsidRPr="00FB7D28">
        <w:rPr>
          <w:rFonts w:ascii="Segoe UI" w:hAnsi="Segoe UI" w:cs="Segoe UI"/>
          <w:color w:val="333333"/>
          <w:spacing w:val="0"/>
          <w:szCs w:val="18"/>
          <w:shd w:val="clear" w:color="auto" w:fill="FFFFFF"/>
        </w:rPr>
        <w:t xml:space="preserve"> </w:t>
      </w:r>
      <w:hyperlink r:id="rId49" w:history="1">
        <w:r w:rsidR="00FB7D28" w:rsidRPr="00FB7D28">
          <w:rPr>
            <w:rFonts w:ascii="Segoe UI" w:hAnsi="Segoe UI" w:cs="Segoe UI"/>
            <w:color w:val="333333"/>
            <w:spacing w:val="0"/>
            <w:szCs w:val="18"/>
            <w:u w:val="single"/>
            <w:shd w:val="clear" w:color="auto" w:fill="FFFFFF"/>
          </w:rPr>
          <w:t>[2014] AATA 707</w:t>
        </w:r>
      </w:hyperlink>
      <w:r w:rsidR="00FB7D28" w:rsidRPr="00FB7D28">
        <w:rPr>
          <w:rFonts w:ascii="Segoe UI" w:hAnsi="Segoe UI" w:cs="Segoe UI"/>
          <w:color w:val="333333"/>
          <w:spacing w:val="0"/>
          <w:szCs w:val="18"/>
          <w:shd w:val="clear" w:color="auto" w:fill="FFFFFF"/>
        </w:rPr>
        <w:t xml:space="preserve"> [98]</w:t>
      </w:r>
      <w:r w:rsidR="00FB7D28">
        <w:rPr>
          <w:rFonts w:ascii="Segoe UI" w:hAnsi="Segoe UI" w:cs="Segoe UI"/>
          <w:color w:val="333333"/>
          <w:spacing w:val="0"/>
          <w:szCs w:val="18"/>
          <w:shd w:val="clear" w:color="auto" w:fill="FFFFFF"/>
        </w:rPr>
        <w:t>.</w:t>
      </w:r>
    </w:p>
  </w:footnote>
  <w:footnote w:id="41">
    <w:p w14:paraId="493C138F" w14:textId="62EA1EDC" w:rsidR="00F85EF4" w:rsidRPr="00997487"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997487">
        <w:t xml:space="preserve">See </w:t>
      </w:r>
      <w:r w:rsidRPr="00997487">
        <w:rPr>
          <w:i/>
          <w:iCs/>
        </w:rPr>
        <w:t>General Steel Industries Inc v Commissioner for Railways (NSW)</w:t>
      </w:r>
      <w:r w:rsidRPr="00997487">
        <w:t xml:space="preserve"> </w:t>
      </w:r>
      <w:hyperlink r:id="rId50" w:history="1">
        <w:r w:rsidR="00076035" w:rsidRPr="00076035">
          <w:rPr>
            <w:rStyle w:val="Hyperlink"/>
            <w:color w:val="007BAB" w:themeColor="text2" w:themeTint="BF"/>
          </w:rPr>
          <w:t>[1964] HCA 69</w:t>
        </w:r>
      </w:hyperlink>
      <w:r w:rsidR="00076035">
        <w:t xml:space="preserve">; </w:t>
      </w:r>
      <w:r w:rsidRPr="00997487">
        <w:t>(1964) 112 CLR 125</w:t>
      </w:r>
      <w:r w:rsidR="00624551">
        <w:t>;</w:t>
      </w:r>
      <w:r w:rsidRPr="00997487">
        <w:t xml:space="preserve"> </w:t>
      </w:r>
      <w:r w:rsidRPr="00997487">
        <w:rPr>
          <w:i/>
          <w:iCs/>
        </w:rPr>
        <w:t>Committee of Direction of Fruit Marketing v Delegate of the Australian Postal Commission</w:t>
      </w:r>
      <w:r w:rsidRPr="00997487">
        <w:t xml:space="preserve"> </w:t>
      </w:r>
      <w:hyperlink r:id="rId51" w:history="1">
        <w:r w:rsidR="00076035" w:rsidRPr="00076035">
          <w:rPr>
            <w:rStyle w:val="Hyperlink"/>
            <w:color w:val="007BAB" w:themeColor="text2" w:themeTint="BF"/>
          </w:rPr>
          <w:t>[1980] HCA 23</w:t>
        </w:r>
      </w:hyperlink>
      <w:r w:rsidR="00076035">
        <w:t xml:space="preserve">; </w:t>
      </w:r>
      <w:r w:rsidRPr="00997487">
        <w:t>(1980) 144 CLR 577.</w:t>
      </w:r>
    </w:p>
  </w:footnote>
  <w:footnote w:id="42">
    <w:p w14:paraId="12A8C096" w14:textId="21530537"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9E5D92">
        <w:t xml:space="preserve">See </w:t>
      </w:r>
      <w:r w:rsidRPr="009E5D92">
        <w:rPr>
          <w:i/>
          <w:iCs/>
        </w:rPr>
        <w:t xml:space="preserve">Re JE Waterford and Department of Treasury (No 2) </w:t>
      </w:r>
      <w:hyperlink r:id="rId52" w:history="1">
        <w:r w:rsidRPr="00076035">
          <w:rPr>
            <w:rStyle w:val="Hyperlink"/>
          </w:rPr>
          <w:t>[1984] AATA 67</w:t>
        </w:r>
      </w:hyperlink>
      <w:r>
        <w:t xml:space="preserve"> [58];</w:t>
      </w:r>
      <w:r w:rsidR="00076035" w:rsidRPr="00076035">
        <w:t xml:space="preserve"> </w:t>
      </w:r>
      <w:r w:rsidR="00076035" w:rsidRPr="00076035">
        <w:rPr>
          <w:rFonts w:cs="Arial"/>
          <w:color w:val="000000"/>
          <w:szCs w:val="18"/>
          <w:shd w:val="clear" w:color="auto" w:fill="FFFFFF"/>
        </w:rPr>
        <w:t>(1984) 5 ALD 588</w:t>
      </w:r>
      <w:r w:rsidR="00624551">
        <w:rPr>
          <w:rFonts w:cs="Arial"/>
          <w:color w:val="000000"/>
          <w:szCs w:val="18"/>
          <w:shd w:val="clear" w:color="auto" w:fill="FFFFFF"/>
        </w:rPr>
        <w:t>;</w:t>
      </w:r>
      <w:r>
        <w:t xml:space="preserve"> </w:t>
      </w:r>
      <w:r w:rsidRPr="009E5D92">
        <w:rPr>
          <w:i/>
          <w:iCs/>
        </w:rPr>
        <w:t>British American Tobacco Australia Ltd and Australian Competition and Consumer Commission</w:t>
      </w:r>
      <w:r w:rsidRPr="009E5D92">
        <w:t xml:space="preserve"> </w:t>
      </w:r>
      <w:hyperlink r:id="rId53" w:history="1">
        <w:r w:rsidRPr="00076035">
          <w:rPr>
            <w:rStyle w:val="Hyperlink"/>
            <w:color w:val="007BAB" w:themeColor="text2" w:themeTint="BF"/>
          </w:rPr>
          <w:t>[2012] AICmr 19</w:t>
        </w:r>
      </w:hyperlink>
      <w:r w:rsidRPr="009E5D92">
        <w:t xml:space="preserve"> [15]–[22]</w:t>
      </w:r>
      <w:r w:rsidR="00624551">
        <w:t>;</w:t>
      </w:r>
      <w:r>
        <w:t xml:space="preserve"> </w:t>
      </w:r>
      <w:r w:rsidRPr="009E5D92">
        <w:rPr>
          <w:i/>
          <w:iCs/>
        </w:rPr>
        <w:t>Carver and Fair Work Ombudsman</w:t>
      </w:r>
      <w:r w:rsidRPr="009E5D92">
        <w:t xml:space="preserve"> </w:t>
      </w:r>
      <w:hyperlink r:id="rId54" w:history="1">
        <w:r w:rsidRPr="00076035">
          <w:rPr>
            <w:rStyle w:val="Hyperlink"/>
            <w:color w:val="007BAB" w:themeColor="text2" w:themeTint="BF"/>
          </w:rPr>
          <w:t>[2011] AICmr 5</w:t>
        </w:r>
      </w:hyperlink>
      <w:r w:rsidRPr="009E5D92">
        <w:t xml:space="preserve"> in relation to code of conduct investigations.</w:t>
      </w:r>
    </w:p>
  </w:footnote>
  <w:footnote w:id="43">
    <w:p w14:paraId="3E0D4CE9" w14:textId="394306AE" w:rsidR="006C05FD" w:rsidRPr="00695929" w:rsidRDefault="006C05FD" w:rsidP="006C05FD">
      <w:pPr>
        <w:pStyle w:val="FootnoteText"/>
        <w:ind w:left="284" w:hanging="284"/>
      </w:pPr>
      <w:r>
        <w:rPr>
          <w:rStyle w:val="FootnoteReference"/>
        </w:rPr>
        <w:footnoteRef/>
      </w:r>
      <w:r>
        <w:t xml:space="preserve"> </w:t>
      </w:r>
      <w:r>
        <w:tab/>
      </w:r>
      <w:r w:rsidRPr="00327C39">
        <w:rPr>
          <w:rFonts w:ascii="Source Sans Pro" w:hAnsi="Source Sans Pro"/>
          <w:i/>
          <w:iCs/>
          <w:color w:val="333333"/>
          <w:shd w:val="clear" w:color="auto" w:fill="FFFFFF"/>
        </w:rPr>
        <w:t>Patrick and Secretary, Department of Prime Minister and Cabinet (Freedom of information)</w:t>
      </w:r>
      <w:r w:rsidRPr="00327C39">
        <w:rPr>
          <w:rFonts w:ascii="Source Sans Pro" w:hAnsi="Source Sans Pro"/>
          <w:color w:val="333333"/>
          <w:shd w:val="clear" w:color="auto" w:fill="FFFFFF"/>
        </w:rPr>
        <w:t> </w:t>
      </w:r>
      <w:hyperlink r:id="rId55" w:tooltip="View Case" w:history="1">
        <w:r w:rsidRPr="00327C39">
          <w:rPr>
            <w:rStyle w:val="Hyperlink"/>
            <w:rFonts w:ascii="Source Sans Pro" w:hAnsi="Source Sans Pro"/>
            <w:color w:val="0070C0"/>
          </w:rPr>
          <w:t>[2020] AATA 4964</w:t>
        </w:r>
      </w:hyperlink>
      <w:r w:rsidRPr="00327C39">
        <w:rPr>
          <w:rFonts w:ascii="Source Sans Pro" w:hAnsi="Source Sans Pro"/>
          <w:color w:val="333333"/>
          <w:shd w:val="clear" w:color="auto" w:fill="FFFFFF"/>
        </w:rPr>
        <w:t xml:space="preserve"> </w:t>
      </w:r>
      <w:r>
        <w:rPr>
          <w:rFonts w:ascii="Source Sans Pro" w:hAnsi="Source Sans Pro"/>
          <w:color w:val="333333"/>
          <w:shd w:val="clear" w:color="auto" w:fill="FFFFFF"/>
        </w:rPr>
        <w:t>(</w:t>
      </w:r>
      <w:r w:rsidRPr="00327C39">
        <w:rPr>
          <w:rFonts w:ascii="Source Sans Pro" w:hAnsi="Source Sans Pro"/>
          <w:i/>
          <w:iCs/>
          <w:color w:val="333333"/>
          <w:shd w:val="clear" w:color="auto" w:fill="FFFFFF"/>
        </w:rPr>
        <w:t>‘Patrick’</w:t>
      </w:r>
      <w:r>
        <w:rPr>
          <w:rFonts w:ascii="Source Sans Pro" w:hAnsi="Source Sans Pro"/>
          <w:color w:val="333333"/>
          <w:shd w:val="clear" w:color="auto" w:fill="FFFFFF"/>
        </w:rPr>
        <w:t xml:space="preserve">) </w:t>
      </w:r>
      <w:r w:rsidRPr="00327C39">
        <w:rPr>
          <w:rFonts w:ascii="Source Sans Pro" w:hAnsi="Source Sans Pro"/>
          <w:color w:val="333333"/>
          <w:shd w:val="clear" w:color="auto" w:fill="FFFFFF"/>
        </w:rPr>
        <w:t>[7</w:t>
      </w:r>
      <w:r>
        <w:rPr>
          <w:rFonts w:ascii="Source Sans Pro" w:hAnsi="Source Sans Pro"/>
          <w:color w:val="333333"/>
          <w:shd w:val="clear" w:color="auto" w:fill="FFFFFF"/>
        </w:rPr>
        <w:t>2</w:t>
      </w:r>
      <w:r w:rsidRPr="00327C39">
        <w:rPr>
          <w:rFonts w:ascii="Source Sans Pro" w:hAnsi="Source Sans Pro"/>
          <w:color w:val="333333"/>
          <w:shd w:val="clear" w:color="auto" w:fill="FFFFFF"/>
        </w:rPr>
        <w:t>].</w:t>
      </w:r>
      <w:r>
        <w:rPr>
          <w:rFonts w:ascii="Source Sans Pro" w:hAnsi="Source Sans Pro"/>
          <w:color w:val="333333"/>
          <w:shd w:val="clear" w:color="auto" w:fill="FFFFFF"/>
        </w:rPr>
        <w:t xml:space="preserve"> In ‘</w:t>
      </w:r>
      <w:r w:rsidRPr="00327C39">
        <w:rPr>
          <w:rFonts w:ascii="Source Sans Pro" w:hAnsi="Source Sans Pro"/>
          <w:i/>
          <w:iCs/>
          <w:color w:val="333333"/>
          <w:shd w:val="clear" w:color="auto" w:fill="FFFFFF"/>
        </w:rPr>
        <w:t>Patrick</w:t>
      </w:r>
      <w:r>
        <w:rPr>
          <w:rFonts w:ascii="Source Sans Pro" w:hAnsi="Source Sans Pro"/>
          <w:i/>
          <w:iCs/>
          <w:color w:val="333333"/>
          <w:shd w:val="clear" w:color="auto" w:fill="FFFFFF"/>
        </w:rPr>
        <w:t>’</w:t>
      </w:r>
      <w:r>
        <w:rPr>
          <w:rFonts w:ascii="Source Sans Pro" w:hAnsi="Source Sans Pro"/>
          <w:color w:val="333333"/>
          <w:shd w:val="clear" w:color="auto" w:fill="FFFFFF"/>
        </w:rPr>
        <w:t xml:space="preserve"> Deputy President Britten-Jones concluded at [77] that an audit report prepared to assess the effectiveness and value for money of the Department of Defence’s acquisition of light protected vehicles did not involve a deliberative process because the audit report did not involve the weighing up or evaluation of competing arguments and did not involve the exercise of judgment in developing and making a selection from different options. In so far as the audit report disclosed an opinion, the opinion was not obtained, prepared or </w:t>
      </w:r>
      <w:r w:rsidRPr="00695929">
        <w:rPr>
          <w:rFonts w:ascii="Source Sans Pro" w:hAnsi="Source Sans Pro"/>
          <w:color w:val="333333"/>
          <w:shd w:val="clear" w:color="auto" w:fill="FFFFFF"/>
        </w:rPr>
        <w:t>recorded in the course of, or for the purposes of, any deliberative processes involved in the functions of the Auditor-General.  As a</w:t>
      </w:r>
      <w:r w:rsidRPr="00327C39">
        <w:rPr>
          <w:rFonts w:ascii="Source Sans Pro" w:hAnsi="Source Sans Pro"/>
          <w:color w:val="333333"/>
          <w:shd w:val="clear" w:color="auto" w:fill="FFFFFF"/>
        </w:rPr>
        <w:t xml:space="preserve"> </w:t>
      </w:r>
      <w:r w:rsidRPr="00EF61D4">
        <w:rPr>
          <w:rFonts w:ascii="Source Sans Pro" w:hAnsi="Source Sans Pro"/>
          <w:color w:val="333333"/>
          <w:shd w:val="clear" w:color="auto" w:fill="FFFFFF"/>
        </w:rPr>
        <w:t>consequence,</w:t>
      </w:r>
      <w:r w:rsidRPr="00327C39">
        <w:rPr>
          <w:rFonts w:ascii="Source Sans Pro" w:hAnsi="Source Sans Pro"/>
          <w:color w:val="333333"/>
          <w:shd w:val="clear" w:color="auto" w:fill="FFFFFF"/>
        </w:rPr>
        <w:t xml:space="preserve"> the audit report was not found to be conditionally exempt under s 47C.</w:t>
      </w:r>
    </w:p>
  </w:footnote>
  <w:footnote w:id="44">
    <w:p w14:paraId="2D19A6EE" w14:textId="36021715"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9E5D92">
        <w:t xml:space="preserve">See </w:t>
      </w:r>
      <w:r w:rsidRPr="009E5D92">
        <w:rPr>
          <w:i/>
          <w:iCs/>
        </w:rPr>
        <w:t>Re Murtagh and Commissioner of Taxation</w:t>
      </w:r>
      <w:r w:rsidRPr="009E5D92">
        <w:t xml:space="preserve"> </w:t>
      </w:r>
      <w:hyperlink r:id="rId56" w:history="1">
        <w:r w:rsidRPr="00076035">
          <w:rPr>
            <w:rStyle w:val="Hyperlink"/>
            <w:color w:val="007BAB" w:themeColor="text2" w:themeTint="BF"/>
          </w:rPr>
          <w:t>[1984] AATA 249</w:t>
        </w:r>
      </w:hyperlink>
      <w:r>
        <w:t xml:space="preserve">; </w:t>
      </w:r>
      <w:r w:rsidRPr="009E5D92">
        <w:rPr>
          <w:i/>
          <w:iCs/>
        </w:rPr>
        <w:t>Re Reith and Attorney-General’s Department</w:t>
      </w:r>
      <w:r w:rsidRPr="009E5D92">
        <w:t xml:space="preserve"> </w:t>
      </w:r>
      <w:hyperlink r:id="rId57" w:history="1">
        <w:r w:rsidRPr="00076035">
          <w:rPr>
            <w:rStyle w:val="Hyperlink"/>
          </w:rPr>
          <w:t>[1986] AATA 437</w:t>
        </w:r>
      </w:hyperlink>
      <w:r w:rsidR="00624551">
        <w:rPr>
          <w:rStyle w:val="Hyperlink"/>
        </w:rPr>
        <w:t>;</w:t>
      </w:r>
      <w:r>
        <w:t xml:space="preserve"> </w:t>
      </w:r>
      <w:r w:rsidRPr="009E5D92">
        <w:rPr>
          <w:i/>
          <w:iCs/>
        </w:rPr>
        <w:t>Re Zacek and Australian Postal Corporation</w:t>
      </w:r>
      <w:r w:rsidRPr="009E5D92">
        <w:t xml:space="preserve"> </w:t>
      </w:r>
      <w:hyperlink r:id="rId58" w:history="1">
        <w:r w:rsidRPr="00076035">
          <w:rPr>
            <w:rStyle w:val="Hyperlink"/>
            <w:color w:val="007BAB" w:themeColor="text2" w:themeTint="BF"/>
          </w:rPr>
          <w:t>[2002] AATA 473</w:t>
        </w:r>
      </w:hyperlink>
      <w:r w:rsidRPr="009E5D92">
        <w:t>.</w:t>
      </w:r>
    </w:p>
  </w:footnote>
  <w:footnote w:id="45">
    <w:p w14:paraId="4C25BEF8" w14:textId="442E7DBC" w:rsidR="00F85EF4" w:rsidRPr="00DD07E1" w:rsidRDefault="00F85EF4" w:rsidP="00BC5D2E">
      <w:pPr>
        <w:pStyle w:val="FootnoteText"/>
        <w:tabs>
          <w:tab w:val="left" w:pos="284"/>
        </w:tabs>
      </w:pPr>
      <w:r w:rsidRPr="0043786E">
        <w:rPr>
          <w:rStyle w:val="FootnoteReference"/>
        </w:rPr>
        <w:footnoteRef/>
      </w:r>
      <w:r w:rsidRPr="0043786E">
        <w:t xml:space="preserve"> </w:t>
      </w:r>
      <w:r w:rsidR="00BC5D2E">
        <w:tab/>
      </w:r>
      <w:r w:rsidRPr="009E5D92">
        <w:t xml:space="preserve">See </w:t>
      </w:r>
      <w:r w:rsidRPr="009E5D92">
        <w:rPr>
          <w:i/>
          <w:iCs/>
        </w:rPr>
        <w:t>Chapman and Chapman and Minister for Aboriginal and Torres Strait Islander Affairs</w:t>
      </w:r>
      <w:r w:rsidRPr="009E5D92">
        <w:t xml:space="preserve"> </w:t>
      </w:r>
      <w:hyperlink r:id="rId59" w:history="1">
        <w:r w:rsidRPr="002B34FC">
          <w:rPr>
            <w:rStyle w:val="Hyperlink"/>
            <w:color w:val="007BAB" w:themeColor="text2" w:themeTint="BF"/>
          </w:rPr>
          <w:t>[1996] AATA 210</w:t>
        </w:r>
      </w:hyperlink>
      <w:r w:rsidR="002B34FC">
        <w:rPr>
          <w:color w:val="007BAB" w:themeColor="text2" w:themeTint="BF"/>
        </w:rPr>
        <w:t>;</w:t>
      </w:r>
      <w:r w:rsidR="002B34FC" w:rsidRPr="002B34FC">
        <w:rPr>
          <w:color w:val="007BAB" w:themeColor="text2" w:themeTint="BF"/>
        </w:rPr>
        <w:t xml:space="preserve"> </w:t>
      </w:r>
      <w:r w:rsidR="002B34FC" w:rsidRPr="002B34FC">
        <w:rPr>
          <w:rFonts w:cs="Arial"/>
          <w:color w:val="000000"/>
          <w:szCs w:val="18"/>
          <w:shd w:val="clear" w:color="auto" w:fill="FFFFFF"/>
        </w:rPr>
        <w:t>(1996) 43 ALD 139</w:t>
      </w:r>
      <w:r w:rsidRPr="002B34FC">
        <w:t>.</w:t>
      </w:r>
    </w:p>
  </w:footnote>
  <w:footnote w:id="46">
    <w:p w14:paraId="5F1C0702" w14:textId="631F553F" w:rsidR="00F85EF4" w:rsidRPr="009E5D92" w:rsidRDefault="00F85EF4" w:rsidP="00BC5D2E">
      <w:pPr>
        <w:pStyle w:val="FootnoteText"/>
        <w:tabs>
          <w:tab w:val="left" w:pos="284"/>
        </w:tabs>
        <w:ind w:left="284" w:hanging="284"/>
      </w:pPr>
      <w:r>
        <w:rPr>
          <w:rStyle w:val="FootnoteReference"/>
        </w:rPr>
        <w:footnoteRef/>
      </w:r>
      <w:r>
        <w:t xml:space="preserve"> </w:t>
      </w:r>
      <w:r w:rsidR="00BC5D2E">
        <w:tab/>
      </w:r>
      <w:r w:rsidRPr="009E5D92">
        <w:rPr>
          <w:i/>
          <w:iCs/>
        </w:rPr>
        <w:t>Secretary, Department of Prime Minister and Cabinet and Secretary, Department of Infrastructure and Regional Development and Sanderson (Party Joined)</w:t>
      </w:r>
      <w:r w:rsidRPr="009E5D92">
        <w:t xml:space="preserve"> </w:t>
      </w:r>
      <w:hyperlink r:id="rId60" w:history="1">
        <w:r w:rsidRPr="00527A6D">
          <w:rPr>
            <w:rStyle w:val="Hyperlink"/>
          </w:rPr>
          <w:t>[2015] AATA 361</w:t>
        </w:r>
      </w:hyperlink>
      <w:r w:rsidRPr="009E5D92">
        <w:t xml:space="preserve"> [93].</w:t>
      </w:r>
    </w:p>
  </w:footnote>
  <w:footnote w:id="47">
    <w:p w14:paraId="5145CC8A" w14:textId="093C511B" w:rsidR="00F85EF4" w:rsidRPr="009E5D92"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9E5D92">
        <w:t xml:space="preserve">As discussed by Bennett J in </w:t>
      </w:r>
      <w:r w:rsidRPr="009E5D92">
        <w:rPr>
          <w:i/>
          <w:iCs/>
        </w:rPr>
        <w:t>Dreyfus and Secretary Attorney-General’s Department (Freedom of information)</w:t>
      </w:r>
      <w:r w:rsidRPr="009E5D92">
        <w:t xml:space="preserve"> </w:t>
      </w:r>
      <w:hyperlink r:id="rId61" w:history="1">
        <w:r w:rsidRPr="00527A6D">
          <w:rPr>
            <w:rStyle w:val="Hyperlink"/>
            <w:color w:val="007BAB" w:themeColor="text2" w:themeTint="BF"/>
          </w:rPr>
          <w:t>[2015] AATA 962</w:t>
        </w:r>
      </w:hyperlink>
      <w:r w:rsidRPr="009E5D92">
        <w:t xml:space="preserve"> [18].</w:t>
      </w:r>
    </w:p>
  </w:footnote>
  <w:footnote w:id="48">
    <w:p w14:paraId="7DC4AAC9" w14:textId="6A002F6E" w:rsidR="00F85EF4" w:rsidRPr="009E5D92"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9E5D92">
        <w:t xml:space="preserve">As explained by Forgie DP in </w:t>
      </w:r>
      <w:r w:rsidRPr="009E5D92">
        <w:rPr>
          <w:i/>
          <w:iCs/>
        </w:rPr>
        <w:t>Wood; Secretary, Department of Prime Minister and Cabinet and (Freedom of information)</w:t>
      </w:r>
      <w:r w:rsidRPr="009E5D92">
        <w:t xml:space="preserve"> </w:t>
      </w:r>
      <w:hyperlink r:id="rId62" w:history="1">
        <w:r w:rsidRPr="00527A6D">
          <w:rPr>
            <w:rStyle w:val="Hyperlink"/>
            <w:color w:val="007BAB" w:themeColor="text2" w:themeTint="BF"/>
          </w:rPr>
          <w:t>[2015] AATA 945</w:t>
        </w:r>
      </w:hyperlink>
      <w:r>
        <w:t xml:space="preserve"> </w:t>
      </w:r>
      <w:r w:rsidRPr="009E5D92">
        <w:t>[39].</w:t>
      </w:r>
    </w:p>
  </w:footnote>
  <w:footnote w:id="49">
    <w:p w14:paraId="7CD8ED5B" w14:textId="57C685D8" w:rsidR="00F85EF4" w:rsidRPr="009E5D92"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9E5D92">
        <w:t xml:space="preserve">See </w:t>
      </w:r>
      <w:r w:rsidRPr="009E5D92">
        <w:rPr>
          <w:i/>
          <w:iCs/>
        </w:rPr>
        <w:t>Secretary, Department of Employment, Workplace Relations v Small Business and Staff Development and Training Centre Pty Ltd</w:t>
      </w:r>
      <w:r w:rsidRPr="009E5D92">
        <w:t xml:space="preserve"> </w:t>
      </w:r>
      <w:hyperlink r:id="rId63" w:tooltip="Federal Court of Australia - View Full Text on AustLII" w:history="1">
        <w:r w:rsidR="00527A6D" w:rsidRPr="00527A6D">
          <w:rPr>
            <w:rStyle w:val="Hyperlink"/>
            <w:rFonts w:cs="Arial"/>
            <w:color w:val="007BAB" w:themeColor="text2" w:themeTint="BF"/>
            <w:szCs w:val="18"/>
            <w:shd w:val="clear" w:color="auto" w:fill="FFFFFF"/>
          </w:rPr>
          <w:t>[2001] FCA 1375</w:t>
        </w:r>
      </w:hyperlink>
      <w:r w:rsidR="00527A6D" w:rsidRPr="00527A6D">
        <w:rPr>
          <w:color w:val="007BAB" w:themeColor="text2" w:themeTint="BF"/>
        </w:rPr>
        <w:t xml:space="preserve">; </w:t>
      </w:r>
      <w:r w:rsidRPr="009E5D92">
        <w:t>(2001) 114 FCR 301.</w:t>
      </w:r>
    </w:p>
  </w:footnote>
  <w:footnote w:id="50">
    <w:p w14:paraId="2916C481" w14:textId="2661A1FA"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A0316F">
        <w:t xml:space="preserve">See </w:t>
      </w:r>
      <w:r w:rsidRPr="00A0316F">
        <w:rPr>
          <w:i/>
          <w:iCs/>
        </w:rPr>
        <w:t>Re VXF and Human Rights and Equal Opportunity Commission</w:t>
      </w:r>
      <w:r w:rsidRPr="00A0316F">
        <w:t xml:space="preserve"> </w:t>
      </w:r>
      <w:hyperlink r:id="rId64" w:history="1">
        <w:r w:rsidRPr="008138D2">
          <w:rPr>
            <w:rStyle w:val="Hyperlink"/>
            <w:color w:val="007BAB" w:themeColor="text2" w:themeTint="BF"/>
          </w:rPr>
          <w:t>[1989] AATA 107</w:t>
        </w:r>
      </w:hyperlink>
      <w:r w:rsidRPr="00A0316F">
        <w:t>.</w:t>
      </w:r>
    </w:p>
  </w:footnote>
  <w:footnote w:id="51">
    <w:p w14:paraId="697D59DC" w14:textId="2DF46530"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A0316F">
        <w:t xml:space="preserve">See </w:t>
      </w:r>
      <w:r w:rsidRPr="00A0316F">
        <w:rPr>
          <w:i/>
          <w:iCs/>
        </w:rPr>
        <w:t>Subramanian and Refugee Review Tribunal</w:t>
      </w:r>
      <w:r w:rsidRPr="00A0316F">
        <w:t xml:space="preserve"> </w:t>
      </w:r>
      <w:hyperlink r:id="rId65" w:history="1">
        <w:r w:rsidRPr="00343FB3">
          <w:rPr>
            <w:rStyle w:val="Hyperlink"/>
            <w:color w:val="007BAB" w:themeColor="text2" w:themeTint="BF"/>
          </w:rPr>
          <w:t>[1997] AATA 31</w:t>
        </w:r>
      </w:hyperlink>
      <w:r w:rsidRPr="00A0316F">
        <w:t>.</w:t>
      </w:r>
    </w:p>
  </w:footnote>
  <w:footnote w:id="52">
    <w:p w14:paraId="116858CD" w14:textId="1210C97F" w:rsidR="00F85EF4" w:rsidRDefault="00F85EF4" w:rsidP="00BC5D2E">
      <w:pPr>
        <w:pStyle w:val="FootnoteText"/>
        <w:tabs>
          <w:tab w:val="left" w:pos="284"/>
        </w:tabs>
        <w:ind w:left="284" w:hanging="284"/>
      </w:pPr>
      <w:r>
        <w:rPr>
          <w:rStyle w:val="FootnoteReference"/>
        </w:rPr>
        <w:footnoteRef/>
      </w:r>
      <w:r>
        <w:t xml:space="preserve"> </w:t>
      </w:r>
      <w:r w:rsidR="00BC5D2E">
        <w:tab/>
      </w:r>
      <w:r w:rsidRPr="00A0316F">
        <w:t xml:space="preserve">See </w:t>
      </w:r>
      <w:r w:rsidRPr="00A0316F">
        <w:rPr>
          <w:i/>
          <w:iCs/>
        </w:rPr>
        <w:t>Chapman and Chapman and Minister of Aboriginal and Torres Strait Islander Affairs</w:t>
      </w:r>
      <w:r w:rsidRPr="00A0316F">
        <w:t xml:space="preserve"> </w:t>
      </w:r>
      <w:hyperlink r:id="rId66" w:history="1">
        <w:r w:rsidRPr="00A96DD4">
          <w:rPr>
            <w:rStyle w:val="Hyperlink"/>
            <w:color w:val="007BAB" w:themeColor="text2" w:themeTint="BF"/>
          </w:rPr>
          <w:t>[1996] AATA 210</w:t>
        </w:r>
      </w:hyperlink>
      <w:r w:rsidR="00A96DD4">
        <w:rPr>
          <w:color w:val="007BAB" w:themeColor="text2" w:themeTint="BF"/>
        </w:rPr>
        <w:t>;</w:t>
      </w:r>
      <w:r w:rsidR="00A96DD4" w:rsidRPr="00A96DD4">
        <w:rPr>
          <w:color w:val="007BAB" w:themeColor="text2" w:themeTint="BF"/>
        </w:rPr>
        <w:t xml:space="preserve"> </w:t>
      </w:r>
      <w:r w:rsidR="00A96DD4" w:rsidRPr="00A96DD4">
        <w:rPr>
          <w:rFonts w:cs="Arial"/>
          <w:color w:val="000000"/>
          <w:szCs w:val="18"/>
          <w:shd w:val="clear" w:color="auto" w:fill="FFFFFF"/>
        </w:rPr>
        <w:t>(1996) 43 ALD 139</w:t>
      </w:r>
      <w:r w:rsidRPr="00A96DD4">
        <w:t xml:space="preserve">; </w:t>
      </w:r>
      <w:r w:rsidRPr="00A0316F">
        <w:rPr>
          <w:i/>
          <w:iCs/>
        </w:rPr>
        <w:t>British American Tobacco Australia Ltd and Australian Competition and Consumer Commission</w:t>
      </w:r>
      <w:r w:rsidRPr="00A0316F">
        <w:t xml:space="preserve"> </w:t>
      </w:r>
      <w:hyperlink r:id="rId67" w:history="1">
        <w:r w:rsidRPr="00A96DD4">
          <w:rPr>
            <w:rStyle w:val="Hyperlink"/>
            <w:color w:val="007BAB" w:themeColor="text2" w:themeTint="BF"/>
          </w:rPr>
          <w:t>[2012] AICmr 19</w:t>
        </w:r>
      </w:hyperlink>
      <w:r w:rsidR="00A96DD4">
        <w:rPr>
          <w:color w:val="007BAB" w:themeColor="text2" w:themeTint="BF"/>
        </w:rPr>
        <w:t>;</w:t>
      </w:r>
      <w:r w:rsidRPr="00A0316F">
        <w:t xml:space="preserve"> </w:t>
      </w:r>
      <w:r w:rsidRPr="00A0316F">
        <w:rPr>
          <w:i/>
          <w:iCs/>
        </w:rPr>
        <w:t>Briggs and the Department of the Treasury (No. 3)</w:t>
      </w:r>
      <w:r w:rsidRPr="00A0316F">
        <w:t xml:space="preserve"> </w:t>
      </w:r>
      <w:hyperlink r:id="rId68" w:history="1">
        <w:r w:rsidRPr="00A96DD4">
          <w:rPr>
            <w:rStyle w:val="Hyperlink"/>
            <w:color w:val="007BAB" w:themeColor="text2" w:themeTint="BF"/>
          </w:rPr>
          <w:t>[2012] AICmr 22</w:t>
        </w:r>
      </w:hyperlink>
      <w:r w:rsidRPr="00A0316F">
        <w:t>.</w:t>
      </w:r>
    </w:p>
  </w:footnote>
  <w:footnote w:id="53">
    <w:p w14:paraId="0EFD211B" w14:textId="67088545" w:rsidR="00F85EF4" w:rsidRPr="00DD07E1" w:rsidRDefault="00F85EF4" w:rsidP="00EB0973">
      <w:pPr>
        <w:pStyle w:val="FootnoteText"/>
        <w:tabs>
          <w:tab w:val="left" w:pos="284"/>
        </w:tabs>
        <w:ind w:left="284" w:hanging="284"/>
      </w:pPr>
      <w:r w:rsidRPr="0043786E">
        <w:rPr>
          <w:rStyle w:val="FootnoteReference"/>
        </w:rPr>
        <w:footnoteRef/>
      </w:r>
      <w:r w:rsidRPr="0043786E">
        <w:t xml:space="preserve"> </w:t>
      </w:r>
      <w:r w:rsidR="00BC5D2E">
        <w:tab/>
      </w:r>
      <w:r w:rsidRPr="00A0316F">
        <w:t xml:space="preserve">See </w:t>
      </w:r>
      <w:r w:rsidRPr="00A0316F">
        <w:rPr>
          <w:i/>
          <w:iCs/>
        </w:rPr>
        <w:t>Secretary, Department of Employment, Workplace Relations and Small Business v Staff Development and Training Centre Pty Ltd</w:t>
      </w:r>
      <w:r w:rsidRPr="00A0316F">
        <w:t xml:space="preserve"> </w:t>
      </w:r>
      <w:hyperlink r:id="rId69" w:history="1">
        <w:r w:rsidR="00A96DD4" w:rsidRPr="00A96DD4">
          <w:rPr>
            <w:rStyle w:val="Hyperlink"/>
            <w:color w:val="007BAB" w:themeColor="text2" w:themeTint="BF"/>
          </w:rPr>
          <w:t>[2001] FCA 1375</w:t>
        </w:r>
      </w:hyperlink>
      <w:r w:rsidR="00A96DD4">
        <w:t xml:space="preserve">; </w:t>
      </w:r>
      <w:r w:rsidRPr="00A0316F">
        <w:t>(2001) 114 FCR 301.</w:t>
      </w:r>
    </w:p>
  </w:footnote>
  <w:footnote w:id="54">
    <w:p w14:paraId="1FEBD131" w14:textId="584D2ACB" w:rsidR="00F85EF4" w:rsidRPr="00DD07E1" w:rsidRDefault="00F85EF4" w:rsidP="00EB0973">
      <w:pPr>
        <w:pStyle w:val="FootnoteText"/>
        <w:tabs>
          <w:tab w:val="left" w:pos="284"/>
        </w:tabs>
        <w:ind w:left="284" w:hanging="284"/>
      </w:pPr>
      <w:r w:rsidRPr="0043786E">
        <w:rPr>
          <w:rStyle w:val="FootnoteReference"/>
        </w:rPr>
        <w:footnoteRef/>
      </w:r>
      <w:r w:rsidRPr="0043786E">
        <w:t xml:space="preserve"> </w:t>
      </w:r>
      <w:r w:rsidR="00BC5D2E">
        <w:tab/>
      </w:r>
      <w:r w:rsidRPr="00A0316F">
        <w:t xml:space="preserve">See </w:t>
      </w:r>
      <w:r w:rsidRPr="00A0316F">
        <w:rPr>
          <w:i/>
          <w:iCs/>
        </w:rPr>
        <w:t>Re Susic and Australian Institute of Marine Science</w:t>
      </w:r>
      <w:r w:rsidRPr="00A0316F">
        <w:t xml:space="preserve"> </w:t>
      </w:r>
      <w:hyperlink r:id="rId70" w:history="1">
        <w:r w:rsidR="00EB0973" w:rsidRPr="00EB0973">
          <w:rPr>
            <w:rStyle w:val="Hyperlink"/>
            <w:color w:val="007BAB" w:themeColor="text2" w:themeTint="BF"/>
          </w:rPr>
          <w:t>[1993] AATA 97</w:t>
        </w:r>
      </w:hyperlink>
      <w:r w:rsidR="00EB0973">
        <w:t xml:space="preserve">; </w:t>
      </w:r>
      <w:r w:rsidRPr="00A0316F">
        <w:rPr>
          <w:i/>
          <w:iCs/>
        </w:rPr>
        <w:t>Re Booker and Department of Social Security</w:t>
      </w:r>
      <w:r w:rsidRPr="00A0316F">
        <w:t xml:space="preserve"> </w:t>
      </w:r>
      <w:hyperlink r:id="rId71" w:history="1">
        <w:r w:rsidR="00EB0973" w:rsidRPr="00946CA3">
          <w:rPr>
            <w:rStyle w:val="Hyperlink"/>
            <w:color w:val="007BAB" w:themeColor="text2" w:themeTint="BF"/>
          </w:rPr>
          <w:t>[1990] AATA 218</w:t>
        </w:r>
      </w:hyperlink>
      <w:r w:rsidRPr="00A0316F">
        <w:t>.</w:t>
      </w:r>
    </w:p>
  </w:footnote>
  <w:footnote w:id="55">
    <w:p w14:paraId="34C50A1C" w14:textId="7B5765BE" w:rsidR="00F85EF4" w:rsidRPr="00DD07E1" w:rsidRDefault="00F85EF4" w:rsidP="00EB0973">
      <w:pPr>
        <w:pStyle w:val="FootnoteText"/>
        <w:tabs>
          <w:tab w:val="left" w:pos="284"/>
        </w:tabs>
      </w:pPr>
      <w:r w:rsidRPr="0043786E">
        <w:rPr>
          <w:rStyle w:val="FootnoteReference"/>
        </w:rPr>
        <w:footnoteRef/>
      </w:r>
      <w:r w:rsidRPr="0043786E">
        <w:t xml:space="preserve"> </w:t>
      </w:r>
      <w:r w:rsidR="00BC5D2E">
        <w:tab/>
      </w:r>
      <w:r w:rsidRPr="00A0316F">
        <w:rPr>
          <w:i/>
          <w:iCs/>
        </w:rPr>
        <w:t>McGarvin and Australian Prudential Regulation Authority</w:t>
      </w:r>
      <w:r w:rsidRPr="00A0316F">
        <w:t xml:space="preserve"> </w:t>
      </w:r>
      <w:hyperlink r:id="rId72" w:history="1">
        <w:r w:rsidRPr="00946CA3">
          <w:rPr>
            <w:rStyle w:val="Hyperlink"/>
            <w:color w:val="007BAB" w:themeColor="text2" w:themeTint="BF"/>
          </w:rPr>
          <w:t>[1998] AATA 585</w:t>
        </w:r>
      </w:hyperlink>
      <w:r w:rsidRPr="00A0316F">
        <w:t>.</w:t>
      </w:r>
    </w:p>
  </w:footnote>
  <w:footnote w:id="56">
    <w:p w14:paraId="0621AEB0" w14:textId="19517E3D" w:rsidR="00F85EF4" w:rsidRPr="0043786E" w:rsidRDefault="00F85EF4" w:rsidP="00EB0973">
      <w:pPr>
        <w:pStyle w:val="FootnoteText"/>
        <w:tabs>
          <w:tab w:val="left" w:pos="284"/>
        </w:tabs>
      </w:pPr>
      <w:r w:rsidRPr="0043786E">
        <w:rPr>
          <w:rStyle w:val="FootnoteReference"/>
        </w:rPr>
        <w:footnoteRef/>
      </w:r>
      <w:r w:rsidRPr="0043786E">
        <w:t xml:space="preserve"> </w:t>
      </w:r>
      <w:r w:rsidR="00BC5D2E">
        <w:tab/>
      </w:r>
      <w:r w:rsidRPr="00A0316F">
        <w:rPr>
          <w:i/>
          <w:iCs/>
        </w:rPr>
        <w:t>Re Booker and Department of Social Security</w:t>
      </w:r>
      <w:r w:rsidRPr="00A0316F">
        <w:t xml:space="preserve"> </w:t>
      </w:r>
      <w:hyperlink r:id="rId73" w:history="1">
        <w:r w:rsidRPr="00946CA3">
          <w:rPr>
            <w:rStyle w:val="Hyperlink"/>
            <w:color w:val="007BAB" w:themeColor="text2" w:themeTint="BF"/>
          </w:rPr>
          <w:t>[1990] AATA 218</w:t>
        </w:r>
      </w:hyperlink>
      <w:r w:rsidRPr="00A0316F">
        <w:t>.</w:t>
      </w:r>
    </w:p>
  </w:footnote>
  <w:footnote w:id="57">
    <w:p w14:paraId="55375999" w14:textId="41688161" w:rsidR="00F85EF4" w:rsidRPr="00DD07E1" w:rsidRDefault="00F85EF4" w:rsidP="00EB0973">
      <w:pPr>
        <w:pStyle w:val="FootnoteText"/>
        <w:tabs>
          <w:tab w:val="left" w:pos="284"/>
        </w:tabs>
        <w:ind w:left="284" w:hanging="284"/>
      </w:pPr>
      <w:r w:rsidRPr="0043786E">
        <w:rPr>
          <w:rStyle w:val="FootnoteReference"/>
        </w:rPr>
        <w:footnoteRef/>
      </w:r>
      <w:r w:rsidRPr="0043786E">
        <w:t xml:space="preserve"> </w:t>
      </w:r>
      <w:r w:rsidR="00BC5D2E">
        <w:tab/>
      </w:r>
      <w:r w:rsidRPr="00A0316F">
        <w:rPr>
          <w:i/>
          <w:iCs/>
        </w:rPr>
        <w:t>Re Waterford and the Treasurer of the Commonwealth of Australia</w:t>
      </w:r>
      <w:r w:rsidRPr="00A0316F">
        <w:t xml:space="preserve"> </w:t>
      </w:r>
      <w:hyperlink r:id="rId74" w:history="1">
        <w:r w:rsidRPr="00946CA3">
          <w:rPr>
            <w:rStyle w:val="Hyperlink"/>
            <w:color w:val="007BAB" w:themeColor="text2" w:themeTint="BF"/>
          </w:rPr>
          <w:t>[1984] AATA 518</w:t>
        </w:r>
      </w:hyperlink>
      <w:r w:rsidRPr="00A0316F">
        <w:t xml:space="preserve"> [15], citing </w:t>
      </w:r>
      <w:r w:rsidRPr="00A0316F">
        <w:rPr>
          <w:i/>
          <w:iCs/>
        </w:rPr>
        <w:t>Harris v A</w:t>
      </w:r>
      <w:r w:rsidR="00A54B8C">
        <w:rPr>
          <w:i/>
          <w:iCs/>
        </w:rPr>
        <w:t xml:space="preserve">ustralian </w:t>
      </w:r>
      <w:r w:rsidRPr="00A0316F">
        <w:rPr>
          <w:i/>
          <w:iCs/>
        </w:rPr>
        <w:t>B</w:t>
      </w:r>
      <w:r w:rsidR="00A54B8C">
        <w:rPr>
          <w:i/>
          <w:iCs/>
        </w:rPr>
        <w:t xml:space="preserve">roadcasting </w:t>
      </w:r>
      <w:r w:rsidRPr="00A0316F">
        <w:rPr>
          <w:i/>
          <w:iCs/>
        </w:rPr>
        <w:t>C</w:t>
      </w:r>
      <w:r w:rsidR="00A54B8C">
        <w:rPr>
          <w:i/>
          <w:iCs/>
        </w:rPr>
        <w:t>orporation</w:t>
      </w:r>
      <w:r w:rsidRPr="00A0316F">
        <w:t xml:space="preserve"> </w:t>
      </w:r>
      <w:hyperlink r:id="rId75" w:history="1">
        <w:r w:rsidRPr="00946CA3">
          <w:rPr>
            <w:rStyle w:val="Hyperlink"/>
            <w:color w:val="007BAB" w:themeColor="text2" w:themeTint="BF"/>
          </w:rPr>
          <w:t>[1984] FCA 8</w:t>
        </w:r>
      </w:hyperlink>
      <w:r w:rsidRPr="00A0316F">
        <w:t>; (1984) 51 ALR 581</w:t>
      </w:r>
      <w:r>
        <w:t xml:space="preserve"> [</w:t>
      </w:r>
      <w:r w:rsidRPr="00A0316F">
        <w:t>586</w:t>
      </w:r>
      <w:r>
        <w:t>]</w:t>
      </w:r>
      <w:r w:rsidRPr="00A0316F">
        <w:t>.</w:t>
      </w:r>
    </w:p>
  </w:footnote>
  <w:footnote w:id="58">
    <w:p w14:paraId="47751D3F" w14:textId="6138331D"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7B4735">
        <w:rPr>
          <w:i/>
          <w:iCs/>
        </w:rPr>
        <w:t>Dreyfus and Secretary Attorney-General’s Department (Freedom of information)</w:t>
      </w:r>
      <w:r w:rsidRPr="006954F2">
        <w:t xml:space="preserve"> </w:t>
      </w:r>
      <w:hyperlink r:id="rId76" w:history="1">
        <w:r w:rsidRPr="00946CA3">
          <w:rPr>
            <w:rStyle w:val="Hyperlink"/>
            <w:color w:val="007BAB" w:themeColor="text2" w:themeTint="BF"/>
          </w:rPr>
          <w:t>[2015] AATA 962</w:t>
        </w:r>
      </w:hyperlink>
      <w:r w:rsidRPr="006954F2">
        <w:t xml:space="preserve"> [18].</w:t>
      </w:r>
    </w:p>
  </w:footnote>
  <w:footnote w:id="59">
    <w:p w14:paraId="72EFCB7B" w14:textId="5FA4117E" w:rsidR="00F85EF4" w:rsidRPr="006954F2"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6954F2">
        <w:t xml:space="preserve">See </w:t>
      </w:r>
      <w:r w:rsidRPr="007B4735">
        <w:rPr>
          <w:i/>
          <w:iCs/>
        </w:rPr>
        <w:t>Eccleston and Department of Family Services and Aboriginal and Islander Affairs</w:t>
      </w:r>
      <w:r w:rsidRPr="006954F2">
        <w:t xml:space="preserve"> </w:t>
      </w:r>
      <w:hyperlink r:id="rId77" w:history="1">
        <w:r w:rsidRPr="00946CA3">
          <w:rPr>
            <w:rStyle w:val="Hyperlink"/>
            <w:color w:val="007BAB" w:themeColor="text2" w:themeTint="BF"/>
          </w:rPr>
          <w:t>(1993) 1 QAR 60</w:t>
        </w:r>
      </w:hyperlink>
      <w:r w:rsidRPr="006954F2">
        <w:t xml:space="preserve"> and </w:t>
      </w:r>
      <w:r w:rsidRPr="007B4735">
        <w:rPr>
          <w:i/>
          <w:iCs/>
        </w:rPr>
        <w:t>Chapman and Chapman and Minister of Aboriginal and Torres Strait Islander Affairs</w:t>
      </w:r>
      <w:r w:rsidRPr="006954F2">
        <w:t xml:space="preserve"> </w:t>
      </w:r>
      <w:hyperlink r:id="rId78" w:history="1">
        <w:r w:rsidRPr="00A54B8C">
          <w:rPr>
            <w:rStyle w:val="Hyperlink"/>
          </w:rPr>
          <w:t>[1996] AATA 210</w:t>
        </w:r>
      </w:hyperlink>
      <w:r w:rsidR="00A54B8C">
        <w:t>;</w:t>
      </w:r>
      <w:r w:rsidR="00A54B8C" w:rsidRPr="00A54B8C">
        <w:t xml:space="preserve"> </w:t>
      </w:r>
      <w:r w:rsidR="00A54B8C" w:rsidRPr="00946CA3">
        <w:rPr>
          <w:rFonts w:cs="Arial"/>
          <w:color w:val="000000"/>
          <w:szCs w:val="18"/>
          <w:shd w:val="clear" w:color="auto" w:fill="FFFFFF"/>
        </w:rPr>
        <w:t>(1996) 43 ALD 139</w:t>
      </w:r>
      <w:r w:rsidRPr="006954F2">
        <w:t>.</w:t>
      </w:r>
      <w:r w:rsidR="00541F45">
        <w:t xml:space="preserve"> See </w:t>
      </w:r>
      <w:r w:rsidR="00541F45" w:rsidRPr="00E70826">
        <w:rPr>
          <w:i/>
          <w:iCs/>
        </w:rPr>
        <w:t xml:space="preserve">also </w:t>
      </w:r>
      <w:r w:rsidR="00541F45" w:rsidRPr="00E70826">
        <w:rPr>
          <w:rFonts w:ascii="Source Sans Pro" w:hAnsi="Source Sans Pro"/>
          <w:i/>
          <w:iCs/>
          <w:color w:val="333333"/>
          <w:shd w:val="clear" w:color="auto" w:fill="FFFFFF"/>
        </w:rPr>
        <w:t>Parnell &amp; Dreyfus and Attorney-General’s Department</w:t>
      </w:r>
      <w:r w:rsidR="00624551">
        <w:rPr>
          <w:rFonts w:ascii="Source Sans Pro" w:hAnsi="Source Sans Pro"/>
          <w:color w:val="333333"/>
          <w:shd w:val="clear" w:color="auto" w:fill="FFFFFF"/>
        </w:rPr>
        <w:t xml:space="preserve"> </w:t>
      </w:r>
      <w:hyperlink r:id="rId79" w:tooltip="View Case" w:history="1">
        <w:r w:rsidR="00541F45" w:rsidRPr="00E70826">
          <w:rPr>
            <w:rStyle w:val="Hyperlink"/>
            <w:rFonts w:ascii="Source Sans Pro" w:hAnsi="Source Sans Pro"/>
            <w:color w:val="3796CC"/>
          </w:rPr>
          <w:t>[2014] AICmr 71</w:t>
        </w:r>
      </w:hyperlink>
      <w:r w:rsidR="00541F45" w:rsidRPr="00E70826">
        <w:rPr>
          <w:rFonts w:ascii="Source Sans Pro" w:hAnsi="Source Sans Pro"/>
          <w:color w:val="333333"/>
          <w:shd w:val="clear" w:color="auto" w:fill="FFFFFF"/>
        </w:rPr>
        <w:t xml:space="preserve"> [40] in which </w:t>
      </w:r>
      <w:r w:rsidR="00541F45">
        <w:rPr>
          <w:rFonts w:ascii="Source Sans Pro" w:hAnsi="Source Sans Pro"/>
          <w:color w:val="333333"/>
          <w:shd w:val="clear" w:color="auto" w:fill="FFFFFF"/>
        </w:rPr>
        <w:t xml:space="preserve">the former Australian Information Commissioner found that </w:t>
      </w:r>
      <w:r w:rsidR="00541F45" w:rsidRPr="00E70826">
        <w:rPr>
          <w:rFonts w:ascii="Source Sans Pro" w:hAnsi="Source Sans Pro"/>
          <w:color w:val="333333"/>
          <w:shd w:val="clear" w:color="auto" w:fill="FFFFFF"/>
        </w:rPr>
        <w:t xml:space="preserve">factual material was </w:t>
      </w:r>
      <w:r w:rsidR="00541F45">
        <w:rPr>
          <w:rFonts w:ascii="Source Sans Pro" w:hAnsi="Source Sans Pro"/>
          <w:color w:val="333333"/>
          <w:shd w:val="clear" w:color="auto" w:fill="FFFFFF"/>
        </w:rPr>
        <w:t xml:space="preserve">so integral to the deliberative content that </w:t>
      </w:r>
      <w:r w:rsidR="0038030C">
        <w:rPr>
          <w:rFonts w:ascii="Source Sans Pro" w:hAnsi="Source Sans Pro"/>
          <w:color w:val="333333"/>
          <w:shd w:val="clear" w:color="auto" w:fill="FFFFFF"/>
        </w:rPr>
        <w:t xml:space="preserve">the </w:t>
      </w:r>
      <w:r w:rsidR="00541F45">
        <w:rPr>
          <w:rFonts w:ascii="Source Sans Pro" w:hAnsi="Source Sans Pro"/>
          <w:color w:val="333333"/>
          <w:shd w:val="clear" w:color="auto" w:fill="FFFFFF"/>
        </w:rPr>
        <w:t>analysis and views in the document would be robbed of their essential meaning if it was not included. Further</w:t>
      </w:r>
      <w:r w:rsidR="0038030C">
        <w:rPr>
          <w:rFonts w:ascii="Source Sans Pro" w:hAnsi="Source Sans Pro"/>
          <w:color w:val="333333"/>
          <w:shd w:val="clear" w:color="auto" w:fill="FFFFFF"/>
        </w:rPr>
        <w:t>,</w:t>
      </w:r>
      <w:r w:rsidR="00541F45">
        <w:rPr>
          <w:rFonts w:ascii="Source Sans Pro" w:hAnsi="Source Sans Pro"/>
          <w:color w:val="333333"/>
          <w:shd w:val="clear" w:color="auto" w:fill="FFFFFF"/>
        </w:rPr>
        <w:t xml:space="preserve"> the Information Commissioner concluded that it would also be impractical to separate the factual material from the deliberative content, as the 2 </w:t>
      </w:r>
      <w:r w:rsidR="00624551">
        <w:rPr>
          <w:rFonts w:ascii="Source Sans Pro" w:hAnsi="Source Sans Pro"/>
          <w:color w:val="333333"/>
          <w:shd w:val="clear" w:color="auto" w:fill="FFFFFF"/>
        </w:rPr>
        <w:t>were</w:t>
      </w:r>
      <w:r w:rsidR="00541F45">
        <w:rPr>
          <w:rFonts w:ascii="Source Sans Pro" w:hAnsi="Source Sans Pro"/>
          <w:color w:val="333333"/>
          <w:shd w:val="clear" w:color="auto" w:fill="FFFFFF"/>
        </w:rPr>
        <w:t xml:space="preserve"> intertwined.</w:t>
      </w:r>
    </w:p>
  </w:footnote>
  <w:footnote w:id="60">
    <w:p w14:paraId="745E2677" w14:textId="343FE8EA" w:rsidR="00F85EF4" w:rsidRPr="006954F2" w:rsidRDefault="00F85EF4" w:rsidP="00BC5D2E">
      <w:pPr>
        <w:pStyle w:val="FootnoteText"/>
        <w:tabs>
          <w:tab w:val="left" w:pos="284"/>
        </w:tabs>
      </w:pPr>
      <w:r w:rsidRPr="0043786E">
        <w:rPr>
          <w:rStyle w:val="FootnoteReference"/>
        </w:rPr>
        <w:footnoteRef/>
      </w:r>
      <w:r w:rsidRPr="0043786E">
        <w:t xml:space="preserve"> </w:t>
      </w:r>
      <w:r w:rsidR="00BC5D2E">
        <w:tab/>
      </w:r>
      <w:r w:rsidRPr="006954F2">
        <w:t xml:space="preserve">See </w:t>
      </w:r>
      <w:r w:rsidRPr="007B4735">
        <w:rPr>
          <w:i/>
          <w:iCs/>
        </w:rPr>
        <w:t>Re Harris v Australian Broadcasting Corporation</w:t>
      </w:r>
      <w:r w:rsidR="0097044F">
        <w:t xml:space="preserve"> </w:t>
      </w:r>
      <w:hyperlink r:id="rId80" w:history="1">
        <w:r w:rsidR="0097044F" w:rsidRPr="00946CA3">
          <w:rPr>
            <w:rStyle w:val="Hyperlink"/>
            <w:color w:val="007BAB" w:themeColor="text2" w:themeTint="BF"/>
          </w:rPr>
          <w:t>[1983] FCA 242</w:t>
        </w:r>
      </w:hyperlink>
      <w:r w:rsidR="0097044F">
        <w:t xml:space="preserve">; </w:t>
      </w:r>
      <w:r w:rsidRPr="006954F2">
        <w:t>(1983) 78 FLR 236.</w:t>
      </w:r>
    </w:p>
  </w:footnote>
  <w:footnote w:id="61">
    <w:p w14:paraId="5AF69BF0" w14:textId="7081658D" w:rsidR="00F85EF4" w:rsidRPr="006954F2" w:rsidRDefault="00F85EF4" w:rsidP="00BC5D2E">
      <w:pPr>
        <w:pStyle w:val="FootnoteText"/>
        <w:tabs>
          <w:tab w:val="left" w:pos="284"/>
        </w:tabs>
      </w:pPr>
      <w:r w:rsidRPr="0043786E">
        <w:rPr>
          <w:rStyle w:val="FootnoteReference"/>
        </w:rPr>
        <w:footnoteRef/>
      </w:r>
      <w:r w:rsidRPr="0043786E">
        <w:t xml:space="preserve"> </w:t>
      </w:r>
      <w:r w:rsidR="00BC5D2E">
        <w:tab/>
      </w:r>
      <w:r w:rsidRPr="006954F2">
        <w:t xml:space="preserve">See </w:t>
      </w:r>
      <w:r w:rsidRPr="007B4735">
        <w:rPr>
          <w:i/>
          <w:iCs/>
        </w:rPr>
        <w:t>Re Wertheim and Department of Health</w:t>
      </w:r>
      <w:r w:rsidRPr="006954F2">
        <w:t xml:space="preserve"> </w:t>
      </w:r>
      <w:hyperlink r:id="rId81" w:history="1">
        <w:r w:rsidRPr="00946CA3">
          <w:rPr>
            <w:rStyle w:val="Hyperlink"/>
            <w:color w:val="007BAB" w:themeColor="text2" w:themeTint="BF"/>
          </w:rPr>
          <w:t>[1984] AATA 537</w:t>
        </w:r>
      </w:hyperlink>
      <w:r w:rsidRPr="006954F2">
        <w:t>.</w:t>
      </w:r>
    </w:p>
  </w:footnote>
  <w:footnote w:id="62">
    <w:p w14:paraId="41C93801" w14:textId="3CAA8F22" w:rsidR="00F85EF4" w:rsidRPr="00DD07E1" w:rsidRDefault="00F85EF4" w:rsidP="00946CA3">
      <w:pPr>
        <w:pStyle w:val="FootnoteText"/>
        <w:tabs>
          <w:tab w:val="left" w:pos="284"/>
        </w:tabs>
        <w:ind w:left="284" w:hanging="284"/>
      </w:pPr>
      <w:r w:rsidRPr="0043786E">
        <w:rPr>
          <w:rStyle w:val="FootnoteReference"/>
        </w:rPr>
        <w:footnoteRef/>
      </w:r>
      <w:r w:rsidRPr="0043786E">
        <w:t xml:space="preserve"> </w:t>
      </w:r>
      <w:r w:rsidR="00BC5D2E">
        <w:tab/>
      </w:r>
      <w:r w:rsidRPr="006954F2">
        <w:t xml:space="preserve">See </w:t>
      </w:r>
      <w:r w:rsidRPr="007B4735">
        <w:rPr>
          <w:i/>
          <w:iCs/>
        </w:rPr>
        <w:t>Re Harris v Australian Broadcasting Corporation and Keith Cameron Mackriell</w:t>
      </w:r>
      <w:r w:rsidRPr="006954F2">
        <w:t xml:space="preserve"> </w:t>
      </w:r>
      <w:hyperlink r:id="rId82" w:history="1">
        <w:r w:rsidR="00606296" w:rsidRPr="00946CA3">
          <w:rPr>
            <w:rStyle w:val="Hyperlink"/>
            <w:color w:val="007BAB" w:themeColor="text2" w:themeTint="BF"/>
          </w:rPr>
          <w:t>[1983] FCA 242</w:t>
        </w:r>
      </w:hyperlink>
      <w:r w:rsidR="00606296">
        <w:t xml:space="preserve">; </w:t>
      </w:r>
      <w:r w:rsidRPr="006954F2">
        <w:t>(1983) 78 FLR 236 per Beaumont J.</w:t>
      </w:r>
    </w:p>
  </w:footnote>
  <w:footnote w:id="63">
    <w:p w14:paraId="5F7654D4" w14:textId="262BE453" w:rsidR="00F85EF4" w:rsidRPr="006954F2" w:rsidRDefault="00F85EF4" w:rsidP="00BC5D2E">
      <w:pPr>
        <w:pStyle w:val="FootnoteText"/>
        <w:tabs>
          <w:tab w:val="left" w:pos="284"/>
        </w:tabs>
      </w:pPr>
      <w:r w:rsidRPr="0043786E">
        <w:rPr>
          <w:rStyle w:val="FootnoteReference"/>
        </w:rPr>
        <w:footnoteRef/>
      </w:r>
      <w:r w:rsidRPr="0043786E">
        <w:t xml:space="preserve"> </w:t>
      </w:r>
      <w:r w:rsidR="00BC5D2E">
        <w:tab/>
      </w:r>
      <w:r w:rsidRPr="006954F2">
        <w:t xml:space="preserve">See </w:t>
      </w:r>
      <w:r w:rsidRPr="007B4735">
        <w:rPr>
          <w:i/>
          <w:iCs/>
        </w:rPr>
        <w:t>Re Waterford and the Treasurer of the Commonwealth of Australia</w:t>
      </w:r>
      <w:r w:rsidRPr="006954F2">
        <w:t xml:space="preserve"> </w:t>
      </w:r>
      <w:hyperlink r:id="rId83" w:history="1">
        <w:r w:rsidRPr="00946CA3">
          <w:rPr>
            <w:rStyle w:val="Hyperlink"/>
            <w:color w:val="007BAB" w:themeColor="text2" w:themeTint="BF"/>
          </w:rPr>
          <w:t>[1985] AATA 114</w:t>
        </w:r>
      </w:hyperlink>
      <w:r w:rsidRPr="006954F2">
        <w:t>.</w:t>
      </w:r>
    </w:p>
  </w:footnote>
  <w:footnote w:id="64">
    <w:p w14:paraId="701C1021" w14:textId="61FAC0B4"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43786E">
        <w:t xml:space="preserve">See </w:t>
      </w:r>
      <w:r w:rsidRPr="004D548F">
        <w:rPr>
          <w:i/>
          <w:iCs/>
        </w:rPr>
        <w:t>Combined Pensioners and Superannuants Association of NSW Inc and Deputy Prime Minister and Treasurer</w:t>
      </w:r>
      <w:r w:rsidRPr="0043786E">
        <w:t xml:space="preserve"> </w:t>
      </w:r>
      <w:hyperlink r:id="rId84" w:history="1">
        <w:r w:rsidRPr="00946CA3">
          <w:rPr>
            <w:rStyle w:val="Hyperlink"/>
            <w:color w:val="007BAB" w:themeColor="text2" w:themeTint="BF"/>
          </w:rPr>
          <w:t>[2013] AICmr 70</w:t>
        </w:r>
      </w:hyperlink>
      <w:r w:rsidRPr="00946CA3">
        <w:rPr>
          <w:color w:val="007BAB" w:themeColor="text2" w:themeTint="BF"/>
        </w:rPr>
        <w:t xml:space="preserve"> </w:t>
      </w:r>
      <w:r w:rsidRPr="0043786E">
        <w:t>[17].</w:t>
      </w:r>
    </w:p>
  </w:footnote>
  <w:footnote w:id="65">
    <w:p w14:paraId="7FA3B839" w14:textId="14F73012"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4D548F">
        <w:rPr>
          <w:i/>
          <w:iCs/>
        </w:rPr>
        <w:t>Combined Pensioners and Superannuants Association of NSW Inc and Deputy Prime Minister and Treasurer</w:t>
      </w:r>
      <w:r w:rsidRPr="0043786E">
        <w:t xml:space="preserve"> </w:t>
      </w:r>
      <w:hyperlink r:id="rId85" w:history="1">
        <w:r w:rsidRPr="00946CA3">
          <w:rPr>
            <w:rStyle w:val="Hyperlink"/>
            <w:color w:val="007BAB" w:themeColor="text2" w:themeTint="BF"/>
          </w:rPr>
          <w:t>[2013] AICmr 70</w:t>
        </w:r>
      </w:hyperlink>
      <w:r w:rsidRPr="00946CA3">
        <w:rPr>
          <w:color w:val="007BAB" w:themeColor="text2" w:themeTint="BF"/>
        </w:rPr>
        <w:t xml:space="preserve"> </w:t>
      </w:r>
      <w:r w:rsidRPr="0043786E">
        <w:t>[13]–[21]</w:t>
      </w:r>
      <w:r w:rsidR="00624551">
        <w:t>;</w:t>
      </w:r>
      <w:r>
        <w:t xml:space="preserve"> </w:t>
      </w:r>
      <w:r w:rsidRPr="0043786E">
        <w:t xml:space="preserve">Australian Private Hospitals Association and Department of the Treasury </w:t>
      </w:r>
      <w:hyperlink r:id="rId86" w:history="1">
        <w:r w:rsidRPr="00946CA3">
          <w:rPr>
            <w:rStyle w:val="Hyperlink"/>
            <w:color w:val="007BAB" w:themeColor="text2" w:themeTint="BF"/>
          </w:rPr>
          <w:t>[2014] AICmr 4</w:t>
        </w:r>
      </w:hyperlink>
      <w:r w:rsidRPr="0043786E">
        <w:t xml:space="preserve"> [38]–[45].</w:t>
      </w:r>
    </w:p>
  </w:footnote>
  <w:footnote w:id="66">
    <w:p w14:paraId="46DF54D3" w14:textId="69FBD2DE"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4D548F">
        <w:rPr>
          <w:i/>
          <w:iCs/>
        </w:rPr>
        <w:t>Philip Morris Ltd and Department of Finance</w:t>
      </w:r>
      <w:r w:rsidRPr="0043786E">
        <w:t xml:space="preserve"> </w:t>
      </w:r>
      <w:hyperlink r:id="rId87" w:history="1">
        <w:r w:rsidRPr="00946CA3">
          <w:rPr>
            <w:rStyle w:val="Hyperlink"/>
            <w:color w:val="007BAB" w:themeColor="text2" w:themeTint="BF"/>
          </w:rPr>
          <w:t>[2014] AICmr 27</w:t>
        </w:r>
      </w:hyperlink>
      <w:r w:rsidRPr="0043786E">
        <w:t xml:space="preserve"> [49]–[52]; </w:t>
      </w:r>
      <w:r w:rsidRPr="004D548F">
        <w:rPr>
          <w:i/>
          <w:iCs/>
        </w:rPr>
        <w:t>Sanderson and Department of Infrastructure and Regional Development</w:t>
      </w:r>
      <w:r w:rsidRPr="0043786E">
        <w:t xml:space="preserve"> </w:t>
      </w:r>
      <w:hyperlink r:id="rId88" w:history="1">
        <w:r w:rsidRPr="00946CA3">
          <w:rPr>
            <w:rStyle w:val="Hyperlink"/>
            <w:color w:val="007BAB" w:themeColor="text2" w:themeTint="BF"/>
          </w:rPr>
          <w:t>[2014] AICmr 66</w:t>
        </w:r>
      </w:hyperlink>
      <w:r w:rsidRPr="0043786E">
        <w:t xml:space="preserve"> [29]–[37].</w:t>
      </w:r>
    </w:p>
  </w:footnote>
  <w:footnote w:id="67">
    <w:p w14:paraId="00C5EEB5" w14:textId="7F1B87F0"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For </w:t>
      </w:r>
      <w:r w:rsidRPr="0043786E">
        <w:t>an</w:t>
      </w:r>
      <w:r w:rsidRPr="00DD07E1">
        <w:t xml:space="preserve"> </w:t>
      </w:r>
      <w:r w:rsidRPr="0043786E">
        <w:t>example</w:t>
      </w:r>
      <w:r w:rsidRPr="00DD07E1">
        <w:t xml:space="preserve"> </w:t>
      </w:r>
      <w:r w:rsidRPr="0043786E">
        <w:t>of</w:t>
      </w:r>
      <w:r w:rsidRPr="00DD07E1">
        <w:t xml:space="preserve"> </w:t>
      </w:r>
      <w:r w:rsidRPr="0043786E">
        <w:t>the</w:t>
      </w:r>
      <w:r w:rsidRPr="00DD07E1">
        <w:t xml:space="preserve"> </w:t>
      </w:r>
      <w:r w:rsidRPr="0043786E">
        <w:t>application</w:t>
      </w:r>
      <w:r w:rsidRPr="00DD07E1">
        <w:t xml:space="preserve"> </w:t>
      </w:r>
      <w:r w:rsidRPr="0043786E">
        <w:t>of</w:t>
      </w:r>
      <w:r w:rsidRPr="00DD07E1">
        <w:t xml:space="preserve"> </w:t>
      </w:r>
      <w:r w:rsidRPr="0043786E">
        <w:t>this</w:t>
      </w:r>
      <w:r w:rsidRPr="00DD07E1">
        <w:t xml:space="preserve"> </w:t>
      </w:r>
      <w:r w:rsidRPr="0043786E">
        <w:t>exemption</w:t>
      </w:r>
      <w:r w:rsidRPr="00DD07E1">
        <w:t xml:space="preserve"> see</w:t>
      </w:r>
      <w:r w:rsidRPr="0043786E">
        <w:t xml:space="preserve"> </w:t>
      </w:r>
      <w:r w:rsidRPr="0043786E">
        <w:rPr>
          <w:i/>
        </w:rPr>
        <w:t>Briggs</w:t>
      </w:r>
      <w:r w:rsidRPr="00DD07E1">
        <w:rPr>
          <w:i/>
        </w:rPr>
        <w:t xml:space="preserve"> </w:t>
      </w:r>
      <w:r w:rsidRPr="0043786E">
        <w:rPr>
          <w:i/>
        </w:rPr>
        <w:t>and</w:t>
      </w:r>
      <w:r w:rsidRPr="00DD07E1">
        <w:rPr>
          <w:i/>
        </w:rPr>
        <w:t xml:space="preserve"> </w:t>
      </w:r>
      <w:r w:rsidRPr="0043786E">
        <w:rPr>
          <w:i/>
        </w:rPr>
        <w:t>the</w:t>
      </w:r>
      <w:r w:rsidRPr="00DD07E1">
        <w:rPr>
          <w:i/>
        </w:rPr>
        <w:t xml:space="preserve"> Department </w:t>
      </w:r>
      <w:r w:rsidRPr="0043786E">
        <w:rPr>
          <w:i/>
        </w:rPr>
        <w:t>of</w:t>
      </w:r>
      <w:r w:rsidRPr="00DD07E1">
        <w:rPr>
          <w:i/>
        </w:rPr>
        <w:t xml:space="preserve"> the Treasury </w:t>
      </w:r>
      <w:r w:rsidRPr="0043786E">
        <w:rPr>
          <w:i/>
        </w:rPr>
        <w:t>(No.</w:t>
      </w:r>
      <w:r w:rsidRPr="00DD07E1">
        <w:rPr>
          <w:i/>
        </w:rPr>
        <w:t xml:space="preserve"> 3) </w:t>
      </w:r>
      <w:hyperlink r:id="rId89" w:history="1">
        <w:r w:rsidRPr="00946CA3">
          <w:rPr>
            <w:rStyle w:val="Hyperlink"/>
            <w:color w:val="007BAB" w:themeColor="text2" w:themeTint="BF"/>
          </w:rPr>
          <w:t>[2012] AICmr 22</w:t>
        </w:r>
      </w:hyperlink>
      <w:r w:rsidRPr="0043786E">
        <w:t>.</w:t>
      </w:r>
    </w:p>
  </w:footnote>
  <w:footnote w:id="68">
    <w:p w14:paraId="4463573E" w14:textId="7CD56E8E"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43786E">
        <w:rPr>
          <w:i/>
        </w:rPr>
        <w:t>Re</w:t>
      </w:r>
      <w:r w:rsidRPr="00DD07E1">
        <w:rPr>
          <w:i/>
        </w:rPr>
        <w:t xml:space="preserve"> Connolly </w:t>
      </w:r>
      <w:r w:rsidRPr="0043786E">
        <w:rPr>
          <w:i/>
        </w:rPr>
        <w:t>and</w:t>
      </w:r>
      <w:r w:rsidRPr="00DD07E1">
        <w:rPr>
          <w:i/>
        </w:rPr>
        <w:t xml:space="preserve"> </w:t>
      </w:r>
      <w:r w:rsidRPr="0043786E">
        <w:rPr>
          <w:i/>
        </w:rPr>
        <w:t>Department</w:t>
      </w:r>
      <w:r w:rsidRPr="00DD07E1">
        <w:rPr>
          <w:i/>
        </w:rPr>
        <w:t xml:space="preserve"> </w:t>
      </w:r>
      <w:r w:rsidRPr="0043786E">
        <w:rPr>
          <w:i/>
        </w:rPr>
        <w:t>of</w:t>
      </w:r>
      <w:r w:rsidRPr="00DD07E1">
        <w:rPr>
          <w:i/>
        </w:rPr>
        <w:t xml:space="preserve"> Finance</w:t>
      </w:r>
      <w:r w:rsidRPr="0043786E">
        <w:rPr>
          <w:i/>
        </w:rPr>
        <w:t xml:space="preserve"> </w:t>
      </w:r>
      <w:hyperlink r:id="rId90" w:history="1">
        <w:r w:rsidRPr="00946CA3">
          <w:rPr>
            <w:rStyle w:val="Hyperlink"/>
            <w:color w:val="007BAB" w:themeColor="text2" w:themeTint="BF"/>
          </w:rPr>
          <w:t>[1994] AATA 167</w:t>
        </w:r>
      </w:hyperlink>
      <w:r w:rsidRPr="00DD07E1">
        <w:t xml:space="preserve"> </w:t>
      </w:r>
      <w:r w:rsidRPr="0043786E">
        <w:t>in</w:t>
      </w:r>
      <w:r w:rsidRPr="00DD07E1">
        <w:t xml:space="preserve"> </w:t>
      </w:r>
      <w:r w:rsidRPr="0043786E">
        <w:t>which</w:t>
      </w:r>
      <w:r w:rsidRPr="00DD07E1">
        <w:t xml:space="preserve"> </w:t>
      </w:r>
      <w:r w:rsidRPr="0043786E">
        <w:t>the</w:t>
      </w:r>
      <w:r w:rsidRPr="00DD07E1">
        <w:t xml:space="preserve"> </w:t>
      </w:r>
      <w:r w:rsidRPr="0043786E">
        <w:t>Commonwealth</w:t>
      </w:r>
      <w:r w:rsidRPr="00DD07E1">
        <w:t xml:space="preserve"> </w:t>
      </w:r>
      <w:r w:rsidRPr="0043786E">
        <w:t>property</w:t>
      </w:r>
      <w:r w:rsidRPr="00DD07E1">
        <w:t xml:space="preserve"> </w:t>
      </w:r>
      <w:r w:rsidRPr="0043786E">
        <w:t>was</w:t>
      </w:r>
      <w:r w:rsidRPr="00DD07E1">
        <w:rPr>
          <w:w w:val="99"/>
        </w:rPr>
        <w:t xml:space="preserve"> </w:t>
      </w:r>
      <w:r w:rsidRPr="0043786E">
        <w:t>the</w:t>
      </w:r>
      <w:r w:rsidRPr="00DD07E1">
        <w:t xml:space="preserve"> </w:t>
      </w:r>
      <w:r w:rsidRPr="0043786E">
        <w:t>uranium</w:t>
      </w:r>
      <w:r w:rsidRPr="00DD07E1">
        <w:t xml:space="preserve"> stockpile.</w:t>
      </w:r>
    </w:p>
  </w:footnote>
  <w:footnote w:id="69">
    <w:p w14:paraId="3216B5ED" w14:textId="12713E35"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A66B22">
        <w:rPr>
          <w:i/>
          <w:iCs/>
        </w:rPr>
        <w:t>Harris v Australian Broadcasting Corporation</w:t>
      </w:r>
      <w:r w:rsidRPr="00DD07E1">
        <w:t xml:space="preserve"> </w:t>
      </w:r>
      <w:hyperlink r:id="rId91" w:history="1">
        <w:r w:rsidR="00AD6C46" w:rsidRPr="00946CA3">
          <w:rPr>
            <w:rStyle w:val="Hyperlink"/>
            <w:color w:val="007BAB" w:themeColor="text2" w:themeTint="BF"/>
          </w:rPr>
          <w:t>[1983] FCA 242</w:t>
        </w:r>
      </w:hyperlink>
      <w:r w:rsidR="00AD6C46">
        <w:t xml:space="preserve">; </w:t>
      </w:r>
      <w:r w:rsidRPr="00DD07E1">
        <w:t xml:space="preserve">(1983) </w:t>
      </w:r>
      <w:r w:rsidRPr="0043786E">
        <w:t>78</w:t>
      </w:r>
      <w:r w:rsidRPr="00DD07E1">
        <w:t xml:space="preserve"> FLR </w:t>
      </w:r>
      <w:r w:rsidRPr="0043786E">
        <w:t>236.</w:t>
      </w:r>
    </w:p>
  </w:footnote>
  <w:footnote w:id="70">
    <w:p w14:paraId="77EF699E" w14:textId="5DDFDF35" w:rsidR="00F85EF4" w:rsidRDefault="00F85EF4" w:rsidP="00BC5D2E">
      <w:pPr>
        <w:pStyle w:val="FootnoteText"/>
        <w:tabs>
          <w:tab w:val="left" w:pos="284"/>
        </w:tabs>
        <w:ind w:left="284" w:hanging="284"/>
      </w:pPr>
      <w:r>
        <w:rPr>
          <w:rStyle w:val="FootnoteReference"/>
        </w:rPr>
        <w:footnoteRef/>
      </w:r>
      <w:r>
        <w:t xml:space="preserve"> </w:t>
      </w:r>
      <w:r w:rsidR="00BC5D2E">
        <w:tab/>
      </w:r>
      <w:r w:rsidRPr="00A66B22">
        <w:t xml:space="preserve">See </w:t>
      </w:r>
      <w:r w:rsidRPr="00A66B22">
        <w:rPr>
          <w:i/>
          <w:iCs/>
        </w:rPr>
        <w:t>Secretary, Department of Employment, Workplace Relations and Small Business v Staff Development &amp; Training Centre Pty Ltd</w:t>
      </w:r>
      <w:r w:rsidRPr="00A66B22">
        <w:t xml:space="preserve"> </w:t>
      </w:r>
      <w:hyperlink r:id="rId92" w:history="1">
        <w:r w:rsidR="00AD6C46" w:rsidRPr="00946CA3">
          <w:rPr>
            <w:rStyle w:val="Hyperlink"/>
            <w:color w:val="007BAB" w:themeColor="text2" w:themeTint="BF"/>
          </w:rPr>
          <w:t>[2001] FCA 1375</w:t>
        </w:r>
      </w:hyperlink>
      <w:r w:rsidR="00AD6C46">
        <w:t xml:space="preserve">; </w:t>
      </w:r>
      <w:r w:rsidRPr="00A66B22">
        <w:t>(2001) 114 FCR 301.</w:t>
      </w:r>
    </w:p>
  </w:footnote>
  <w:footnote w:id="71">
    <w:p w14:paraId="2F0CE138" w14:textId="3E707807" w:rsidR="008A76FC" w:rsidRDefault="008A76FC" w:rsidP="00E33E6F">
      <w:pPr>
        <w:pStyle w:val="FootnoteText"/>
        <w:tabs>
          <w:tab w:val="left" w:pos="284"/>
        </w:tabs>
        <w:ind w:left="284" w:hanging="284"/>
      </w:pPr>
      <w:r>
        <w:rPr>
          <w:rStyle w:val="FootnoteReference"/>
        </w:rPr>
        <w:footnoteRef/>
      </w:r>
      <w:r>
        <w:t xml:space="preserve"> </w:t>
      </w:r>
      <w:r>
        <w:tab/>
        <w:t xml:space="preserve">See </w:t>
      </w:r>
      <w:r>
        <w:rPr>
          <w:rFonts w:ascii="Source Sans Pro" w:hAnsi="Source Sans Pro"/>
          <w:i/>
          <w:iCs/>
          <w:color w:val="333333"/>
          <w:shd w:val="clear" w:color="auto" w:fill="FFFFFF"/>
        </w:rPr>
        <w:t>Community and Public Sector Union and Attorney-General’s Department (Freedom of information)</w:t>
      </w:r>
      <w:r w:rsidR="00991E2E">
        <w:rPr>
          <w:rFonts w:ascii="Source Sans Pro" w:hAnsi="Source Sans Pro"/>
          <w:color w:val="333333"/>
          <w:shd w:val="clear" w:color="auto" w:fill="FFFFFF"/>
        </w:rPr>
        <w:t xml:space="preserve"> </w:t>
      </w:r>
      <w:hyperlink r:id="rId93" w:tooltip="View Case" w:history="1">
        <w:r>
          <w:rPr>
            <w:rStyle w:val="Hyperlink"/>
            <w:rFonts w:ascii="Source Sans Pro" w:hAnsi="Source Sans Pro"/>
            <w:color w:val="256A91"/>
            <w:shd w:val="clear" w:color="auto" w:fill="FFFFFF"/>
          </w:rPr>
          <w:t>[2019] AICmr 75</w:t>
        </w:r>
      </w:hyperlink>
      <w:r>
        <w:t xml:space="preserve"> [57]–[61] </w:t>
      </w:r>
      <w:r w:rsidR="00C44504">
        <w:t>in which the Information Commissioner found that the r</w:t>
      </w:r>
      <w:r>
        <w:t>espondent</w:t>
      </w:r>
      <w:r w:rsidR="00C44504">
        <w:t xml:space="preserve"> had not </w:t>
      </w:r>
      <w:r w:rsidR="00C44504">
        <w:rPr>
          <w:rFonts w:ascii="Source Sans Pro" w:hAnsi="Source Sans Pro"/>
          <w:color w:val="333333"/>
          <w:shd w:val="clear" w:color="auto" w:fill="FFFFFF"/>
        </w:rPr>
        <w:t>provided particulars to explain why disclosure of the particular material it decided was exempt under s 47D would adversely impact the ability of the government to manage its financial matters.</w:t>
      </w:r>
      <w:r w:rsidR="00B675BB">
        <w:rPr>
          <w:rFonts w:ascii="Source Sans Pro" w:hAnsi="Source Sans Pro"/>
          <w:color w:val="333333"/>
          <w:shd w:val="clear" w:color="auto" w:fill="FFFFFF"/>
        </w:rPr>
        <w:t xml:space="preserve"> See also </w:t>
      </w:r>
      <w:r w:rsidR="00B675BB" w:rsidRPr="00E33E6F">
        <w:rPr>
          <w:rFonts w:ascii="Source Sans Pro" w:hAnsi="Source Sans Pro"/>
          <w:i/>
          <w:iCs/>
          <w:color w:val="333333"/>
          <w:shd w:val="clear" w:color="auto" w:fill="FFFFFF"/>
        </w:rPr>
        <w:t>‘DB’ and Australian Federal Police</w:t>
      </w:r>
      <w:r w:rsidR="00991E2E">
        <w:rPr>
          <w:rFonts w:ascii="Source Sans Pro" w:hAnsi="Source Sans Pro"/>
          <w:color w:val="333333"/>
          <w:shd w:val="clear" w:color="auto" w:fill="FFFFFF"/>
        </w:rPr>
        <w:t xml:space="preserve"> </w:t>
      </w:r>
      <w:hyperlink r:id="rId94" w:tooltip="View Case" w:history="1">
        <w:r w:rsidR="00B675BB" w:rsidRPr="00E33E6F">
          <w:rPr>
            <w:rStyle w:val="Hyperlink"/>
            <w:rFonts w:ascii="Source Sans Pro" w:hAnsi="Source Sans Pro"/>
            <w:color w:val="256A91"/>
          </w:rPr>
          <w:t>[2014] AICmr 105</w:t>
        </w:r>
      </w:hyperlink>
      <w:r w:rsidR="00B675BB" w:rsidRPr="00E33E6F">
        <w:rPr>
          <w:rFonts w:ascii="Source Sans Pro" w:hAnsi="Source Sans Pro"/>
          <w:color w:val="333333"/>
          <w:shd w:val="clear" w:color="auto" w:fill="FFFFFF"/>
        </w:rPr>
        <w:t xml:space="preserve"> [37]–[40]</w:t>
      </w:r>
      <w:r w:rsidR="00B675BB">
        <w:rPr>
          <w:rFonts w:ascii="Source Sans Pro" w:hAnsi="Source Sans Pro"/>
          <w:b/>
          <w:bCs/>
          <w:color w:val="333333"/>
          <w:shd w:val="clear" w:color="auto" w:fill="FFFFFF"/>
        </w:rPr>
        <w:t xml:space="preserve"> </w:t>
      </w:r>
      <w:r w:rsidR="00B675BB" w:rsidRPr="00E33E6F">
        <w:rPr>
          <w:rFonts w:ascii="Source Sans Pro" w:hAnsi="Source Sans Pro"/>
          <w:color w:val="333333"/>
          <w:shd w:val="clear" w:color="auto" w:fill="FFFFFF"/>
        </w:rPr>
        <w:t xml:space="preserve">in which the </w:t>
      </w:r>
      <w:r w:rsidR="00B675BB">
        <w:rPr>
          <w:rFonts w:ascii="Source Sans Pro" w:hAnsi="Source Sans Pro"/>
          <w:color w:val="333333"/>
          <w:shd w:val="clear" w:color="auto" w:fill="FFFFFF"/>
        </w:rPr>
        <w:t>acting Freedom of Information Commissioner found that the respond</w:t>
      </w:r>
      <w:r w:rsidR="00E75A0B">
        <w:rPr>
          <w:rFonts w:ascii="Source Sans Pro" w:hAnsi="Source Sans Pro"/>
          <w:color w:val="333333"/>
          <w:shd w:val="clear" w:color="auto" w:fill="FFFFFF"/>
        </w:rPr>
        <w:t>ent</w:t>
      </w:r>
      <w:r w:rsidR="00B675BB">
        <w:rPr>
          <w:rFonts w:ascii="Source Sans Pro" w:hAnsi="Source Sans Pro"/>
          <w:color w:val="333333"/>
          <w:shd w:val="clear" w:color="auto" w:fill="FFFFFF"/>
        </w:rPr>
        <w:t xml:space="preserve"> had made broad assertions about the need to exempt documents containing financial and budgetary information from disclosure but had not addressed the actual contents of each document. The respondent also did not substantiate its claim that disclosure would have a ‘substantial adverse impact’ on its financial or property interests.</w:t>
      </w:r>
    </w:p>
  </w:footnote>
  <w:footnote w:id="72">
    <w:p w14:paraId="476B23E2" w14:textId="3F723625"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A66B22">
        <w:rPr>
          <w:i/>
          <w:iCs/>
        </w:rPr>
        <w:t>Re Hart and Deputy Commissioner of Taxation</w:t>
      </w:r>
      <w:r w:rsidRPr="0043786E">
        <w:t xml:space="preserve"> </w:t>
      </w:r>
      <w:hyperlink r:id="rId95" w:history="1">
        <w:r w:rsidRPr="00946CA3">
          <w:rPr>
            <w:rStyle w:val="Hyperlink"/>
            <w:color w:val="007BAB" w:themeColor="text2" w:themeTint="BF"/>
          </w:rPr>
          <w:t>[2002] AATA 1190</w:t>
        </w:r>
      </w:hyperlink>
      <w:r w:rsidR="00AD6C46">
        <w:rPr>
          <w:color w:val="007BAB" w:themeColor="text2" w:themeTint="BF"/>
        </w:rPr>
        <w:t>;</w:t>
      </w:r>
      <w:r w:rsidR="00AD6C46" w:rsidRPr="00946CA3">
        <w:t xml:space="preserve"> (2002) 36 AAR 279</w:t>
      </w:r>
      <w:r w:rsidRPr="008B1F34">
        <w:t>.</w:t>
      </w:r>
    </w:p>
  </w:footnote>
  <w:footnote w:id="73">
    <w:p w14:paraId="744C7023" w14:textId="2BD7E7C2"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A61547">
        <w:t xml:space="preserve">See </w:t>
      </w:r>
      <w:r w:rsidRPr="00A61547">
        <w:rPr>
          <w:i/>
          <w:iCs/>
        </w:rPr>
        <w:t>Re James and Ors and Australian National University</w:t>
      </w:r>
      <w:r w:rsidRPr="00A61547">
        <w:t xml:space="preserve"> </w:t>
      </w:r>
      <w:hyperlink r:id="rId96" w:history="1">
        <w:r w:rsidR="001138B7" w:rsidRPr="00946CA3">
          <w:rPr>
            <w:rStyle w:val="Hyperlink"/>
            <w:color w:val="007BAB" w:themeColor="text2" w:themeTint="BF"/>
          </w:rPr>
          <w:t>[1984] AATA 501</w:t>
        </w:r>
      </w:hyperlink>
      <w:r w:rsidR="001138B7">
        <w:t xml:space="preserve">; </w:t>
      </w:r>
      <w:r w:rsidRPr="00A61547">
        <w:t>(1984) 6 ALD 687.</w:t>
      </w:r>
    </w:p>
  </w:footnote>
  <w:footnote w:id="74">
    <w:p w14:paraId="6B87EBCA" w14:textId="1BD63209" w:rsidR="00B95457" w:rsidRDefault="00B95457" w:rsidP="00BA1702">
      <w:pPr>
        <w:pStyle w:val="FootnoteText"/>
        <w:tabs>
          <w:tab w:val="left" w:pos="284"/>
        </w:tabs>
        <w:ind w:left="284" w:hanging="284"/>
      </w:pPr>
      <w:r>
        <w:rPr>
          <w:rStyle w:val="FootnoteReference"/>
        </w:rPr>
        <w:footnoteRef/>
      </w:r>
      <w:r>
        <w:t xml:space="preserve"> </w:t>
      </w:r>
      <w:r w:rsidR="00774829">
        <w:tab/>
      </w:r>
      <w:r w:rsidR="00774829" w:rsidRPr="00140727">
        <w:t xml:space="preserve">See for </w:t>
      </w:r>
      <w:r w:rsidR="00774829" w:rsidRPr="00BA1702">
        <w:rPr>
          <w:rStyle w:val="FootnoteReference"/>
          <w:vertAlign w:val="baseline"/>
        </w:rPr>
        <w:t>example</w:t>
      </w:r>
      <w:r w:rsidR="00140727" w:rsidRPr="00140727">
        <w:t xml:space="preserve"> ‘</w:t>
      </w:r>
      <w:r w:rsidR="00774829" w:rsidRPr="00BA1702">
        <w:rPr>
          <w:i/>
          <w:iCs/>
        </w:rPr>
        <w:t xml:space="preserve"> </w:t>
      </w:r>
      <w:r w:rsidR="00774829" w:rsidRPr="00BA1702">
        <w:rPr>
          <w:rFonts w:cs="Segoe UI"/>
          <w:i/>
          <w:iCs/>
          <w:spacing w:val="0"/>
          <w:szCs w:val="18"/>
        </w:rPr>
        <w:t>ADR’ and Inspector-General of Taxation (Freedom of information)</w:t>
      </w:r>
      <w:r w:rsidR="00774829" w:rsidRPr="00BA1702">
        <w:rPr>
          <w:rFonts w:cs="Segoe UI"/>
          <w:spacing w:val="0"/>
          <w:szCs w:val="18"/>
        </w:rPr>
        <w:t xml:space="preserve"> </w:t>
      </w:r>
      <w:hyperlink r:id="rId97" w:history="1">
        <w:r w:rsidR="00774829" w:rsidRPr="00BA1702">
          <w:rPr>
            <w:rStyle w:val="Hyperlink"/>
          </w:rPr>
          <w:t>[2023] AICmr 51</w:t>
        </w:r>
      </w:hyperlink>
      <w:r w:rsidR="00774829" w:rsidRPr="00BA1702">
        <w:rPr>
          <w:rFonts w:cs="Segoe UI"/>
          <w:spacing w:val="0"/>
          <w:szCs w:val="18"/>
        </w:rPr>
        <w:t xml:space="preserve"> [</w:t>
      </w:r>
      <w:r w:rsidR="008048F0" w:rsidRPr="00BA1702">
        <w:rPr>
          <w:rFonts w:cs="Segoe UI"/>
          <w:spacing w:val="0"/>
          <w:szCs w:val="18"/>
        </w:rPr>
        <w:t>57]–[60]</w:t>
      </w:r>
      <w:r w:rsidR="00774829" w:rsidRPr="00BA1702">
        <w:rPr>
          <w:rFonts w:cs="Segoe UI"/>
          <w:spacing w:val="0"/>
          <w:szCs w:val="18"/>
        </w:rPr>
        <w:t xml:space="preserve"> in which the Acting FOI Commissioner rejected a claim that a document was conditionally exempt</w:t>
      </w:r>
      <w:r w:rsidR="008048F0" w:rsidRPr="00BA1702">
        <w:rPr>
          <w:rFonts w:cs="Segoe UI"/>
          <w:spacing w:val="0"/>
          <w:szCs w:val="18"/>
        </w:rPr>
        <w:t xml:space="preserve"> under s 47E(a) on the basis that </w:t>
      </w:r>
      <w:r w:rsidR="00D766E2">
        <w:rPr>
          <w:rFonts w:cs="Segoe UI"/>
          <w:spacing w:val="0"/>
          <w:szCs w:val="18"/>
        </w:rPr>
        <w:t xml:space="preserve">the Inspector-General had </w:t>
      </w:r>
      <w:r w:rsidR="00551B3D" w:rsidRPr="00BA1702">
        <w:rPr>
          <w:rFonts w:cs="Source Sans Pro"/>
          <w:color w:val="000000"/>
          <w:szCs w:val="22"/>
        </w:rPr>
        <w:t xml:space="preserve">not explained how disclosure could prejudice the effectiveness of its review or audit methods and </w:t>
      </w:r>
      <w:r w:rsidR="00551B3D" w:rsidRPr="00BA1702">
        <w:rPr>
          <w:rStyle w:val="FootnoteReference"/>
          <w:vertAlign w:val="baseline"/>
        </w:rPr>
        <w:t>procedures</w:t>
      </w:r>
      <w:r w:rsidR="00551B3D" w:rsidRPr="00BA1702">
        <w:rPr>
          <w:rFonts w:cs="Source Sans Pro"/>
          <w:color w:val="000000"/>
          <w:szCs w:val="22"/>
        </w:rPr>
        <w:t xml:space="preserve"> nor why that prejudice could reasonably be expected to follow from disclosure of the </w:t>
      </w:r>
      <w:r w:rsidR="00E72C57">
        <w:rPr>
          <w:rFonts w:cs="Source Sans Pro"/>
          <w:color w:val="000000"/>
          <w:szCs w:val="22"/>
        </w:rPr>
        <w:t>document</w:t>
      </w:r>
      <w:r w:rsidR="00551B3D" w:rsidRPr="00BA1702">
        <w:rPr>
          <w:rFonts w:cs="Source Sans Pro"/>
          <w:color w:val="000000"/>
          <w:szCs w:val="22"/>
        </w:rPr>
        <w:t xml:space="preserve">. </w:t>
      </w:r>
    </w:p>
  </w:footnote>
  <w:footnote w:id="75">
    <w:p w14:paraId="3376E328" w14:textId="65735978"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BB1474">
        <w:t xml:space="preserve">See </w:t>
      </w:r>
      <w:r w:rsidRPr="00BB1474">
        <w:rPr>
          <w:i/>
          <w:iCs/>
        </w:rPr>
        <w:t>Vasta and McKinnon and Civil Aviation Safety Authority</w:t>
      </w:r>
      <w:r w:rsidRPr="00BB1474">
        <w:t xml:space="preserve"> </w:t>
      </w:r>
      <w:hyperlink r:id="rId98" w:history="1">
        <w:r w:rsidRPr="00946CA3">
          <w:rPr>
            <w:rStyle w:val="Hyperlink"/>
            <w:color w:val="007BAB" w:themeColor="text2" w:themeTint="BF"/>
          </w:rPr>
          <w:t>[2010] AATA 499</w:t>
        </w:r>
      </w:hyperlink>
      <w:r w:rsidR="001138B7" w:rsidRPr="001138B7">
        <w:t xml:space="preserve">; </w:t>
      </w:r>
      <w:r w:rsidR="001138B7" w:rsidRPr="00946CA3">
        <w:rPr>
          <w:rFonts w:cs="Arial"/>
          <w:color w:val="000000"/>
          <w:szCs w:val="18"/>
          <w:shd w:val="clear" w:color="auto" w:fill="FFFFFF"/>
        </w:rPr>
        <w:t>(2010) 116 ALD 356</w:t>
      </w:r>
      <w:r w:rsidRPr="00BB1474">
        <w:t>.</w:t>
      </w:r>
    </w:p>
  </w:footnote>
  <w:footnote w:id="76">
    <w:p w14:paraId="72F5337F" w14:textId="552705FC" w:rsidR="00F85EF4" w:rsidRPr="005932A5" w:rsidRDefault="00F85EF4" w:rsidP="00E33E6F">
      <w:pPr>
        <w:tabs>
          <w:tab w:val="left" w:pos="284"/>
        </w:tabs>
        <w:spacing w:after="60"/>
        <w:ind w:left="284" w:hanging="284"/>
        <w:rPr>
          <w:rFonts w:cstheme="minorHAnsi"/>
        </w:rPr>
      </w:pPr>
      <w:r w:rsidRPr="0043786E">
        <w:rPr>
          <w:rStyle w:val="FootnoteReference"/>
        </w:rPr>
        <w:footnoteRef/>
      </w:r>
      <w:r w:rsidRPr="0043786E">
        <w:t xml:space="preserve"> </w:t>
      </w:r>
      <w:r w:rsidR="00BC5D2E">
        <w:tab/>
      </w:r>
      <w:r w:rsidRPr="00E33E6F">
        <w:rPr>
          <w:rFonts w:cs="Calibri"/>
          <w:spacing w:val="-5"/>
          <w:sz w:val="18"/>
          <w:szCs w:val="24"/>
        </w:rPr>
        <w:t xml:space="preserve">See </w:t>
      </w:r>
      <w:r w:rsidRPr="00E33E6F">
        <w:rPr>
          <w:rFonts w:cs="Calibri"/>
          <w:i/>
          <w:iCs/>
          <w:spacing w:val="-5"/>
          <w:sz w:val="18"/>
          <w:szCs w:val="24"/>
        </w:rPr>
        <w:t>Lobo and Secretary, Department of Education, Science and Training</w:t>
      </w:r>
      <w:r w:rsidRPr="00E33E6F">
        <w:rPr>
          <w:rFonts w:cs="Calibri"/>
          <w:spacing w:val="-5"/>
          <w:sz w:val="18"/>
          <w:szCs w:val="24"/>
        </w:rPr>
        <w:t xml:space="preserve"> </w:t>
      </w:r>
      <w:hyperlink r:id="rId99" w:history="1">
        <w:r w:rsidRPr="00E33E6F">
          <w:rPr>
            <w:rFonts w:cs="Calibri"/>
            <w:spacing w:val="-5"/>
            <w:sz w:val="18"/>
            <w:szCs w:val="24"/>
          </w:rPr>
          <w:t>[2007] AATA 1891</w:t>
        </w:r>
      </w:hyperlink>
      <w:r w:rsidR="005932A5" w:rsidRPr="00E33E6F">
        <w:rPr>
          <w:rFonts w:cs="Calibri"/>
          <w:spacing w:val="-5"/>
          <w:sz w:val="18"/>
          <w:szCs w:val="24"/>
        </w:rPr>
        <w:t xml:space="preserve"> and </w:t>
      </w:r>
      <w:r w:rsidR="005932A5" w:rsidRPr="00E33E6F">
        <w:rPr>
          <w:rFonts w:cs="Calibri"/>
          <w:i/>
          <w:iCs/>
          <w:spacing w:val="-5"/>
          <w:sz w:val="18"/>
          <w:szCs w:val="24"/>
        </w:rPr>
        <w:t xml:space="preserve">Fortitude East Pty Ltd and Australian Trade </w:t>
      </w:r>
      <w:r w:rsidR="005932A5" w:rsidRPr="008A163F">
        <w:rPr>
          <w:rFonts w:cs="Calibri"/>
          <w:i/>
          <w:iCs/>
          <w:spacing w:val="-5"/>
          <w:sz w:val="18"/>
          <w:szCs w:val="18"/>
        </w:rPr>
        <w:t>Commission</w:t>
      </w:r>
      <w:r w:rsidR="00991E2E" w:rsidRPr="008A163F">
        <w:rPr>
          <w:rFonts w:cs="Calibri"/>
          <w:spacing w:val="-5"/>
          <w:sz w:val="18"/>
          <w:szCs w:val="18"/>
        </w:rPr>
        <w:t xml:space="preserve"> </w:t>
      </w:r>
      <w:hyperlink r:id="rId100" w:tooltip="View Case" w:history="1">
        <w:r w:rsidR="005932A5" w:rsidRPr="008A163F">
          <w:rPr>
            <w:rStyle w:val="Hyperlink"/>
            <w:color w:val="007BAB" w:themeColor="text2" w:themeTint="BF"/>
            <w:sz w:val="18"/>
            <w:szCs w:val="18"/>
          </w:rPr>
          <w:t>[2016] AICmr 71</w:t>
        </w:r>
      </w:hyperlink>
      <w:r w:rsidRPr="008A163F">
        <w:rPr>
          <w:sz w:val="18"/>
          <w:szCs w:val="18"/>
        </w:rPr>
        <w:t>.</w:t>
      </w:r>
    </w:p>
  </w:footnote>
  <w:footnote w:id="77">
    <w:p w14:paraId="2D4F42D9" w14:textId="4C2972CC" w:rsidR="0017285E" w:rsidRDefault="0017285E" w:rsidP="00E33E6F">
      <w:pPr>
        <w:pStyle w:val="FootnoteText"/>
        <w:tabs>
          <w:tab w:val="left" w:pos="284"/>
        </w:tabs>
      </w:pPr>
      <w:r>
        <w:rPr>
          <w:rStyle w:val="FootnoteReference"/>
        </w:rPr>
        <w:footnoteRef/>
      </w:r>
      <w:r>
        <w:t xml:space="preserve"> </w:t>
      </w:r>
      <w:r>
        <w:tab/>
      </w:r>
      <w:r w:rsidRPr="00E33E6F">
        <w:rPr>
          <w:rFonts w:ascii="Source Sans Pro" w:hAnsi="Source Sans Pro"/>
          <w:i/>
          <w:iCs/>
          <w:color w:val="333333"/>
          <w:shd w:val="clear" w:color="auto" w:fill="FFFFFF"/>
        </w:rPr>
        <w:t>Besser and Department of Infrastructure and Transport</w:t>
      </w:r>
      <w:r w:rsidRPr="00E33E6F">
        <w:rPr>
          <w:rFonts w:ascii="Source Sans Pro" w:hAnsi="Source Sans Pro"/>
          <w:color w:val="333333"/>
          <w:shd w:val="clear" w:color="auto" w:fill="FFFFFF"/>
        </w:rPr>
        <w:t> </w:t>
      </w:r>
      <w:hyperlink r:id="rId101" w:tooltip="View Case" w:history="1">
        <w:r w:rsidRPr="00E33E6F">
          <w:rPr>
            <w:rStyle w:val="Hyperlink"/>
            <w:rFonts w:ascii="Source Sans Pro" w:hAnsi="Source Sans Pro"/>
            <w:color w:val="256A91"/>
          </w:rPr>
          <w:t>[2013] AICmr 19</w:t>
        </w:r>
      </w:hyperlink>
      <w:r w:rsidRPr="00E33E6F">
        <w:rPr>
          <w:rFonts w:ascii="Source Sans Pro" w:hAnsi="Source Sans Pro"/>
          <w:color w:val="333333"/>
          <w:shd w:val="clear" w:color="auto" w:fill="FFFFFF"/>
        </w:rPr>
        <w:t xml:space="preserve"> [31]–[32].</w:t>
      </w:r>
    </w:p>
  </w:footnote>
  <w:footnote w:id="78">
    <w:p w14:paraId="43C5714B" w14:textId="739B15A5"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BB1474">
        <w:t xml:space="preserve">See </w:t>
      </w:r>
      <w:r w:rsidRPr="00BB1474">
        <w:rPr>
          <w:i/>
          <w:iCs/>
        </w:rPr>
        <w:t>Vasta and McKinnon and Civil Aviation Safety Authority</w:t>
      </w:r>
      <w:r w:rsidRPr="00BB1474">
        <w:t xml:space="preserve"> </w:t>
      </w:r>
      <w:hyperlink r:id="rId102" w:history="1">
        <w:r w:rsidRPr="00946CA3">
          <w:rPr>
            <w:rStyle w:val="Hyperlink"/>
            <w:color w:val="007BAB" w:themeColor="text2" w:themeTint="BF"/>
          </w:rPr>
          <w:t>[2010] AATA 499</w:t>
        </w:r>
      </w:hyperlink>
      <w:r w:rsidR="001138B7" w:rsidRPr="001138B7">
        <w:t xml:space="preserve">; </w:t>
      </w:r>
      <w:r w:rsidR="001138B7" w:rsidRPr="000917E3">
        <w:rPr>
          <w:rFonts w:cs="Arial"/>
          <w:color w:val="000000"/>
          <w:szCs w:val="18"/>
          <w:shd w:val="clear" w:color="auto" w:fill="FFFFFF"/>
        </w:rPr>
        <w:t>(2010) 116 ALD 356</w:t>
      </w:r>
      <w:r w:rsidRPr="00BB1474">
        <w:t>.</w:t>
      </w:r>
    </w:p>
  </w:footnote>
  <w:footnote w:id="79">
    <w:p w14:paraId="0898224A" w14:textId="4A4A1937"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BB1474">
        <w:t xml:space="preserve">See </w:t>
      </w:r>
      <w:r w:rsidRPr="00BB1474">
        <w:rPr>
          <w:i/>
          <w:iCs/>
        </w:rPr>
        <w:t>Re James and Ors and Australian National University</w:t>
      </w:r>
      <w:r w:rsidRPr="00BB1474">
        <w:t xml:space="preserve"> </w:t>
      </w:r>
      <w:hyperlink r:id="rId103" w:history="1">
        <w:r w:rsidR="001138B7" w:rsidRPr="000917E3">
          <w:rPr>
            <w:rStyle w:val="Hyperlink"/>
            <w:color w:val="007BAB" w:themeColor="text2" w:themeTint="BF"/>
          </w:rPr>
          <w:t>[1984] AATA 501</w:t>
        </w:r>
      </w:hyperlink>
      <w:r w:rsidR="001138B7">
        <w:rPr>
          <w:color w:val="007BAB" w:themeColor="text2" w:themeTint="BF"/>
        </w:rPr>
        <w:t>;</w:t>
      </w:r>
      <w:r w:rsidR="001138B7" w:rsidRPr="00BB1474">
        <w:t xml:space="preserve"> </w:t>
      </w:r>
      <w:r w:rsidRPr="00BB1474">
        <w:t>(1984) ALD 687.</w:t>
      </w:r>
    </w:p>
  </w:footnote>
  <w:footnote w:id="80">
    <w:p w14:paraId="4F6834C4" w14:textId="0B176468"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BB1474">
        <w:t xml:space="preserve">See </w:t>
      </w:r>
      <w:r w:rsidRPr="00BB1474">
        <w:rPr>
          <w:i/>
          <w:iCs/>
        </w:rPr>
        <w:t>Splann and Centrelink</w:t>
      </w:r>
      <w:r w:rsidRPr="00BB1474">
        <w:t xml:space="preserve"> </w:t>
      </w:r>
      <w:hyperlink r:id="rId104" w:history="1">
        <w:r w:rsidRPr="00946CA3">
          <w:rPr>
            <w:rStyle w:val="Hyperlink"/>
            <w:color w:val="007BAB" w:themeColor="text2" w:themeTint="BF"/>
          </w:rPr>
          <w:t>[2009] AATA 320</w:t>
        </w:r>
      </w:hyperlink>
      <w:r w:rsidRPr="00BB1474">
        <w:t>.</w:t>
      </w:r>
    </w:p>
  </w:footnote>
  <w:footnote w:id="81">
    <w:p w14:paraId="6BBD32C5" w14:textId="5CFEDD80"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BB1474">
        <w:t xml:space="preserve">See </w:t>
      </w:r>
      <w:r w:rsidRPr="00770026">
        <w:rPr>
          <w:i/>
          <w:iCs/>
        </w:rPr>
        <w:t>Re Marko</w:t>
      </w:r>
      <w:r>
        <w:t xml:space="preserve"> </w:t>
      </w:r>
      <w:r w:rsidRPr="00BB1474">
        <w:rPr>
          <w:i/>
          <w:iCs/>
        </w:rPr>
        <w:t>Ascic and Australian Federal Police</w:t>
      </w:r>
      <w:r w:rsidRPr="00BB1474">
        <w:t xml:space="preserve"> </w:t>
      </w:r>
      <w:hyperlink r:id="rId105" w:history="1">
        <w:r w:rsidRPr="00946CA3">
          <w:rPr>
            <w:rStyle w:val="Hyperlink"/>
            <w:color w:val="007BAB" w:themeColor="text2" w:themeTint="BF"/>
          </w:rPr>
          <w:t>[1986] AATA 108</w:t>
        </w:r>
      </w:hyperlink>
      <w:r w:rsidRPr="00BB1474">
        <w:t>.</w:t>
      </w:r>
    </w:p>
  </w:footnote>
  <w:footnote w:id="82">
    <w:p w14:paraId="54519B2A" w14:textId="70015343" w:rsidR="00F85EF4" w:rsidRPr="00BB1474"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BB1474">
        <w:t xml:space="preserve">See </w:t>
      </w:r>
      <w:r w:rsidRPr="00BB1474">
        <w:rPr>
          <w:i/>
          <w:iCs/>
        </w:rPr>
        <w:t>Re Crawley and Centrelink</w:t>
      </w:r>
      <w:r w:rsidRPr="00BB1474">
        <w:t xml:space="preserve"> </w:t>
      </w:r>
      <w:hyperlink r:id="rId106" w:history="1">
        <w:r w:rsidRPr="00946CA3">
          <w:rPr>
            <w:rStyle w:val="Hyperlink"/>
            <w:color w:val="007BAB" w:themeColor="text2" w:themeTint="BF"/>
          </w:rPr>
          <w:t>[2006] AATA 572</w:t>
        </w:r>
      </w:hyperlink>
      <w:r w:rsidRPr="00BB1474">
        <w:t>.</w:t>
      </w:r>
    </w:p>
  </w:footnote>
  <w:footnote w:id="83">
    <w:p w14:paraId="59BA6DCD" w14:textId="0E24B57C"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CF6ACD">
        <w:rPr>
          <w:i/>
          <w:iCs/>
        </w:rPr>
        <w:t>Re Marko</w:t>
      </w:r>
      <w:r>
        <w:t xml:space="preserve"> </w:t>
      </w:r>
      <w:r w:rsidRPr="00670412">
        <w:rPr>
          <w:i/>
          <w:iCs/>
        </w:rPr>
        <w:t>Ascic and Australian Federal Police</w:t>
      </w:r>
      <w:r w:rsidRPr="00DD07E1">
        <w:t xml:space="preserve"> </w:t>
      </w:r>
      <w:hyperlink r:id="rId107" w:history="1">
        <w:r w:rsidRPr="00946CA3">
          <w:rPr>
            <w:rStyle w:val="Hyperlink"/>
            <w:color w:val="007BAB" w:themeColor="text2" w:themeTint="BF"/>
          </w:rPr>
          <w:t>[1986] AATA 108</w:t>
        </w:r>
      </w:hyperlink>
      <w:r w:rsidRPr="0043786E">
        <w:t>.</w:t>
      </w:r>
    </w:p>
  </w:footnote>
  <w:footnote w:id="84">
    <w:p w14:paraId="66559B6A" w14:textId="5C1CF3A8" w:rsidR="00741C23" w:rsidRDefault="00741C23" w:rsidP="00C23A30">
      <w:pPr>
        <w:pStyle w:val="FootnoteText"/>
        <w:tabs>
          <w:tab w:val="left" w:pos="284"/>
        </w:tabs>
      </w:pPr>
      <w:r>
        <w:rPr>
          <w:rStyle w:val="FootnoteReference"/>
        </w:rPr>
        <w:footnoteRef/>
      </w:r>
      <w:r>
        <w:t xml:space="preserve"> </w:t>
      </w:r>
      <w:r w:rsidRPr="001140DF">
        <w:tab/>
      </w:r>
      <w:r w:rsidRPr="00C23A30">
        <w:rPr>
          <w:rFonts w:ascii="Source Sans Pro" w:hAnsi="Source Sans Pro"/>
          <w:i/>
          <w:iCs/>
          <w:color w:val="333333"/>
          <w:shd w:val="clear" w:color="auto" w:fill="FFFFFF"/>
        </w:rPr>
        <w:t>Australian Federation of Air Pilots and Civil Aviation Safety Authority (Freedom of information)</w:t>
      </w:r>
      <w:r w:rsidRPr="00C23A30">
        <w:rPr>
          <w:rFonts w:ascii="Source Sans Pro" w:hAnsi="Source Sans Pro"/>
          <w:color w:val="333333"/>
          <w:shd w:val="clear" w:color="auto" w:fill="FFFFFF"/>
        </w:rPr>
        <w:t> </w:t>
      </w:r>
      <w:hyperlink r:id="rId108" w:tooltip="View Case" w:history="1">
        <w:r w:rsidRPr="00C23A30">
          <w:rPr>
            <w:rStyle w:val="Hyperlink"/>
            <w:rFonts w:ascii="Source Sans Pro" w:hAnsi="Source Sans Pro"/>
            <w:color w:val="256A91"/>
          </w:rPr>
          <w:t>[2022] AICmr 65</w:t>
        </w:r>
      </w:hyperlink>
      <w:r w:rsidRPr="00C23A30">
        <w:rPr>
          <w:rFonts w:ascii="Source Sans Pro" w:hAnsi="Source Sans Pro"/>
          <w:color w:val="333333"/>
          <w:shd w:val="clear" w:color="auto" w:fill="FFFFFF"/>
        </w:rPr>
        <w:t xml:space="preserve"> [</w:t>
      </w:r>
      <w:r w:rsidR="001140DF" w:rsidRPr="00C23A30">
        <w:rPr>
          <w:rFonts w:ascii="Source Sans Pro" w:hAnsi="Source Sans Pro"/>
          <w:color w:val="333333"/>
          <w:shd w:val="clear" w:color="auto" w:fill="FFFFFF"/>
        </w:rPr>
        <w:t>21]</w:t>
      </w:r>
      <w:r w:rsidR="001140DF">
        <w:rPr>
          <w:rFonts w:ascii="Source Sans Pro" w:hAnsi="Source Sans Pro"/>
          <w:color w:val="333333"/>
          <w:shd w:val="clear" w:color="auto" w:fill="FFFFFF"/>
        </w:rPr>
        <w:t xml:space="preserve"> and [30]</w:t>
      </w:r>
      <w:r w:rsidR="001140DF" w:rsidRPr="00C23A30">
        <w:rPr>
          <w:rFonts w:ascii="Source Sans Pro" w:hAnsi="Source Sans Pro"/>
          <w:color w:val="333333"/>
          <w:shd w:val="clear" w:color="auto" w:fill="FFFFFF"/>
        </w:rPr>
        <w:t>.</w:t>
      </w:r>
    </w:p>
  </w:footnote>
  <w:footnote w:id="85">
    <w:p w14:paraId="2A91EFDA" w14:textId="24A662BA" w:rsidR="0017285E" w:rsidRPr="0017285E" w:rsidRDefault="0017285E" w:rsidP="00E33E6F">
      <w:pPr>
        <w:pStyle w:val="FootnoteText"/>
        <w:tabs>
          <w:tab w:val="left" w:pos="284"/>
        </w:tabs>
      </w:pPr>
      <w:r>
        <w:rPr>
          <w:rStyle w:val="FootnoteReference"/>
        </w:rPr>
        <w:footnoteRef/>
      </w:r>
      <w:r>
        <w:t xml:space="preserve"> </w:t>
      </w:r>
      <w:r>
        <w:tab/>
      </w:r>
      <w:r w:rsidRPr="00E33E6F">
        <w:rPr>
          <w:rFonts w:ascii="Source Sans Pro" w:hAnsi="Source Sans Pro"/>
          <w:i/>
          <w:iCs/>
          <w:color w:val="333333"/>
          <w:shd w:val="clear" w:color="auto" w:fill="FFFFFF"/>
        </w:rPr>
        <w:t>Besser and Department of Infrastructure and Transport</w:t>
      </w:r>
      <w:r w:rsidRPr="00E33E6F">
        <w:rPr>
          <w:rFonts w:ascii="Source Sans Pro" w:hAnsi="Source Sans Pro"/>
          <w:color w:val="333333"/>
          <w:shd w:val="clear" w:color="auto" w:fill="FFFFFF"/>
        </w:rPr>
        <w:t> </w:t>
      </w:r>
      <w:hyperlink r:id="rId109" w:tooltip="View Case" w:history="1">
        <w:r w:rsidRPr="00E33E6F">
          <w:rPr>
            <w:rStyle w:val="Hyperlink"/>
            <w:rFonts w:ascii="Source Sans Pro" w:hAnsi="Source Sans Pro"/>
            <w:color w:val="256A91"/>
          </w:rPr>
          <w:t>[2013] AICmr 19</w:t>
        </w:r>
      </w:hyperlink>
      <w:r w:rsidRPr="00E33E6F">
        <w:rPr>
          <w:rFonts w:ascii="Source Sans Pro" w:hAnsi="Source Sans Pro"/>
          <w:color w:val="333333"/>
          <w:shd w:val="clear" w:color="auto" w:fill="FFFFFF"/>
        </w:rPr>
        <w:t xml:space="preserve"> [35].</w:t>
      </w:r>
    </w:p>
  </w:footnote>
  <w:footnote w:id="86">
    <w:p w14:paraId="60133F9E" w14:textId="1B7A69B8"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CF6ACD">
        <w:rPr>
          <w:i/>
          <w:iCs/>
        </w:rPr>
        <w:t>Re Marko</w:t>
      </w:r>
      <w:r>
        <w:t xml:space="preserve"> </w:t>
      </w:r>
      <w:r w:rsidRPr="00670412">
        <w:rPr>
          <w:i/>
          <w:iCs/>
        </w:rPr>
        <w:t>Ascic and Australian Federal Police</w:t>
      </w:r>
      <w:r w:rsidRPr="00DD07E1">
        <w:t xml:space="preserve"> </w:t>
      </w:r>
      <w:hyperlink r:id="rId110" w:history="1">
        <w:r w:rsidRPr="00946CA3">
          <w:rPr>
            <w:rStyle w:val="Hyperlink"/>
            <w:color w:val="007BAB" w:themeColor="text2" w:themeTint="BF"/>
          </w:rPr>
          <w:t>[1986] AATA 108</w:t>
        </w:r>
      </w:hyperlink>
      <w:r w:rsidRPr="0043786E">
        <w:t>.</w:t>
      </w:r>
    </w:p>
  </w:footnote>
  <w:footnote w:id="87">
    <w:p w14:paraId="5D7C6AB0" w14:textId="128D3DD7"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CF6ACD">
        <w:rPr>
          <w:i/>
          <w:iCs/>
        </w:rPr>
        <w:t>Re Marko</w:t>
      </w:r>
      <w:r>
        <w:t xml:space="preserve"> </w:t>
      </w:r>
      <w:r w:rsidRPr="00670412">
        <w:rPr>
          <w:i/>
          <w:iCs/>
        </w:rPr>
        <w:t>Ascic and Australian Federal Police</w:t>
      </w:r>
      <w:r w:rsidRPr="00DD07E1">
        <w:t xml:space="preserve"> </w:t>
      </w:r>
      <w:hyperlink r:id="rId111" w:history="1">
        <w:r w:rsidRPr="00946CA3">
          <w:rPr>
            <w:rStyle w:val="Hyperlink"/>
            <w:color w:val="007BAB" w:themeColor="text2" w:themeTint="BF"/>
          </w:rPr>
          <w:t>[1986] AATA 108</w:t>
        </w:r>
      </w:hyperlink>
      <w:r w:rsidRPr="0043786E">
        <w:t>.</w:t>
      </w:r>
    </w:p>
  </w:footnote>
  <w:footnote w:id="88">
    <w:p w14:paraId="0915B70F" w14:textId="05344F84"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670412">
        <w:rPr>
          <w:i/>
          <w:iCs/>
        </w:rPr>
        <w:t>Re Crawley and Centrelink</w:t>
      </w:r>
      <w:r w:rsidRPr="00DD07E1">
        <w:t xml:space="preserve"> </w:t>
      </w:r>
      <w:hyperlink r:id="rId112" w:history="1">
        <w:r w:rsidRPr="00946CA3">
          <w:rPr>
            <w:rStyle w:val="Hyperlink"/>
            <w:color w:val="007BAB" w:themeColor="text2" w:themeTint="BF"/>
          </w:rPr>
          <w:t>[2006] AATA 572</w:t>
        </w:r>
      </w:hyperlink>
      <w:r w:rsidRPr="0043786E">
        <w:t>.</w:t>
      </w:r>
    </w:p>
  </w:footnote>
  <w:footnote w:id="89">
    <w:p w14:paraId="211C7B1D" w14:textId="22FF2A9C"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7C7612">
        <w:t xml:space="preserve">See </w:t>
      </w:r>
      <w:r w:rsidRPr="007C7612">
        <w:rPr>
          <w:i/>
          <w:iCs/>
        </w:rPr>
        <w:t>Re Watermark and Australian Industrial Property Organisation</w:t>
      </w:r>
      <w:r w:rsidRPr="007C7612">
        <w:t xml:space="preserve"> </w:t>
      </w:r>
      <w:hyperlink r:id="rId113" w:history="1">
        <w:r w:rsidR="007C7612" w:rsidRPr="00946CA3">
          <w:rPr>
            <w:rStyle w:val="Hyperlink"/>
            <w:color w:val="007BAB" w:themeColor="text2" w:themeTint="BF"/>
          </w:rPr>
          <w:t>[1995] AATA 389</w:t>
        </w:r>
      </w:hyperlink>
      <w:r w:rsidR="007C7612">
        <w:t>.</w:t>
      </w:r>
    </w:p>
  </w:footnote>
  <w:footnote w:id="90">
    <w:p w14:paraId="5CABD802" w14:textId="3525EA93"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670412">
        <w:rPr>
          <w:i/>
          <w:iCs/>
        </w:rPr>
        <w:t>Re Dyrenfurth and Department of Social Security</w:t>
      </w:r>
      <w:r w:rsidRPr="00DD07E1">
        <w:t xml:space="preserve"> </w:t>
      </w:r>
      <w:hyperlink r:id="rId114" w:history="1">
        <w:r w:rsidRPr="00946CA3">
          <w:rPr>
            <w:rStyle w:val="Hyperlink"/>
            <w:color w:val="007BAB" w:themeColor="text2" w:themeTint="BF"/>
          </w:rPr>
          <w:t>[1987] AATA 140</w:t>
        </w:r>
      </w:hyperlink>
      <w:r w:rsidRPr="0043786E">
        <w:t>.</w:t>
      </w:r>
    </w:p>
  </w:footnote>
  <w:footnote w:id="91">
    <w:p w14:paraId="478AA1B6" w14:textId="62E0EBD1"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43786E">
        <w:t xml:space="preserve">Substantial and adverse effect is </w:t>
      </w:r>
      <w:r w:rsidRPr="003E2F8F">
        <w:t>also discussed at [</w:t>
      </w:r>
      <w:r w:rsidRPr="003E2F8F">
        <w:fldChar w:fldCharType="begin"/>
      </w:r>
      <w:r w:rsidRPr="003E2F8F">
        <w:instrText xml:space="preserve"> REF _Ref458669010 \r \h  \* MERGEFORMAT </w:instrText>
      </w:r>
      <w:r w:rsidRPr="003E2F8F">
        <w:fldChar w:fldCharType="separate"/>
      </w:r>
      <w:r w:rsidR="00A721BB">
        <w:t>6.107</w:t>
      </w:r>
      <w:r w:rsidRPr="003E2F8F">
        <w:fldChar w:fldCharType="end"/>
      </w:r>
      <w:r w:rsidRPr="003E2F8F">
        <w:t>]</w:t>
      </w:r>
      <w:r w:rsidR="003E2F8F" w:rsidRPr="003E2F8F">
        <w:t>–[6.19</w:t>
      </w:r>
      <w:r w:rsidR="003E2F8F">
        <w:t>] above</w:t>
      </w:r>
      <w:r w:rsidRPr="00DD07E1">
        <w:t>.</w:t>
      </w:r>
    </w:p>
  </w:footnote>
  <w:footnote w:id="92">
    <w:p w14:paraId="13787922" w14:textId="1C496B54"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670412">
        <w:rPr>
          <w:i/>
          <w:iCs/>
        </w:rPr>
        <w:t>Re Dyrenfurth and Department of Social Security</w:t>
      </w:r>
      <w:r w:rsidRPr="00DD07E1">
        <w:t xml:space="preserve"> </w:t>
      </w:r>
      <w:hyperlink r:id="rId115" w:history="1">
        <w:r w:rsidRPr="00946CA3">
          <w:rPr>
            <w:rStyle w:val="Hyperlink"/>
            <w:color w:val="007BAB" w:themeColor="text2" w:themeTint="BF"/>
          </w:rPr>
          <w:t>[1987] AATA 140</w:t>
        </w:r>
      </w:hyperlink>
      <w:r w:rsidR="00C952D0" w:rsidRPr="008A163F">
        <w:t xml:space="preserve"> [16]</w:t>
      </w:r>
      <w:r w:rsidRPr="0043786E">
        <w:t>.</w:t>
      </w:r>
    </w:p>
  </w:footnote>
  <w:footnote w:id="93">
    <w:p w14:paraId="0FCBC4F4" w14:textId="5546F85A"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43786E">
        <w:t xml:space="preserve">See </w:t>
      </w:r>
      <w:r w:rsidRPr="00670412">
        <w:rPr>
          <w:i/>
          <w:iCs/>
        </w:rPr>
        <w:t>Harris v Australian Broadcasting Corporation</w:t>
      </w:r>
      <w:r w:rsidRPr="0043786E">
        <w:t xml:space="preserve"> </w:t>
      </w:r>
      <w:hyperlink r:id="rId116" w:history="1">
        <w:r w:rsidR="007C7612" w:rsidRPr="00946CA3">
          <w:rPr>
            <w:rStyle w:val="Hyperlink"/>
            <w:color w:val="007BAB" w:themeColor="text2" w:themeTint="BF"/>
          </w:rPr>
          <w:t>[1983] FCA 242</w:t>
        </w:r>
      </w:hyperlink>
      <w:r w:rsidR="007C7612">
        <w:t xml:space="preserve">; </w:t>
      </w:r>
      <w:r w:rsidRPr="0043786E">
        <w:t>(1983) 78 FLR 236</w:t>
      </w:r>
      <w:r w:rsidR="007C7612">
        <w:t xml:space="preserve">; </w:t>
      </w:r>
      <w:r w:rsidRPr="00670412">
        <w:rPr>
          <w:i/>
          <w:iCs/>
        </w:rPr>
        <w:t>Re Marr and Telstra Corporation Limited</w:t>
      </w:r>
      <w:r w:rsidRPr="0043786E">
        <w:t xml:space="preserve"> </w:t>
      </w:r>
      <w:hyperlink r:id="rId117" w:history="1">
        <w:r w:rsidRPr="00946CA3">
          <w:rPr>
            <w:rStyle w:val="Hyperlink"/>
            <w:color w:val="007BAB" w:themeColor="text2" w:themeTint="BF"/>
          </w:rPr>
          <w:t>[1993] AATA 328</w:t>
        </w:r>
      </w:hyperlink>
      <w:r w:rsidRPr="0043786E">
        <w:rPr>
          <w:rFonts w:ascii="Calibri"/>
        </w:rPr>
        <w:t>.</w:t>
      </w:r>
    </w:p>
  </w:footnote>
  <w:footnote w:id="94">
    <w:p w14:paraId="174F6F94" w14:textId="6BF67268"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670412">
        <w:rPr>
          <w:i/>
          <w:iCs/>
        </w:rPr>
        <w:t>Department of Social Security v Dyrenfurth</w:t>
      </w:r>
      <w:r w:rsidRPr="00DD07E1">
        <w:t xml:space="preserve"> </w:t>
      </w:r>
      <w:hyperlink r:id="rId118" w:history="1">
        <w:r w:rsidR="00E77979" w:rsidRPr="00946CA3">
          <w:rPr>
            <w:rStyle w:val="Hyperlink"/>
            <w:color w:val="007BAB" w:themeColor="text2" w:themeTint="BF"/>
          </w:rPr>
          <w:t>[1988] FCA 148</w:t>
        </w:r>
      </w:hyperlink>
      <w:r w:rsidR="00E77979" w:rsidRPr="00E77979">
        <w:t xml:space="preserve">; </w:t>
      </w:r>
      <w:r w:rsidR="00E77979" w:rsidRPr="00946CA3">
        <w:rPr>
          <w:rFonts w:cs="Arial"/>
          <w:color w:val="000000"/>
          <w:szCs w:val="18"/>
          <w:shd w:val="clear" w:color="auto" w:fill="FFFFFF"/>
        </w:rPr>
        <w:t>(1988) 80 ALR 533</w:t>
      </w:r>
      <w:r w:rsidR="00E77979" w:rsidRPr="00E77979">
        <w:t xml:space="preserve">; </w:t>
      </w:r>
      <w:r w:rsidRPr="00DD07E1">
        <w:t xml:space="preserve">(1988) </w:t>
      </w:r>
      <w:r w:rsidRPr="0043786E">
        <w:t>8</w:t>
      </w:r>
      <w:r w:rsidRPr="00DD07E1">
        <w:t xml:space="preserve"> </w:t>
      </w:r>
      <w:r w:rsidRPr="0043786E">
        <w:t>AAR</w:t>
      </w:r>
      <w:r w:rsidRPr="00DD07E1">
        <w:t xml:space="preserve"> </w:t>
      </w:r>
      <w:r w:rsidRPr="0043786E">
        <w:t>544</w:t>
      </w:r>
      <w:r w:rsidRPr="0043786E">
        <w:rPr>
          <w:rFonts w:ascii="Verdana"/>
          <w:color w:val="333333"/>
          <w:sz w:val="16"/>
        </w:rPr>
        <w:t>.</w:t>
      </w:r>
    </w:p>
  </w:footnote>
  <w:footnote w:id="95">
    <w:p w14:paraId="5D783750" w14:textId="1EB27056"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670412">
        <w:rPr>
          <w:i/>
          <w:iCs/>
        </w:rPr>
        <w:t>De Tarle and Australian Securities and Investments Commission (Freedom of Information)</w:t>
      </w:r>
      <w:r w:rsidRPr="0043786E">
        <w:t xml:space="preserve"> </w:t>
      </w:r>
      <w:hyperlink r:id="rId119" w:history="1">
        <w:r w:rsidRPr="00946CA3">
          <w:rPr>
            <w:rStyle w:val="Hyperlink"/>
            <w:color w:val="007BAB" w:themeColor="text2" w:themeTint="BF"/>
          </w:rPr>
          <w:t>[2016] AATA 230</w:t>
        </w:r>
      </w:hyperlink>
      <w:r w:rsidRPr="0043786E">
        <w:t xml:space="preserve"> [42].</w:t>
      </w:r>
    </w:p>
  </w:footnote>
  <w:footnote w:id="96">
    <w:p w14:paraId="71FDC4A2" w14:textId="2CA054AA" w:rsidR="007577EB" w:rsidRPr="00A401AF" w:rsidRDefault="007577EB" w:rsidP="0083643B">
      <w:pPr>
        <w:pStyle w:val="FootnoteText"/>
        <w:tabs>
          <w:tab w:val="left" w:pos="284"/>
        </w:tabs>
        <w:ind w:left="284" w:hanging="284"/>
      </w:pPr>
      <w:r>
        <w:rPr>
          <w:rStyle w:val="FootnoteReference"/>
        </w:rPr>
        <w:footnoteRef/>
      </w:r>
      <w:r>
        <w:t xml:space="preserve"> </w:t>
      </w:r>
      <w:r>
        <w:tab/>
      </w:r>
      <w:r w:rsidRPr="0083643B">
        <w:rPr>
          <w:rFonts w:ascii="Source Sans Pro" w:hAnsi="Source Sans Pro"/>
          <w:i/>
          <w:iCs/>
          <w:color w:val="333333"/>
          <w:shd w:val="clear" w:color="auto" w:fill="FFFFFF"/>
        </w:rPr>
        <w:t>Plowman and Australian Securities and Investments Commission (Freedom of information)</w:t>
      </w:r>
      <w:r w:rsidR="00991E2E">
        <w:rPr>
          <w:rFonts w:ascii="Source Sans Pro" w:hAnsi="Source Sans Pro"/>
          <w:color w:val="333333"/>
          <w:shd w:val="clear" w:color="auto" w:fill="FFFFFF"/>
        </w:rPr>
        <w:t xml:space="preserve"> </w:t>
      </w:r>
      <w:hyperlink r:id="rId120" w:tooltip="View Case" w:history="1">
        <w:r w:rsidRPr="0083643B">
          <w:rPr>
            <w:rStyle w:val="Hyperlink"/>
            <w:rFonts w:ascii="Source Sans Pro" w:hAnsi="Source Sans Pro"/>
            <w:color w:val="256A91"/>
          </w:rPr>
          <w:t>[2020] AATA 4729</w:t>
        </w:r>
      </w:hyperlink>
      <w:r w:rsidRPr="0083643B">
        <w:rPr>
          <w:rFonts w:ascii="Source Sans Pro" w:hAnsi="Source Sans Pro"/>
          <w:color w:val="333333"/>
          <w:shd w:val="clear" w:color="auto" w:fill="FFFFFF"/>
        </w:rPr>
        <w:t xml:space="preserve"> [16].</w:t>
      </w:r>
      <w:r w:rsidR="00A401AF">
        <w:rPr>
          <w:rFonts w:ascii="Source Sans Pro" w:hAnsi="Source Sans Pro"/>
          <w:color w:val="333333"/>
          <w:shd w:val="clear" w:color="auto" w:fill="FFFFFF"/>
        </w:rPr>
        <w:t xml:space="preserve"> See also </w:t>
      </w:r>
      <w:r w:rsidR="00A401AF" w:rsidRPr="0083643B">
        <w:rPr>
          <w:rFonts w:ascii="Source Sans Pro" w:hAnsi="Source Sans Pro"/>
          <w:i/>
          <w:iCs/>
          <w:color w:val="333333"/>
          <w:shd w:val="clear" w:color="auto" w:fill="FFFFFF"/>
        </w:rPr>
        <w:t>‘LC’ and Australia Post (Freedom of information)</w:t>
      </w:r>
      <w:r w:rsidR="00991E2E">
        <w:rPr>
          <w:rFonts w:ascii="Source Sans Pro" w:hAnsi="Source Sans Pro"/>
          <w:color w:val="333333"/>
          <w:shd w:val="clear" w:color="auto" w:fill="FFFFFF"/>
        </w:rPr>
        <w:t xml:space="preserve"> </w:t>
      </w:r>
      <w:hyperlink r:id="rId121" w:tooltip="View Case" w:history="1">
        <w:r w:rsidR="00A401AF" w:rsidRPr="0083643B">
          <w:rPr>
            <w:rStyle w:val="Hyperlink"/>
            <w:rFonts w:ascii="Source Sans Pro" w:hAnsi="Source Sans Pro"/>
            <w:color w:val="3796CC"/>
          </w:rPr>
          <w:t>[2017] AICmr 31</w:t>
        </w:r>
      </w:hyperlink>
      <w:r w:rsidR="00A401AF" w:rsidRPr="0083643B">
        <w:rPr>
          <w:rFonts w:ascii="Source Sans Pro" w:hAnsi="Source Sans Pro"/>
          <w:color w:val="333333"/>
          <w:shd w:val="clear" w:color="auto" w:fill="FFFFFF"/>
        </w:rPr>
        <w:t xml:space="preserve"> [21]</w:t>
      </w:r>
      <w:r w:rsidR="007710A2">
        <w:rPr>
          <w:rFonts w:ascii="Source Sans Pro" w:hAnsi="Source Sans Pro"/>
          <w:color w:val="333333"/>
          <w:shd w:val="clear" w:color="auto" w:fill="FFFFFF"/>
        </w:rPr>
        <w:t>;</w:t>
      </w:r>
      <w:r w:rsidR="00D61837">
        <w:rPr>
          <w:rFonts w:ascii="Source Sans Pro" w:hAnsi="Source Sans Pro"/>
          <w:color w:val="333333"/>
          <w:shd w:val="clear" w:color="auto" w:fill="FFFFFF"/>
        </w:rPr>
        <w:t xml:space="preserve"> </w:t>
      </w:r>
      <w:r w:rsidR="00D61837">
        <w:rPr>
          <w:rFonts w:ascii="Source Sans Pro" w:hAnsi="Source Sans Pro"/>
          <w:i/>
          <w:iCs/>
          <w:color w:val="333333"/>
          <w:shd w:val="clear" w:color="auto" w:fill="FFFFFF"/>
        </w:rPr>
        <w:t>‘QM’ and Australian Federal Police (Freedom of information)</w:t>
      </w:r>
      <w:r w:rsidR="00991E2E">
        <w:rPr>
          <w:rFonts w:ascii="Source Sans Pro" w:hAnsi="Source Sans Pro"/>
          <w:color w:val="333333"/>
          <w:shd w:val="clear" w:color="auto" w:fill="FFFFFF"/>
        </w:rPr>
        <w:t xml:space="preserve"> </w:t>
      </w:r>
      <w:hyperlink r:id="rId122" w:tooltip="View Case" w:history="1">
        <w:r w:rsidR="00D61837">
          <w:rPr>
            <w:rStyle w:val="Hyperlink"/>
            <w:rFonts w:ascii="Source Sans Pro" w:hAnsi="Source Sans Pro"/>
            <w:color w:val="3796CC"/>
            <w:shd w:val="clear" w:color="auto" w:fill="FFFFFF"/>
          </w:rPr>
          <w:t>[2019] AICmr 41</w:t>
        </w:r>
      </w:hyperlink>
      <w:r w:rsidR="00D61837">
        <w:t xml:space="preserve"> [36]</w:t>
      </w:r>
      <w:r w:rsidR="007710A2">
        <w:t xml:space="preserve">; </w:t>
      </w:r>
      <w:r w:rsidR="007710A2">
        <w:rPr>
          <w:rFonts w:ascii="Source Sans Pro" w:hAnsi="Source Sans Pro"/>
          <w:i/>
          <w:iCs/>
          <w:color w:val="333333"/>
          <w:shd w:val="clear" w:color="auto" w:fill="FFFFFF"/>
        </w:rPr>
        <w:t>‘RM’ and Australian Taxation Office (Freedom of information)</w:t>
      </w:r>
      <w:r w:rsidR="00991E2E">
        <w:rPr>
          <w:rFonts w:ascii="Source Sans Pro" w:hAnsi="Source Sans Pro"/>
          <w:color w:val="333333"/>
          <w:shd w:val="clear" w:color="auto" w:fill="FFFFFF"/>
        </w:rPr>
        <w:t xml:space="preserve"> </w:t>
      </w:r>
      <w:hyperlink r:id="rId123" w:tooltip="View Case" w:history="1">
        <w:r w:rsidR="007710A2">
          <w:rPr>
            <w:rStyle w:val="Hyperlink"/>
            <w:rFonts w:ascii="Source Sans Pro" w:hAnsi="Source Sans Pro"/>
            <w:color w:val="3796CC"/>
            <w:shd w:val="clear" w:color="auto" w:fill="FFFFFF"/>
          </w:rPr>
          <w:t>[2020] AICmr 1</w:t>
        </w:r>
      </w:hyperlink>
      <w:r w:rsidR="007710A2">
        <w:rPr>
          <w:rFonts w:ascii="Source Sans Pro" w:hAnsi="Source Sans Pro"/>
          <w:color w:val="333333"/>
          <w:shd w:val="clear" w:color="auto" w:fill="FFFFFF"/>
        </w:rPr>
        <w:t xml:space="preserve"> [30]</w:t>
      </w:r>
      <w:r w:rsidR="00D61837">
        <w:t>.</w:t>
      </w:r>
    </w:p>
  </w:footnote>
  <w:footnote w:id="97">
    <w:p w14:paraId="67EEDAE4" w14:textId="056D2B98"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43786E">
        <w:t xml:space="preserve">See, for example, </w:t>
      </w:r>
      <w:r w:rsidRPr="0043786E">
        <w:rPr>
          <w:i/>
        </w:rPr>
        <w:t>Paul Cleary and Special Broadcasting Service</w:t>
      </w:r>
      <w:r w:rsidRPr="0043786E">
        <w:t xml:space="preserve"> </w:t>
      </w:r>
      <w:hyperlink r:id="rId124" w:history="1">
        <w:r w:rsidRPr="00946CA3">
          <w:rPr>
            <w:rStyle w:val="Hyperlink"/>
            <w:color w:val="007BAB" w:themeColor="text2" w:themeTint="BF"/>
          </w:rPr>
          <w:t>[2016] AICmr 2</w:t>
        </w:r>
      </w:hyperlink>
      <w:r w:rsidRPr="0043786E">
        <w:t xml:space="preserve"> [25]</w:t>
      </w:r>
      <w:r w:rsidR="007577EB">
        <w:t>–</w:t>
      </w:r>
      <w:r w:rsidRPr="0043786E">
        <w:t xml:space="preserve">[27] </w:t>
      </w:r>
      <w:r w:rsidR="00991E2E">
        <w:t xml:space="preserve">in which </w:t>
      </w:r>
      <w:r w:rsidRPr="0043786E">
        <w:t xml:space="preserve">the Information Commissioner upheld the exemption where feedback provided to cadet journalists was found to be given in the expectation that </w:t>
      </w:r>
      <w:r w:rsidR="00991E2E">
        <w:t xml:space="preserve">it </w:t>
      </w:r>
      <w:r w:rsidRPr="0043786E">
        <w:t>feedback w</w:t>
      </w:r>
      <w:r>
        <w:t>ould</w:t>
      </w:r>
      <w:r w:rsidRPr="0043786E">
        <w:t xml:space="preserve"> be treated confidentially and public release would undermine confidence in the system of providing cadet feedback.</w:t>
      </w:r>
      <w:r w:rsidR="0083643B">
        <w:t xml:space="preserve"> Also </w:t>
      </w:r>
      <w:r w:rsidR="00517749">
        <w:rPr>
          <w:rFonts w:ascii="Source Sans Pro" w:hAnsi="Source Sans Pro"/>
          <w:i/>
          <w:iCs/>
          <w:color w:val="333333"/>
          <w:shd w:val="clear" w:color="auto" w:fill="FFFFFF"/>
        </w:rPr>
        <w:t>‘ACT’ and Merit Protection Commissioner (Freedom of information)</w:t>
      </w:r>
      <w:r w:rsidR="00517749">
        <w:rPr>
          <w:rFonts w:ascii="Source Sans Pro" w:hAnsi="Source Sans Pro"/>
          <w:color w:val="333333"/>
          <w:shd w:val="clear" w:color="auto" w:fill="FFFFFF"/>
        </w:rPr>
        <w:t> </w:t>
      </w:r>
      <w:hyperlink r:id="rId125" w:tooltip="View Case" w:history="1">
        <w:r w:rsidR="00517749">
          <w:rPr>
            <w:rStyle w:val="Hyperlink"/>
            <w:rFonts w:ascii="Source Sans Pro" w:hAnsi="Source Sans Pro"/>
            <w:color w:val="3796CC"/>
            <w:shd w:val="clear" w:color="auto" w:fill="FFFFFF"/>
          </w:rPr>
          <w:t>[2023] AICmr 1</w:t>
        </w:r>
      </w:hyperlink>
      <w:r w:rsidR="00517749">
        <w:t xml:space="preserve"> [38].</w:t>
      </w:r>
    </w:p>
  </w:footnote>
  <w:footnote w:id="98">
    <w:p w14:paraId="41D01FAF" w14:textId="054807D2" w:rsidR="00B30501" w:rsidRDefault="00B30501" w:rsidP="0083643B">
      <w:pPr>
        <w:pStyle w:val="FootnoteText"/>
        <w:tabs>
          <w:tab w:val="left" w:pos="284"/>
        </w:tabs>
      </w:pPr>
      <w:r>
        <w:rPr>
          <w:rStyle w:val="FootnoteReference"/>
        </w:rPr>
        <w:footnoteRef/>
      </w:r>
      <w:r>
        <w:t xml:space="preserve"> </w:t>
      </w:r>
      <w:r>
        <w:tab/>
      </w:r>
      <w:r>
        <w:rPr>
          <w:rFonts w:ascii="Source Sans Pro" w:hAnsi="Source Sans Pro"/>
          <w:i/>
          <w:iCs/>
          <w:color w:val="333333"/>
          <w:shd w:val="clear" w:color="auto" w:fill="FFFFFF"/>
        </w:rPr>
        <w:t>Paul Farrell and Department of Home Affairs (Freedom of information)</w:t>
      </w:r>
      <w:r>
        <w:rPr>
          <w:rFonts w:ascii="Source Sans Pro" w:hAnsi="Source Sans Pro"/>
          <w:color w:val="333333"/>
          <w:shd w:val="clear" w:color="auto" w:fill="FFFFFF"/>
        </w:rPr>
        <w:t> </w:t>
      </w:r>
      <w:hyperlink r:id="rId126" w:tooltip="View Case" w:history="1">
        <w:r>
          <w:rPr>
            <w:rStyle w:val="Hyperlink"/>
            <w:rFonts w:ascii="Source Sans Pro" w:hAnsi="Source Sans Pro"/>
            <w:color w:val="3796CC"/>
            <w:shd w:val="clear" w:color="auto" w:fill="FFFFFF"/>
          </w:rPr>
          <w:t>[2023] AICmr 37</w:t>
        </w:r>
      </w:hyperlink>
      <w:r>
        <w:rPr>
          <w:rFonts w:ascii="Source Sans Pro" w:hAnsi="Source Sans Pro"/>
          <w:color w:val="333333"/>
          <w:shd w:val="clear" w:color="auto" w:fill="FFFFFF"/>
        </w:rPr>
        <w:t>.</w:t>
      </w:r>
    </w:p>
  </w:footnote>
  <w:footnote w:id="99">
    <w:p w14:paraId="1BC50B2B" w14:textId="028E9A0C" w:rsidR="00801A4F" w:rsidRDefault="00801A4F" w:rsidP="0083643B">
      <w:pPr>
        <w:pStyle w:val="FootnoteText"/>
        <w:tabs>
          <w:tab w:val="left" w:pos="284"/>
        </w:tabs>
      </w:pPr>
      <w:r>
        <w:rPr>
          <w:rStyle w:val="FootnoteReference"/>
        </w:rPr>
        <w:footnoteRef/>
      </w:r>
      <w:r>
        <w:t xml:space="preserve"> </w:t>
      </w:r>
      <w:r>
        <w:tab/>
      </w:r>
      <w:r>
        <w:rPr>
          <w:rFonts w:ascii="Source Sans Pro" w:hAnsi="Source Sans Pro"/>
          <w:i/>
          <w:iCs/>
          <w:color w:val="333333"/>
          <w:shd w:val="clear" w:color="auto" w:fill="FFFFFF"/>
        </w:rPr>
        <w:t>Lisa Martin and Department of Home Affairs (Freedom of Information)</w:t>
      </w:r>
      <w:r w:rsidR="00991E2E">
        <w:rPr>
          <w:rFonts w:ascii="Source Sans Pro" w:hAnsi="Source Sans Pro"/>
          <w:i/>
          <w:iCs/>
          <w:color w:val="333333"/>
          <w:shd w:val="clear" w:color="auto" w:fill="FFFFFF"/>
        </w:rPr>
        <w:t xml:space="preserve"> </w:t>
      </w:r>
      <w:hyperlink r:id="rId127" w:tooltip="View Case" w:history="1">
        <w:r>
          <w:rPr>
            <w:rStyle w:val="Hyperlink"/>
            <w:rFonts w:ascii="Source Sans Pro" w:hAnsi="Source Sans Pro"/>
            <w:color w:val="3796CC"/>
            <w:shd w:val="clear" w:color="auto" w:fill="FFFFFF"/>
          </w:rPr>
          <w:t>[2019] AICmr 47</w:t>
        </w:r>
      </w:hyperlink>
      <w:r>
        <w:t xml:space="preserve"> [105].</w:t>
      </w:r>
    </w:p>
  </w:footnote>
  <w:footnote w:id="100">
    <w:p w14:paraId="2014EE10" w14:textId="4C4BC38D" w:rsidR="004C5690" w:rsidRDefault="004C5690" w:rsidP="0020561F">
      <w:pPr>
        <w:pStyle w:val="FootnoteText"/>
        <w:tabs>
          <w:tab w:val="left" w:pos="284"/>
        </w:tabs>
        <w:ind w:left="284" w:hanging="284"/>
      </w:pPr>
      <w:r>
        <w:rPr>
          <w:rStyle w:val="FootnoteReference"/>
        </w:rPr>
        <w:footnoteRef/>
      </w:r>
      <w:r>
        <w:t xml:space="preserve"> </w:t>
      </w:r>
      <w:r>
        <w:tab/>
      </w:r>
      <w:r>
        <w:rPr>
          <w:rFonts w:ascii="Source Sans Pro" w:hAnsi="Source Sans Pro"/>
          <w:i/>
          <w:iCs/>
          <w:color w:val="333333"/>
          <w:shd w:val="clear" w:color="auto" w:fill="FFFFFF"/>
        </w:rPr>
        <w:t>Paul Farrell and Department of Home Affairs (Freedom of information)</w:t>
      </w:r>
      <w:r w:rsidR="00991E2E">
        <w:rPr>
          <w:rFonts w:ascii="Source Sans Pro" w:hAnsi="Source Sans Pro"/>
          <w:color w:val="333333"/>
          <w:shd w:val="clear" w:color="auto" w:fill="FFFFFF"/>
        </w:rPr>
        <w:t xml:space="preserve"> </w:t>
      </w:r>
      <w:hyperlink r:id="rId128" w:tooltip="View Case" w:history="1">
        <w:r>
          <w:rPr>
            <w:rStyle w:val="Hyperlink"/>
            <w:rFonts w:ascii="Source Sans Pro" w:hAnsi="Source Sans Pro"/>
            <w:color w:val="3796CC"/>
            <w:shd w:val="clear" w:color="auto" w:fill="FFFFFF"/>
          </w:rPr>
          <w:t>[2023] AICmr 37</w:t>
        </w:r>
      </w:hyperlink>
      <w:r>
        <w:rPr>
          <w:rFonts w:ascii="Source Sans Pro" w:hAnsi="Source Sans Pro"/>
          <w:color w:val="333333"/>
          <w:shd w:val="clear" w:color="auto" w:fill="FFFFFF"/>
        </w:rPr>
        <w:t xml:space="preserve"> [71]</w:t>
      </w:r>
      <w:r w:rsidR="008D059E">
        <w:rPr>
          <w:rFonts w:ascii="Source Sans Pro" w:hAnsi="Source Sans Pro"/>
          <w:color w:val="333333"/>
          <w:shd w:val="clear" w:color="auto" w:fill="FFFFFF"/>
        </w:rPr>
        <w:t xml:space="preserve">; </w:t>
      </w:r>
      <w:r w:rsidR="008D059E">
        <w:rPr>
          <w:rFonts w:ascii="Source Sans Pro" w:hAnsi="Source Sans Pro"/>
          <w:i/>
          <w:iCs/>
          <w:color w:val="333333"/>
          <w:shd w:val="clear" w:color="auto" w:fill="FFFFFF"/>
        </w:rPr>
        <w:t>Paul Farrell and Department of Home Affairs (Freedom of information)</w:t>
      </w:r>
      <w:r w:rsidR="008D059E">
        <w:rPr>
          <w:rFonts w:ascii="Source Sans Pro" w:hAnsi="Source Sans Pro"/>
          <w:color w:val="333333"/>
          <w:shd w:val="clear" w:color="auto" w:fill="FFFFFF"/>
        </w:rPr>
        <w:t xml:space="preserve"> </w:t>
      </w:r>
      <w:hyperlink r:id="rId129" w:tooltip="View Case" w:history="1">
        <w:r w:rsidR="008D059E">
          <w:rPr>
            <w:rStyle w:val="Hyperlink"/>
            <w:rFonts w:ascii="Source Sans Pro" w:hAnsi="Source Sans Pro"/>
            <w:color w:val="3796CC"/>
            <w:shd w:val="clear" w:color="auto" w:fill="FFFFFF"/>
          </w:rPr>
          <w:t>[2023] AICmr 37</w:t>
        </w:r>
      </w:hyperlink>
      <w:r w:rsidR="008D059E">
        <w:rPr>
          <w:rFonts w:ascii="Source Sans Pro" w:hAnsi="Source Sans Pro"/>
          <w:color w:val="333333"/>
          <w:shd w:val="clear" w:color="auto" w:fill="FFFFFF"/>
        </w:rPr>
        <w:t xml:space="preserve"> [72]; </w:t>
      </w:r>
      <w:r w:rsidR="008D059E">
        <w:rPr>
          <w:rFonts w:ascii="Source Sans Pro" w:hAnsi="Source Sans Pro"/>
          <w:i/>
          <w:iCs/>
          <w:color w:val="333333"/>
          <w:shd w:val="clear" w:color="auto" w:fill="FFFFFF"/>
        </w:rPr>
        <w:t>Paul Farrell and Department of Home Affairs (Freedom of information)</w:t>
      </w:r>
      <w:r w:rsidR="008D059E">
        <w:rPr>
          <w:rFonts w:ascii="Source Sans Pro" w:hAnsi="Source Sans Pro"/>
          <w:color w:val="333333"/>
          <w:shd w:val="clear" w:color="auto" w:fill="FFFFFF"/>
        </w:rPr>
        <w:t xml:space="preserve"> </w:t>
      </w:r>
      <w:r w:rsidR="008D059E">
        <w:t>52 [68]</w:t>
      </w:r>
      <w:r>
        <w:rPr>
          <w:rFonts w:ascii="Source Sans Pro" w:hAnsi="Source Sans Pro"/>
          <w:color w:val="333333"/>
          <w:shd w:val="clear" w:color="auto" w:fill="FFFFFF"/>
        </w:rPr>
        <w:t>.</w:t>
      </w:r>
    </w:p>
  </w:footnote>
  <w:footnote w:id="101">
    <w:p w14:paraId="2E03074D" w14:textId="4FEE64FC" w:rsidR="00517749" w:rsidRDefault="00517749" w:rsidP="00517749">
      <w:pPr>
        <w:pStyle w:val="FootnoteText"/>
        <w:tabs>
          <w:tab w:val="left" w:pos="284"/>
        </w:tabs>
        <w:ind w:left="284" w:hanging="284"/>
      </w:pPr>
      <w:r>
        <w:rPr>
          <w:rStyle w:val="FootnoteReference"/>
        </w:rPr>
        <w:footnoteRef/>
      </w:r>
      <w:r>
        <w:t xml:space="preserve"> </w:t>
      </w:r>
      <w:r>
        <w:tab/>
        <w:t>For example, in</w:t>
      </w:r>
      <w:r w:rsidRPr="00517749">
        <w:t xml:space="preserve"> </w:t>
      </w:r>
      <w:r w:rsidRPr="00517749">
        <w:rPr>
          <w:rFonts w:ascii="Source Sans Pro" w:hAnsi="Source Sans Pro"/>
          <w:i/>
          <w:iCs/>
          <w:color w:val="333333"/>
          <w:shd w:val="clear" w:color="auto" w:fill="FFFFFF"/>
        </w:rPr>
        <w:t>‘NN’ and Department of Human Services (Freedom of information)</w:t>
      </w:r>
      <w:r w:rsidR="00991E2E">
        <w:rPr>
          <w:rFonts w:ascii="Source Sans Pro" w:hAnsi="Source Sans Pro"/>
          <w:color w:val="333333"/>
          <w:shd w:val="clear" w:color="auto" w:fill="FFFFFF"/>
        </w:rPr>
        <w:t xml:space="preserve"> </w:t>
      </w:r>
      <w:hyperlink r:id="rId130" w:tooltip="View Case" w:history="1">
        <w:r w:rsidRPr="00517749">
          <w:rPr>
            <w:rStyle w:val="Hyperlink"/>
            <w:rFonts w:ascii="Source Sans Pro" w:hAnsi="Source Sans Pro"/>
            <w:color w:val="3796CC"/>
          </w:rPr>
          <w:t>[2018] AICmr 1</w:t>
        </w:r>
      </w:hyperlink>
      <w:r>
        <w:rPr>
          <w:rFonts w:ascii="Source Sans Pro" w:hAnsi="Source Sans Pro"/>
          <w:color w:val="333333"/>
          <w:shd w:val="clear" w:color="auto" w:fill="FFFFFF"/>
        </w:rPr>
        <w:t xml:space="preserve"> the FOI applicant sought access to the name of the person who </w:t>
      </w:r>
      <w:r w:rsidR="00760F01">
        <w:rPr>
          <w:rFonts w:ascii="Source Sans Pro" w:hAnsi="Source Sans Pro"/>
          <w:color w:val="333333"/>
          <w:shd w:val="clear" w:color="auto" w:fill="FFFFFF"/>
        </w:rPr>
        <w:t>completed an assessment that resulted in the cancellation of their pension.</w:t>
      </w:r>
    </w:p>
  </w:footnote>
  <w:footnote w:id="102">
    <w:p w14:paraId="32367627" w14:textId="2BEF772A" w:rsidR="00760F01" w:rsidRDefault="00760F01" w:rsidP="00760F01">
      <w:pPr>
        <w:pStyle w:val="FootnoteText"/>
        <w:tabs>
          <w:tab w:val="left" w:pos="284"/>
        </w:tabs>
      </w:pPr>
      <w:r>
        <w:rPr>
          <w:rStyle w:val="FootnoteReference"/>
        </w:rPr>
        <w:footnoteRef/>
      </w:r>
      <w:r>
        <w:t xml:space="preserve"> </w:t>
      </w:r>
      <w:r>
        <w:tab/>
      </w:r>
      <w:r w:rsidRPr="00760F01">
        <w:rPr>
          <w:rFonts w:ascii="Source Sans Pro" w:hAnsi="Source Sans Pro"/>
          <w:i/>
          <w:iCs/>
          <w:color w:val="333333"/>
          <w:shd w:val="clear" w:color="auto" w:fill="FFFFFF"/>
        </w:rPr>
        <w:t>‘NN’ and Department of Human Services (Freedom of information)</w:t>
      </w:r>
      <w:r w:rsidRPr="00760F01">
        <w:rPr>
          <w:rFonts w:ascii="Source Sans Pro" w:hAnsi="Source Sans Pro"/>
          <w:color w:val="333333"/>
          <w:shd w:val="clear" w:color="auto" w:fill="FFFFFF"/>
        </w:rPr>
        <w:t> </w:t>
      </w:r>
      <w:hyperlink r:id="rId131" w:tooltip="View Case" w:history="1">
        <w:r w:rsidRPr="00760F01">
          <w:rPr>
            <w:rStyle w:val="Hyperlink"/>
            <w:rFonts w:ascii="Source Sans Pro" w:hAnsi="Source Sans Pro"/>
            <w:color w:val="3796CC"/>
          </w:rPr>
          <w:t>[2018] AICmr 1</w:t>
        </w:r>
      </w:hyperlink>
      <w:r w:rsidRPr="00760F01">
        <w:rPr>
          <w:rFonts w:ascii="Source Sans Pro" w:hAnsi="Source Sans Pro"/>
          <w:color w:val="333333"/>
          <w:shd w:val="clear" w:color="auto" w:fill="FFFFFF"/>
        </w:rPr>
        <w:t xml:space="preserve"> [25]–[27].</w:t>
      </w:r>
    </w:p>
  </w:footnote>
  <w:footnote w:id="103">
    <w:p w14:paraId="51504D12" w14:textId="46095B3C"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For example, </w:t>
      </w:r>
      <w:r w:rsidRPr="0043786E">
        <w:t>in</w:t>
      </w:r>
      <w:r w:rsidRPr="00DD07E1">
        <w:t xml:space="preserve"> </w:t>
      </w:r>
      <w:r w:rsidRPr="0043786E">
        <w:rPr>
          <w:i/>
        </w:rPr>
        <w:t>Re</w:t>
      </w:r>
      <w:r w:rsidRPr="00DD07E1">
        <w:rPr>
          <w:i/>
        </w:rPr>
        <w:t xml:space="preserve"> </w:t>
      </w:r>
      <w:r w:rsidRPr="0043786E">
        <w:rPr>
          <w:i/>
        </w:rPr>
        <w:t>Scholes</w:t>
      </w:r>
      <w:r w:rsidRPr="00DD07E1">
        <w:rPr>
          <w:i/>
        </w:rPr>
        <w:t xml:space="preserve"> and Australian Federal </w:t>
      </w:r>
      <w:r w:rsidRPr="0043786E">
        <w:rPr>
          <w:i/>
        </w:rPr>
        <w:t>Police</w:t>
      </w:r>
      <w:r w:rsidRPr="00DD07E1">
        <w:rPr>
          <w:i/>
        </w:rPr>
        <w:t xml:space="preserve"> </w:t>
      </w:r>
      <w:hyperlink r:id="rId132" w:history="1">
        <w:r w:rsidRPr="00946CA3">
          <w:rPr>
            <w:rStyle w:val="Hyperlink"/>
            <w:color w:val="007BAB" w:themeColor="text2" w:themeTint="BF"/>
          </w:rPr>
          <w:t>[1996] AATA 347</w:t>
        </w:r>
      </w:hyperlink>
      <w:r w:rsidRPr="0043786E">
        <w:t>,</w:t>
      </w:r>
      <w:r w:rsidRPr="00DD07E1">
        <w:t xml:space="preserve"> </w:t>
      </w:r>
      <w:r w:rsidRPr="0043786E">
        <w:t>the</w:t>
      </w:r>
      <w:r w:rsidRPr="00DD07E1">
        <w:t xml:space="preserve"> </w:t>
      </w:r>
      <w:r w:rsidRPr="0043786E">
        <w:t>AAT</w:t>
      </w:r>
      <w:r w:rsidRPr="00DD07E1">
        <w:t xml:space="preserve"> found </w:t>
      </w:r>
      <w:r w:rsidRPr="0043786E">
        <w:t>that</w:t>
      </w:r>
      <w:r w:rsidRPr="00DD07E1">
        <w:t xml:space="preserve"> </w:t>
      </w:r>
      <w:r w:rsidRPr="0043786E">
        <w:t>the</w:t>
      </w:r>
      <w:r w:rsidRPr="00DD07E1">
        <w:rPr>
          <w:w w:val="99"/>
        </w:rPr>
        <w:t xml:space="preserve"> </w:t>
      </w:r>
      <w:r w:rsidRPr="00DD07E1">
        <w:t xml:space="preserve">disclosure </w:t>
      </w:r>
      <w:r w:rsidRPr="0043786E">
        <w:t>of</w:t>
      </w:r>
      <w:r w:rsidRPr="00DD07E1">
        <w:t xml:space="preserve"> </w:t>
      </w:r>
      <w:r w:rsidRPr="0043786E">
        <w:t>particular</w:t>
      </w:r>
      <w:r w:rsidRPr="00DD07E1">
        <w:t xml:space="preserve"> documents </w:t>
      </w:r>
      <w:r w:rsidRPr="0043786E">
        <w:t>could</w:t>
      </w:r>
      <w:r w:rsidRPr="00DD07E1">
        <w:t xml:space="preserve"> </w:t>
      </w:r>
      <w:r w:rsidRPr="0043786E">
        <w:t>enhance</w:t>
      </w:r>
      <w:r w:rsidRPr="00DD07E1">
        <w:t xml:space="preserve"> </w:t>
      </w:r>
      <w:r w:rsidRPr="0043786E">
        <w:t>the</w:t>
      </w:r>
      <w:r w:rsidRPr="00DD07E1">
        <w:t xml:space="preserve"> efficiency </w:t>
      </w:r>
      <w:r w:rsidRPr="0043786E">
        <w:t>of</w:t>
      </w:r>
      <w:r w:rsidRPr="00DD07E1">
        <w:t xml:space="preserve"> </w:t>
      </w:r>
      <w:r w:rsidRPr="0043786E">
        <w:t>the</w:t>
      </w:r>
      <w:r w:rsidRPr="00DD07E1">
        <w:t xml:space="preserve"> </w:t>
      </w:r>
      <w:r w:rsidRPr="0043786E">
        <w:t>Australian</w:t>
      </w:r>
      <w:r w:rsidRPr="00DD07E1">
        <w:t xml:space="preserve"> </w:t>
      </w:r>
      <w:r w:rsidRPr="0043786E">
        <w:t>Federal</w:t>
      </w:r>
      <w:r w:rsidRPr="00DD07E1">
        <w:t xml:space="preserve"> Police </w:t>
      </w:r>
      <w:r w:rsidRPr="0043786E">
        <w:t>as</w:t>
      </w:r>
      <w:r w:rsidRPr="00DD07E1">
        <w:t xml:space="preserve"> </w:t>
      </w:r>
      <w:r w:rsidRPr="0043786E">
        <w:t>it</w:t>
      </w:r>
      <w:r w:rsidRPr="00DD07E1">
        <w:t xml:space="preserve"> </w:t>
      </w:r>
      <w:r w:rsidRPr="0043786E">
        <w:t>could</w:t>
      </w:r>
      <w:r w:rsidRPr="00DD07E1">
        <w:rPr>
          <w:w w:val="99"/>
        </w:rPr>
        <w:t xml:space="preserve"> </w:t>
      </w:r>
      <w:r w:rsidRPr="00DD07E1">
        <w:t xml:space="preserve">lead </w:t>
      </w:r>
      <w:r w:rsidRPr="0043786E">
        <w:t>to</w:t>
      </w:r>
      <w:r w:rsidRPr="00DD07E1">
        <w:t xml:space="preserve"> </w:t>
      </w:r>
      <w:r w:rsidRPr="0043786E">
        <w:t>an</w:t>
      </w:r>
      <w:r w:rsidRPr="00DD07E1">
        <w:t xml:space="preserve"> improvement </w:t>
      </w:r>
      <w:r w:rsidRPr="0043786E">
        <w:t>of</w:t>
      </w:r>
      <w:r w:rsidRPr="00DD07E1">
        <w:t xml:space="preserve"> </w:t>
      </w:r>
      <w:r w:rsidRPr="0043786E">
        <w:t>its</w:t>
      </w:r>
      <w:r w:rsidRPr="00DD07E1">
        <w:t xml:space="preserve"> investigation </w:t>
      </w:r>
      <w:r w:rsidRPr="0043786E">
        <w:t>process.</w:t>
      </w:r>
    </w:p>
  </w:footnote>
  <w:footnote w:id="104">
    <w:p w14:paraId="10A98921" w14:textId="3B68FDEC"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670412">
        <w:rPr>
          <w:i/>
          <w:iCs/>
        </w:rPr>
        <w:t>Re Murphy and Australian Electoral Commission</w:t>
      </w:r>
      <w:r w:rsidRPr="00DD07E1">
        <w:t xml:space="preserve"> </w:t>
      </w:r>
      <w:hyperlink r:id="rId133" w:history="1">
        <w:r w:rsidRPr="00946CA3">
          <w:rPr>
            <w:rStyle w:val="Hyperlink"/>
            <w:color w:val="007BAB" w:themeColor="text2" w:themeTint="BF"/>
          </w:rPr>
          <w:t>[1994] AATA 149</w:t>
        </w:r>
      </w:hyperlink>
      <w:r w:rsidR="003A7C42">
        <w:rPr>
          <w:color w:val="007BAB" w:themeColor="text2" w:themeTint="BF"/>
        </w:rPr>
        <w:t>;</w:t>
      </w:r>
      <w:r w:rsidR="003A7C42" w:rsidRPr="003A7C42">
        <w:rPr>
          <w:color w:val="007BAB" w:themeColor="text2" w:themeTint="BF"/>
        </w:rPr>
        <w:t xml:space="preserve"> </w:t>
      </w:r>
      <w:r w:rsidR="003A7C42" w:rsidRPr="00946CA3">
        <w:rPr>
          <w:rFonts w:cs="Arial"/>
          <w:color w:val="000000"/>
          <w:szCs w:val="18"/>
          <w:shd w:val="clear" w:color="auto" w:fill="FFFFFF"/>
        </w:rPr>
        <w:t>(1994) 33 ALD 718</w:t>
      </w:r>
      <w:r w:rsidRPr="0043786E">
        <w:t>.</w:t>
      </w:r>
    </w:p>
  </w:footnote>
  <w:footnote w:id="105">
    <w:p w14:paraId="52FE6571" w14:textId="5C794328"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670412">
        <w:rPr>
          <w:i/>
          <w:iCs/>
        </w:rPr>
        <w:t>Re Telstra Australia Limited and Australian Competition and Consumer Commission</w:t>
      </w:r>
      <w:r w:rsidRPr="0043786E">
        <w:t xml:space="preserve"> </w:t>
      </w:r>
      <w:hyperlink r:id="rId134" w:history="1">
        <w:r w:rsidRPr="00946CA3">
          <w:rPr>
            <w:rStyle w:val="Hyperlink"/>
            <w:color w:val="007BAB" w:themeColor="text2" w:themeTint="BF"/>
          </w:rPr>
          <w:t>[2000] AATA 71</w:t>
        </w:r>
      </w:hyperlink>
      <w:r w:rsidRPr="0043786E">
        <w:t>.</w:t>
      </w:r>
    </w:p>
  </w:footnote>
  <w:footnote w:id="106">
    <w:p w14:paraId="04869192" w14:textId="4E9C40DB"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670412">
        <w:rPr>
          <w:i/>
          <w:iCs/>
        </w:rPr>
        <w:t>Re Electronic Frontiers Australia and the Australian Broadcasting Authority</w:t>
      </w:r>
      <w:r w:rsidRPr="0043786E">
        <w:t xml:space="preserve"> </w:t>
      </w:r>
      <w:hyperlink r:id="rId135" w:history="1">
        <w:r w:rsidRPr="006C3666">
          <w:rPr>
            <w:rStyle w:val="Hyperlink"/>
          </w:rPr>
          <w:t>[2002] AATA 449</w:t>
        </w:r>
      </w:hyperlink>
      <w:r w:rsidRPr="0043786E">
        <w:t>.</w:t>
      </w:r>
    </w:p>
  </w:footnote>
  <w:footnote w:id="107">
    <w:p w14:paraId="6CBD10C1" w14:textId="2DA7BBCD" w:rsidR="00F85EF4" w:rsidRPr="00F45F5C" w:rsidRDefault="00F85EF4" w:rsidP="00BC5D2E">
      <w:pPr>
        <w:pStyle w:val="FootnoteText"/>
        <w:tabs>
          <w:tab w:val="left" w:pos="284"/>
        </w:tabs>
        <w:ind w:left="284" w:hanging="284"/>
        <w:rPr>
          <w:lang w:val="en-US"/>
        </w:rPr>
      </w:pPr>
      <w:r>
        <w:rPr>
          <w:rStyle w:val="FootnoteReference"/>
        </w:rPr>
        <w:footnoteRef/>
      </w:r>
      <w:r>
        <w:t xml:space="preserve"> </w:t>
      </w:r>
      <w:r w:rsidR="00BC5D2E">
        <w:tab/>
      </w:r>
      <w:r w:rsidRPr="00F45F5C">
        <w:rPr>
          <w:i/>
          <w:iCs/>
        </w:rPr>
        <w:t>Pascoe and Civil Aviation Safety Authority (Freedom of information)</w:t>
      </w:r>
      <w:r w:rsidRPr="00DF4E73">
        <w:t xml:space="preserve"> </w:t>
      </w:r>
      <w:hyperlink r:id="rId136" w:history="1">
        <w:r w:rsidRPr="00946CA3">
          <w:rPr>
            <w:rStyle w:val="Hyperlink"/>
            <w:color w:val="007BAB" w:themeColor="text2" w:themeTint="BF"/>
          </w:rPr>
          <w:t>[2018] AATA 1273</w:t>
        </w:r>
      </w:hyperlink>
      <w:r>
        <w:t xml:space="preserve"> </w:t>
      </w:r>
      <w:r w:rsidRPr="00CC193C">
        <w:t>[30]</w:t>
      </w:r>
      <w:r>
        <w:t>–</w:t>
      </w:r>
      <w:r w:rsidRPr="00CC193C">
        <w:t>[38</w:t>
      </w:r>
      <w:r>
        <w:t>].</w:t>
      </w:r>
    </w:p>
  </w:footnote>
  <w:footnote w:id="108">
    <w:p w14:paraId="398B48A2" w14:textId="55AA095D" w:rsidR="00F85EF4" w:rsidRPr="00DD07E1" w:rsidRDefault="00F85EF4" w:rsidP="00BC5D2E">
      <w:pPr>
        <w:pStyle w:val="FootnoteText"/>
        <w:tabs>
          <w:tab w:val="left" w:pos="284"/>
        </w:tabs>
        <w:ind w:left="284" w:hanging="284"/>
      </w:pPr>
      <w:r w:rsidRPr="0043786E">
        <w:rPr>
          <w:rStyle w:val="FootnoteReference"/>
        </w:rPr>
        <w:footnoteRef/>
      </w:r>
      <w:r>
        <w:t xml:space="preserve"> </w:t>
      </w:r>
      <w:r w:rsidR="00BC5D2E">
        <w:tab/>
      </w:r>
      <w:r w:rsidRPr="00DD07E1">
        <w:t xml:space="preserve">For examples </w:t>
      </w:r>
      <w:r w:rsidRPr="0043786E">
        <w:t>of</w:t>
      </w:r>
      <w:r w:rsidRPr="00DD07E1">
        <w:t xml:space="preserve"> </w:t>
      </w:r>
      <w:r w:rsidRPr="0043786E">
        <w:t>the</w:t>
      </w:r>
      <w:r w:rsidRPr="00DD07E1">
        <w:t xml:space="preserve"> </w:t>
      </w:r>
      <w:r w:rsidRPr="0043786E">
        <w:t>application</w:t>
      </w:r>
      <w:r w:rsidRPr="00DD07E1">
        <w:t xml:space="preserve"> </w:t>
      </w:r>
      <w:r w:rsidRPr="0043786E">
        <w:t>of</w:t>
      </w:r>
      <w:r w:rsidRPr="00DD07E1">
        <w:t xml:space="preserve"> </w:t>
      </w:r>
      <w:r w:rsidRPr="0043786E">
        <w:t>the</w:t>
      </w:r>
      <w:r w:rsidRPr="00DD07E1">
        <w:t xml:space="preserve"> exemption </w:t>
      </w:r>
      <w:r w:rsidRPr="0043786E">
        <w:t>to</w:t>
      </w:r>
      <w:r w:rsidRPr="00DD07E1">
        <w:t xml:space="preserve"> </w:t>
      </w:r>
      <w:r w:rsidRPr="0043786E">
        <w:t>complaints</w:t>
      </w:r>
      <w:r w:rsidRPr="00DD07E1">
        <w:t xml:space="preserve"> </w:t>
      </w:r>
      <w:r w:rsidRPr="0043786E">
        <w:t>processes</w:t>
      </w:r>
      <w:r w:rsidRPr="00DD07E1">
        <w:t xml:space="preserve"> </w:t>
      </w:r>
      <w:r w:rsidRPr="0043786E">
        <w:t>see</w:t>
      </w:r>
      <w:r w:rsidRPr="00DD07E1">
        <w:t xml:space="preserve"> </w:t>
      </w:r>
      <w:r w:rsidRPr="00670412">
        <w:rPr>
          <w:i/>
          <w:iCs/>
        </w:rPr>
        <w:t>Australian Broadcasting</w:t>
      </w:r>
      <w:r w:rsidRPr="00670412">
        <w:rPr>
          <w:i/>
          <w:iCs/>
          <w:w w:val="99"/>
        </w:rPr>
        <w:t xml:space="preserve"> </w:t>
      </w:r>
      <w:r w:rsidRPr="00670412">
        <w:rPr>
          <w:i/>
          <w:iCs/>
        </w:rPr>
        <w:t>Corporation and Commonwealth Ombudsman</w:t>
      </w:r>
      <w:r w:rsidRPr="00DD07E1">
        <w:t xml:space="preserve"> </w:t>
      </w:r>
      <w:hyperlink r:id="rId137" w:history="1">
        <w:r w:rsidRPr="006C3666">
          <w:rPr>
            <w:rStyle w:val="Hyperlink"/>
          </w:rPr>
          <w:t>[2012] AICmr 11</w:t>
        </w:r>
      </w:hyperlink>
      <w:r w:rsidRPr="0043786E">
        <w:t>;</w:t>
      </w:r>
      <w:r w:rsidRPr="00DD07E1">
        <w:t xml:space="preserve"> </w:t>
      </w:r>
      <w:r w:rsidRPr="00670412">
        <w:rPr>
          <w:i/>
          <w:iCs/>
        </w:rPr>
        <w:t>British American Tobacco Australia Ltd and Australian Competition and Consumer Commission</w:t>
      </w:r>
      <w:r w:rsidRPr="00DD07E1">
        <w:t xml:space="preserve"> </w:t>
      </w:r>
      <w:hyperlink r:id="rId138" w:history="1">
        <w:r w:rsidRPr="00BA49D7">
          <w:rPr>
            <w:rStyle w:val="Hyperlink"/>
            <w:color w:val="007BAB" w:themeColor="text2" w:themeTint="BF"/>
          </w:rPr>
          <w:t>[2012] AICmr 19</w:t>
        </w:r>
      </w:hyperlink>
      <w:r w:rsidR="00BA49D7" w:rsidRPr="00BA49D7">
        <w:rPr>
          <w:color w:val="007BAB" w:themeColor="text2" w:themeTint="BF"/>
        </w:rPr>
        <w:t xml:space="preserve">; </w:t>
      </w:r>
      <w:r w:rsidR="00BA49D7" w:rsidRPr="00C23A30">
        <w:rPr>
          <w:rFonts w:ascii="Source Sans Pro" w:hAnsi="Source Sans Pro"/>
          <w:i/>
          <w:iCs/>
          <w:color w:val="333333"/>
          <w:shd w:val="clear" w:color="auto" w:fill="FFFFFF"/>
        </w:rPr>
        <w:t>Wilson AM and Office of the Australian Information Commissioner (Freedom of Information)</w:t>
      </w:r>
      <w:r w:rsidR="00BA49D7" w:rsidRPr="00C23A30">
        <w:rPr>
          <w:rFonts w:ascii="Source Sans Pro" w:hAnsi="Source Sans Pro"/>
          <w:color w:val="333333"/>
          <w:shd w:val="clear" w:color="auto" w:fill="FFFFFF"/>
        </w:rPr>
        <w:t xml:space="preserve"> </w:t>
      </w:r>
      <w:hyperlink r:id="rId139" w:history="1">
        <w:r w:rsidR="00BA49D7" w:rsidRPr="00C23A30">
          <w:rPr>
            <w:rStyle w:val="Hyperlink"/>
            <w:rFonts w:ascii="Source Sans Pro" w:hAnsi="Source Sans Pro"/>
            <w:shd w:val="clear" w:color="auto" w:fill="FFFFFF"/>
          </w:rPr>
          <w:t>[2023] AATA 458</w:t>
        </w:r>
      </w:hyperlink>
      <w:r w:rsidR="00BA49D7" w:rsidRPr="00C23A30">
        <w:rPr>
          <w:rFonts w:ascii="Source Sans Pro" w:hAnsi="Source Sans Pro"/>
          <w:color w:val="333333"/>
          <w:shd w:val="clear" w:color="auto" w:fill="FFFFFF"/>
        </w:rPr>
        <w:t xml:space="preserve"> [</w:t>
      </w:r>
      <w:r w:rsidR="00BA49D7">
        <w:rPr>
          <w:rFonts w:ascii="Source Sans Pro" w:hAnsi="Source Sans Pro"/>
          <w:color w:val="333333"/>
          <w:shd w:val="clear" w:color="auto" w:fill="FFFFFF"/>
        </w:rPr>
        <w:t>47]</w:t>
      </w:r>
      <w:r w:rsidRPr="00DD07E1">
        <w:t>.</w:t>
      </w:r>
    </w:p>
  </w:footnote>
  <w:footnote w:id="109">
    <w:p w14:paraId="1624E80F" w14:textId="788381DA" w:rsidR="00B23045" w:rsidRDefault="00B23045" w:rsidP="00C23A30">
      <w:pPr>
        <w:pStyle w:val="FootnoteText"/>
        <w:tabs>
          <w:tab w:val="left" w:pos="284"/>
        </w:tabs>
        <w:ind w:left="284" w:hanging="284"/>
      </w:pPr>
      <w:r>
        <w:rPr>
          <w:rStyle w:val="FootnoteReference"/>
        </w:rPr>
        <w:footnoteRef/>
      </w:r>
      <w:r>
        <w:t xml:space="preserve"> </w:t>
      </w:r>
      <w:r>
        <w:tab/>
      </w:r>
      <w:r w:rsidRPr="004679DB">
        <w:rPr>
          <w:rFonts w:ascii="Source Sans Pro" w:hAnsi="Source Sans Pro"/>
          <w:i/>
          <w:iCs/>
          <w:color w:val="333333"/>
          <w:shd w:val="clear" w:color="auto" w:fill="FFFFFF"/>
        </w:rPr>
        <w:t>Wilson AM and Office of the Australian Information Commissioner (Freedom of Information)</w:t>
      </w:r>
      <w:r w:rsidRPr="004679DB">
        <w:rPr>
          <w:rFonts w:ascii="Source Sans Pro" w:hAnsi="Source Sans Pro"/>
          <w:color w:val="333333"/>
          <w:shd w:val="clear" w:color="auto" w:fill="FFFFFF"/>
        </w:rPr>
        <w:t xml:space="preserve"> </w:t>
      </w:r>
      <w:hyperlink r:id="rId140" w:history="1">
        <w:r w:rsidRPr="004679DB">
          <w:rPr>
            <w:rStyle w:val="Hyperlink"/>
            <w:rFonts w:ascii="Source Sans Pro" w:hAnsi="Source Sans Pro"/>
            <w:shd w:val="clear" w:color="auto" w:fill="FFFFFF"/>
          </w:rPr>
          <w:t>[2023] AATA 458</w:t>
        </w:r>
      </w:hyperlink>
      <w:r w:rsidRPr="004679DB">
        <w:rPr>
          <w:rFonts w:ascii="Source Sans Pro" w:hAnsi="Source Sans Pro"/>
          <w:color w:val="333333"/>
          <w:shd w:val="clear" w:color="auto" w:fill="FFFFFF"/>
        </w:rPr>
        <w:t xml:space="preserve"> [</w:t>
      </w:r>
      <w:r>
        <w:rPr>
          <w:rFonts w:ascii="Source Sans Pro" w:hAnsi="Source Sans Pro"/>
          <w:color w:val="333333"/>
          <w:shd w:val="clear" w:color="auto" w:fill="FFFFFF"/>
        </w:rPr>
        <w:t>47]</w:t>
      </w:r>
      <w:r w:rsidRPr="00DD07E1">
        <w:t>.</w:t>
      </w:r>
    </w:p>
  </w:footnote>
  <w:footnote w:id="110">
    <w:p w14:paraId="2F6E4A57" w14:textId="2C9807C4" w:rsidR="00F85EF4" w:rsidRPr="00DB573F" w:rsidRDefault="00F85EF4" w:rsidP="00BC5D2E">
      <w:pPr>
        <w:pStyle w:val="FootnoteText"/>
        <w:tabs>
          <w:tab w:val="left" w:pos="284"/>
        </w:tabs>
        <w:ind w:left="284" w:hanging="284"/>
      </w:pPr>
      <w:r>
        <w:rPr>
          <w:rStyle w:val="FootnoteReference"/>
        </w:rPr>
        <w:footnoteRef/>
      </w:r>
      <w:r>
        <w:t xml:space="preserve"> </w:t>
      </w:r>
      <w:r w:rsidR="00BC5D2E">
        <w:tab/>
      </w:r>
      <w:r w:rsidRPr="00DD07E1">
        <w:t xml:space="preserve">See </w:t>
      </w:r>
      <w:r w:rsidRPr="0043786E">
        <w:t>s</w:t>
      </w:r>
      <w:r w:rsidRPr="00DD07E1">
        <w:t xml:space="preserve"> </w:t>
      </w:r>
      <w:r w:rsidRPr="0043786E">
        <w:t>4</w:t>
      </w:r>
      <w:r w:rsidRPr="00DD07E1">
        <w:t xml:space="preserve"> </w:t>
      </w:r>
      <w:r w:rsidRPr="0043786E">
        <w:t>of</w:t>
      </w:r>
      <w:r w:rsidRPr="00DD07E1">
        <w:t xml:space="preserve"> </w:t>
      </w:r>
      <w:r w:rsidRPr="0043786E">
        <w:t>the</w:t>
      </w:r>
      <w:r>
        <w:t xml:space="preserve"> FOI Act</w:t>
      </w:r>
      <w:r w:rsidRPr="00DD07E1">
        <w:t xml:space="preserve"> </w:t>
      </w:r>
      <w:r w:rsidRPr="0043786E">
        <w:t>and</w:t>
      </w:r>
      <w:r w:rsidRPr="00DD07E1">
        <w:t xml:space="preserve"> </w:t>
      </w:r>
      <w:r w:rsidRPr="0043786E">
        <w:t>s</w:t>
      </w:r>
      <w:r w:rsidRPr="00DD07E1">
        <w:t xml:space="preserve"> </w:t>
      </w:r>
      <w:r w:rsidRPr="0043786E">
        <w:t>6</w:t>
      </w:r>
      <w:r w:rsidRPr="00DD07E1">
        <w:t xml:space="preserve"> </w:t>
      </w:r>
      <w:r w:rsidRPr="0043786E">
        <w:t>of</w:t>
      </w:r>
      <w:r w:rsidRPr="00DD07E1">
        <w:t xml:space="preserve"> </w:t>
      </w:r>
      <w:r w:rsidRPr="0043786E">
        <w:t>the</w:t>
      </w:r>
      <w:r w:rsidRPr="00DD07E1">
        <w:t xml:space="preserve"> </w:t>
      </w:r>
      <w:r w:rsidRPr="00845AE4">
        <w:t>Privacy Act</w:t>
      </w:r>
      <w:r w:rsidRPr="00DD07E1">
        <w:t>.</w:t>
      </w:r>
    </w:p>
  </w:footnote>
  <w:footnote w:id="111">
    <w:p w14:paraId="3526BD21" w14:textId="70E864C5"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48393D">
        <w:rPr>
          <w:i/>
          <w:iCs/>
        </w:rPr>
        <w:t>Re Green and Australian and Overseas Telecommunications Corporation</w:t>
      </w:r>
      <w:r w:rsidRPr="00DD07E1">
        <w:t xml:space="preserve"> </w:t>
      </w:r>
      <w:hyperlink r:id="rId141" w:history="1">
        <w:r w:rsidRPr="00946CA3">
          <w:rPr>
            <w:rStyle w:val="Hyperlink"/>
            <w:color w:val="007BAB" w:themeColor="text2" w:themeTint="BF"/>
          </w:rPr>
          <w:t>[1992] AATA 252</w:t>
        </w:r>
      </w:hyperlink>
      <w:r w:rsidR="006C3666" w:rsidRPr="006C3666">
        <w:rPr>
          <w:color w:val="007BAB" w:themeColor="text2" w:themeTint="BF"/>
        </w:rPr>
        <w:t xml:space="preserve">; </w:t>
      </w:r>
      <w:r w:rsidR="006C3666" w:rsidRPr="00946CA3">
        <w:rPr>
          <w:rFonts w:cs="Arial"/>
          <w:color w:val="000000"/>
          <w:szCs w:val="18"/>
          <w:shd w:val="clear" w:color="auto" w:fill="FFFFFF"/>
        </w:rPr>
        <w:t>(1992) 28 ALD 655</w:t>
      </w:r>
      <w:r w:rsidRPr="0043786E">
        <w:t>.</w:t>
      </w:r>
    </w:p>
  </w:footnote>
  <w:footnote w:id="112">
    <w:p w14:paraId="2A326671" w14:textId="20C35A5B"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48393D">
        <w:rPr>
          <w:i/>
          <w:iCs/>
        </w:rPr>
        <w:t>Re Murtagh and Commissioner of Taxation</w:t>
      </w:r>
      <w:r w:rsidRPr="00DD07E1">
        <w:t xml:space="preserve"> </w:t>
      </w:r>
      <w:hyperlink r:id="rId142" w:history="1">
        <w:r w:rsidRPr="00946CA3">
          <w:rPr>
            <w:rStyle w:val="Hyperlink"/>
            <w:color w:val="007BAB" w:themeColor="text2" w:themeTint="BF"/>
          </w:rPr>
          <w:t>[1984] AATA 249</w:t>
        </w:r>
      </w:hyperlink>
      <w:r w:rsidR="006C3666" w:rsidRPr="006C3666">
        <w:rPr>
          <w:color w:val="007BAB" w:themeColor="text2" w:themeTint="BF"/>
        </w:rPr>
        <w:t xml:space="preserve">; </w:t>
      </w:r>
      <w:r w:rsidR="006C3666" w:rsidRPr="006C3666">
        <w:rPr>
          <w:rStyle w:val="citation"/>
        </w:rPr>
        <w:t>(1984) 54 ALR 313</w:t>
      </w:r>
      <w:r w:rsidR="006C3666" w:rsidRPr="00946CA3">
        <w:rPr>
          <w:rFonts w:cs="Arial"/>
          <w:color w:val="000000"/>
          <w:szCs w:val="18"/>
          <w:shd w:val="clear" w:color="auto" w:fill="FFFFFF"/>
        </w:rPr>
        <w:t>; </w:t>
      </w:r>
      <w:r w:rsidR="006C3666" w:rsidRPr="006C3666">
        <w:rPr>
          <w:rStyle w:val="citation"/>
        </w:rPr>
        <w:t>(1984) 6 ALD 112</w:t>
      </w:r>
      <w:r w:rsidRPr="00DD07E1">
        <w:t xml:space="preserve"> </w:t>
      </w:r>
      <w:r w:rsidRPr="0043786E">
        <w:t>and</w:t>
      </w:r>
      <w:r w:rsidRPr="00DD07E1">
        <w:t xml:space="preserve"> </w:t>
      </w:r>
      <w:r w:rsidRPr="0048393D">
        <w:rPr>
          <w:i/>
          <w:iCs/>
        </w:rPr>
        <w:t>Re Jones and Commissioner of</w:t>
      </w:r>
      <w:r w:rsidRPr="0048393D">
        <w:rPr>
          <w:i/>
          <w:iCs/>
          <w:w w:val="99"/>
        </w:rPr>
        <w:t xml:space="preserve"> </w:t>
      </w:r>
      <w:r w:rsidRPr="0048393D">
        <w:rPr>
          <w:i/>
          <w:iCs/>
        </w:rPr>
        <w:t>Taxation</w:t>
      </w:r>
      <w:r w:rsidRPr="00DD07E1">
        <w:t xml:space="preserve"> </w:t>
      </w:r>
      <w:hyperlink r:id="rId143" w:history="1">
        <w:r w:rsidRPr="00946CA3">
          <w:rPr>
            <w:rStyle w:val="Hyperlink"/>
            <w:color w:val="007BAB" w:themeColor="text2" w:themeTint="BF"/>
          </w:rPr>
          <w:t>[2008] AATA 834</w:t>
        </w:r>
      </w:hyperlink>
      <w:r w:rsidRPr="0043786E">
        <w:t>.</w:t>
      </w:r>
    </w:p>
  </w:footnote>
  <w:footnote w:id="113">
    <w:p w14:paraId="6A90D384" w14:textId="0EDC2959" w:rsidR="00F85EF4" w:rsidRPr="00DD07E1"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DD07E1">
        <w:t xml:space="preserve">See </w:t>
      </w:r>
      <w:r w:rsidRPr="0048393D">
        <w:rPr>
          <w:i/>
          <w:iCs/>
        </w:rPr>
        <w:t>Re Corkin and Department of Immigration &amp; Ethnic Affairs</w:t>
      </w:r>
      <w:r w:rsidRPr="00DD07E1">
        <w:t xml:space="preserve"> </w:t>
      </w:r>
      <w:hyperlink r:id="rId144" w:history="1">
        <w:r w:rsidRPr="00C44753">
          <w:rPr>
            <w:rStyle w:val="Hyperlink"/>
          </w:rPr>
          <w:t>[1984] AATA 448</w:t>
        </w:r>
      </w:hyperlink>
      <w:r w:rsidRPr="0043786E">
        <w:t>.</w:t>
      </w:r>
    </w:p>
  </w:footnote>
  <w:footnote w:id="114">
    <w:p w14:paraId="510F6052" w14:textId="5F6EC6BD" w:rsidR="00F85EF4" w:rsidRPr="0043786E" w:rsidRDefault="00F85EF4" w:rsidP="00BC5D2E">
      <w:pPr>
        <w:pStyle w:val="FootnoteText"/>
        <w:tabs>
          <w:tab w:val="left" w:pos="284"/>
        </w:tabs>
        <w:ind w:left="284" w:hanging="284"/>
      </w:pPr>
      <w:r w:rsidRPr="0043786E">
        <w:rPr>
          <w:rStyle w:val="FootnoteReference"/>
        </w:rPr>
        <w:footnoteRef/>
      </w:r>
      <w:r w:rsidRPr="0043786E">
        <w:t xml:space="preserve"> </w:t>
      </w:r>
      <w:r w:rsidR="00BC5D2E">
        <w:tab/>
      </w:r>
      <w:r w:rsidRPr="0043786E">
        <w:t>Explanatory Memorandum to the Privacy Amendment (Enhancing Privacy Protection) Bill 2012, p 61.</w:t>
      </w:r>
    </w:p>
  </w:footnote>
  <w:footnote w:id="115">
    <w:p w14:paraId="55EEFCCF" w14:textId="503E2C7A" w:rsidR="00F85EF4" w:rsidRPr="0043786E" w:rsidRDefault="00F85EF4" w:rsidP="007816FB">
      <w:pPr>
        <w:pStyle w:val="FootnoteText"/>
        <w:tabs>
          <w:tab w:val="left" w:pos="284"/>
        </w:tabs>
        <w:ind w:left="284" w:hanging="284"/>
      </w:pPr>
      <w:r w:rsidRPr="0043786E">
        <w:rPr>
          <w:rStyle w:val="FootnoteReference"/>
        </w:rPr>
        <w:footnoteRef/>
      </w:r>
      <w:r w:rsidRPr="0043786E">
        <w:t xml:space="preserve"> </w:t>
      </w:r>
      <w:r w:rsidR="007816FB">
        <w:tab/>
      </w:r>
      <w:r w:rsidRPr="0043786E">
        <w:t>Australian Privacy Principle</w:t>
      </w:r>
      <w:r>
        <w:t>s</w:t>
      </w:r>
      <w:r w:rsidRPr="0043786E">
        <w:t xml:space="preserve"> guidelines at [B.93].</w:t>
      </w:r>
    </w:p>
  </w:footnote>
  <w:footnote w:id="116">
    <w:p w14:paraId="4C6574EE" w14:textId="37CB2703" w:rsidR="00F85EF4" w:rsidRPr="0043786E" w:rsidRDefault="00F85EF4" w:rsidP="007816FB">
      <w:pPr>
        <w:pStyle w:val="FootnoteText"/>
        <w:tabs>
          <w:tab w:val="left" w:pos="284"/>
        </w:tabs>
        <w:ind w:left="284" w:hanging="284"/>
      </w:pPr>
      <w:r w:rsidRPr="0043786E">
        <w:rPr>
          <w:rStyle w:val="FootnoteReference"/>
        </w:rPr>
        <w:footnoteRef/>
      </w:r>
      <w:r w:rsidRPr="0043786E">
        <w:t xml:space="preserve"> </w:t>
      </w:r>
      <w:r w:rsidRPr="0048393D">
        <w:rPr>
          <w:i/>
          <w:iCs/>
        </w:rPr>
        <w:t>Jonathan Laird and Department of Defence</w:t>
      </w:r>
      <w:r w:rsidRPr="0043786E">
        <w:t xml:space="preserve"> </w:t>
      </w:r>
      <w:hyperlink r:id="rId145" w:history="1">
        <w:r w:rsidRPr="00946CA3">
          <w:rPr>
            <w:rStyle w:val="Hyperlink"/>
            <w:color w:val="007BAB" w:themeColor="text2" w:themeTint="BF"/>
          </w:rPr>
          <w:t>[2014] AICmr 144</w:t>
        </w:r>
      </w:hyperlink>
      <w:r w:rsidRPr="0043786E">
        <w:t xml:space="preserve"> [17].</w:t>
      </w:r>
    </w:p>
  </w:footnote>
  <w:footnote w:id="117">
    <w:p w14:paraId="6B439F3B" w14:textId="07A47C94" w:rsidR="00F85EF4" w:rsidRPr="00DD07E1" w:rsidRDefault="00F85EF4" w:rsidP="007816FB">
      <w:pPr>
        <w:pStyle w:val="FootnoteText"/>
        <w:tabs>
          <w:tab w:val="left" w:pos="284"/>
        </w:tabs>
        <w:ind w:left="284" w:hanging="284"/>
      </w:pPr>
      <w:r w:rsidRPr="0043786E">
        <w:rPr>
          <w:rStyle w:val="FootnoteReference"/>
        </w:rPr>
        <w:footnoteRef/>
      </w:r>
      <w:r w:rsidRPr="0043786E">
        <w:t xml:space="preserve"> </w:t>
      </w:r>
      <w:r w:rsidR="007816FB">
        <w:tab/>
      </w:r>
      <w:r w:rsidRPr="0048393D">
        <w:rPr>
          <w:i/>
          <w:iCs/>
        </w:rPr>
        <w:t>Alex Cuthbertson and Department of Immigration and Border Protection</w:t>
      </w:r>
      <w:hyperlink r:id="rId146" w:history="1">
        <w:r w:rsidRPr="00FF1F99">
          <w:rPr>
            <w:rStyle w:val="Hyperlink"/>
          </w:rPr>
          <w:t xml:space="preserve"> </w:t>
        </w:r>
        <w:r w:rsidRPr="00946CA3">
          <w:rPr>
            <w:rStyle w:val="Hyperlink"/>
            <w:color w:val="007BAB" w:themeColor="text2" w:themeTint="BF"/>
          </w:rPr>
          <w:t>[2016] AICmr 18</w:t>
        </w:r>
      </w:hyperlink>
      <w:r w:rsidRPr="0043786E">
        <w:t xml:space="preserve">; </w:t>
      </w:r>
      <w:r w:rsidRPr="0048393D">
        <w:rPr>
          <w:i/>
          <w:iCs/>
        </w:rPr>
        <w:t>Alex Cuthbertson and Department of Immigration and Border Protection</w:t>
      </w:r>
      <w:r w:rsidRPr="0043786E">
        <w:t xml:space="preserve"> </w:t>
      </w:r>
      <w:hyperlink r:id="rId147" w:history="1">
        <w:r w:rsidRPr="00946CA3">
          <w:rPr>
            <w:rStyle w:val="Hyperlink"/>
            <w:color w:val="007BAB" w:themeColor="text2" w:themeTint="BF"/>
          </w:rPr>
          <w:t>[2016] AICmr 19</w:t>
        </w:r>
      </w:hyperlink>
      <w:r w:rsidRPr="0043786E">
        <w:t xml:space="preserve">; </w:t>
      </w:r>
      <w:r w:rsidRPr="0048393D">
        <w:rPr>
          <w:i/>
          <w:iCs/>
        </w:rPr>
        <w:t>Alex Cuthbertson and Department of Immigration and Border Protection</w:t>
      </w:r>
      <w:r w:rsidRPr="0043786E">
        <w:t xml:space="preserve"> </w:t>
      </w:r>
      <w:hyperlink r:id="rId148" w:history="1">
        <w:r w:rsidRPr="00946CA3">
          <w:rPr>
            <w:rStyle w:val="Hyperlink"/>
            <w:color w:val="007BAB" w:themeColor="text2" w:themeTint="BF"/>
          </w:rPr>
          <w:t>[2016] AICmr 20</w:t>
        </w:r>
      </w:hyperlink>
      <w:r w:rsidRPr="0043786E">
        <w:t>.</w:t>
      </w:r>
    </w:p>
  </w:footnote>
  <w:footnote w:id="118">
    <w:p w14:paraId="6CBC5CBB" w14:textId="2D11B0A6" w:rsidR="00532003" w:rsidRPr="00532003" w:rsidRDefault="00532003" w:rsidP="003958EE">
      <w:pPr>
        <w:pStyle w:val="FootnoteText"/>
        <w:tabs>
          <w:tab w:val="left" w:pos="284"/>
        </w:tabs>
      </w:pPr>
      <w:r>
        <w:rPr>
          <w:rStyle w:val="FootnoteReference"/>
        </w:rPr>
        <w:footnoteRef/>
      </w:r>
      <w:r>
        <w:t xml:space="preserve"> </w:t>
      </w:r>
      <w:r w:rsidRPr="00532003">
        <w:tab/>
      </w:r>
      <w:r w:rsidRPr="003958EE">
        <w:rPr>
          <w:rFonts w:ascii="Source Sans Pro" w:hAnsi="Source Sans Pro"/>
          <w:i/>
          <w:iCs/>
          <w:color w:val="333333"/>
          <w:shd w:val="clear" w:color="auto" w:fill="FFFFFF"/>
        </w:rPr>
        <w:t>Privacy Commissioner v Telstra Corporation Limited</w:t>
      </w:r>
      <w:r w:rsidRPr="003958EE">
        <w:rPr>
          <w:rFonts w:ascii="Source Sans Pro" w:hAnsi="Source Sans Pro"/>
          <w:color w:val="333333"/>
          <w:shd w:val="clear" w:color="auto" w:fill="FFFFFF"/>
        </w:rPr>
        <w:t> </w:t>
      </w:r>
      <w:hyperlink r:id="rId149" w:tooltip="View Case" w:history="1">
        <w:r w:rsidRPr="003958EE">
          <w:rPr>
            <w:rStyle w:val="Hyperlink"/>
            <w:rFonts w:ascii="Source Sans Pro" w:hAnsi="Source Sans Pro"/>
            <w:color w:val="3796CC"/>
          </w:rPr>
          <w:t>[2017] FCAFC 4</w:t>
        </w:r>
      </w:hyperlink>
      <w:r w:rsidRPr="003958EE">
        <w:rPr>
          <w:rFonts w:ascii="Source Sans Pro" w:hAnsi="Source Sans Pro"/>
          <w:color w:val="333333"/>
          <w:shd w:val="clear" w:color="auto" w:fill="FFFFFF"/>
        </w:rPr>
        <w:t xml:space="preserve"> [63].</w:t>
      </w:r>
    </w:p>
  </w:footnote>
  <w:footnote w:id="119">
    <w:p w14:paraId="604F6BBA" w14:textId="7E3C5729" w:rsidR="00F85EF4" w:rsidRPr="00DD07E1" w:rsidRDefault="00F85EF4" w:rsidP="007816FB">
      <w:pPr>
        <w:pStyle w:val="FootnoteText"/>
        <w:tabs>
          <w:tab w:val="left" w:pos="284"/>
        </w:tabs>
        <w:ind w:left="284" w:hanging="284"/>
      </w:pPr>
      <w:r w:rsidRPr="0043786E">
        <w:rPr>
          <w:rStyle w:val="FootnoteReference"/>
        </w:rPr>
        <w:footnoteRef/>
      </w:r>
      <w:r w:rsidRPr="0043786E">
        <w:t xml:space="preserve"> </w:t>
      </w:r>
      <w:r w:rsidR="007816FB">
        <w:tab/>
      </w:r>
      <w:r w:rsidRPr="0043786E">
        <w:t xml:space="preserve">In </w:t>
      </w:r>
      <w:r w:rsidRPr="00DD07E1">
        <w:rPr>
          <w:i/>
        </w:rPr>
        <w:t>Penny Wong and Department of the Prime Minister and Cabinet</w:t>
      </w:r>
      <w:r w:rsidRPr="00DD07E1">
        <w:t xml:space="preserve"> </w:t>
      </w:r>
      <w:hyperlink r:id="rId150" w:history="1">
        <w:r w:rsidRPr="00FD6609">
          <w:rPr>
            <w:rStyle w:val="Hyperlink"/>
            <w:color w:val="007BAB" w:themeColor="text2" w:themeTint="BF"/>
          </w:rPr>
          <w:t>[2016] AICmr 27</w:t>
        </w:r>
      </w:hyperlink>
      <w:r>
        <w:t xml:space="preserve"> [</w:t>
      </w:r>
      <w:r w:rsidRPr="00665430">
        <w:t>13]</w:t>
      </w:r>
      <w:r w:rsidR="0062777D">
        <w:t>–</w:t>
      </w:r>
      <w:r w:rsidRPr="00665430">
        <w:t>[19]</w:t>
      </w:r>
      <w:r w:rsidRPr="00DD07E1">
        <w:t>, the Information Commissioner discussed that there was nothing before him t</w:t>
      </w:r>
      <w:r>
        <w:t>o</w:t>
      </w:r>
      <w:r w:rsidRPr="00DD07E1">
        <w:t xml:space="preserve"> indicate the former Prime Minister had any involvement with the purchase of alcohol for prime ministerial functions. Therefore, purchase invoices did not contain the personal information of the former Prime Minister. However, if it had been shown that the purchases had been made to accord with the Prime Minister’s personal preferences, the Information Commissioner accepted that the alcohol brands could be the personal information of the former Prime Minster.</w:t>
      </w:r>
    </w:p>
  </w:footnote>
  <w:footnote w:id="120">
    <w:p w14:paraId="7F2330B2" w14:textId="66073D24" w:rsidR="00532003" w:rsidRDefault="00532003" w:rsidP="003958EE">
      <w:pPr>
        <w:pStyle w:val="FootnoteText"/>
        <w:tabs>
          <w:tab w:val="left" w:pos="284"/>
        </w:tabs>
      </w:pPr>
      <w:r>
        <w:rPr>
          <w:rStyle w:val="FootnoteReference"/>
        </w:rPr>
        <w:footnoteRef/>
      </w:r>
      <w:r>
        <w:t xml:space="preserve"> </w:t>
      </w:r>
      <w:r>
        <w:tab/>
      </w:r>
      <w:r w:rsidRPr="00F441FA">
        <w:rPr>
          <w:rFonts w:ascii="Source Sans Pro" w:hAnsi="Source Sans Pro"/>
          <w:i/>
          <w:iCs/>
          <w:color w:val="333333"/>
          <w:shd w:val="clear" w:color="auto" w:fill="FFFFFF"/>
        </w:rPr>
        <w:t>Privacy Commissioner v Telstra Corporation Limited</w:t>
      </w:r>
      <w:r w:rsidRPr="00F441FA">
        <w:rPr>
          <w:rFonts w:ascii="Source Sans Pro" w:hAnsi="Source Sans Pro"/>
          <w:color w:val="333333"/>
          <w:shd w:val="clear" w:color="auto" w:fill="FFFFFF"/>
        </w:rPr>
        <w:t> </w:t>
      </w:r>
      <w:hyperlink r:id="rId151" w:tooltip="View Case" w:history="1">
        <w:r w:rsidRPr="00F441FA">
          <w:rPr>
            <w:rStyle w:val="Hyperlink"/>
            <w:rFonts w:ascii="Source Sans Pro" w:hAnsi="Source Sans Pro"/>
            <w:color w:val="3796CC"/>
          </w:rPr>
          <w:t>[2017] FCAFC 4</w:t>
        </w:r>
      </w:hyperlink>
      <w:r w:rsidRPr="00F441FA">
        <w:rPr>
          <w:rFonts w:ascii="Source Sans Pro" w:hAnsi="Source Sans Pro"/>
          <w:color w:val="333333"/>
          <w:shd w:val="clear" w:color="auto" w:fill="FFFFFF"/>
        </w:rPr>
        <w:t xml:space="preserve"> [63].</w:t>
      </w:r>
    </w:p>
  </w:footnote>
  <w:footnote w:id="121">
    <w:p w14:paraId="0E63A471" w14:textId="1F01E6D0" w:rsidR="00F85EF4" w:rsidRPr="00DD07E1" w:rsidRDefault="00F85EF4" w:rsidP="007816FB">
      <w:pPr>
        <w:pStyle w:val="FootnoteText"/>
        <w:tabs>
          <w:tab w:val="left" w:pos="284"/>
        </w:tabs>
        <w:ind w:left="284" w:hanging="284"/>
      </w:pPr>
      <w:r w:rsidRPr="0043786E">
        <w:rPr>
          <w:rStyle w:val="FootnoteReference"/>
        </w:rPr>
        <w:footnoteRef/>
      </w:r>
      <w:r w:rsidRPr="0043786E">
        <w:t xml:space="preserve"> </w:t>
      </w:r>
      <w:r w:rsidR="007816FB">
        <w:tab/>
      </w:r>
      <w:r w:rsidRPr="00DD07E1">
        <w:t xml:space="preserve">See </w:t>
      </w:r>
      <w:r w:rsidRPr="0043786E">
        <w:t>s</w:t>
      </w:r>
      <w:r w:rsidRPr="00DD07E1">
        <w:t xml:space="preserve"> </w:t>
      </w:r>
      <w:r w:rsidRPr="0043786E">
        <w:t>22</w:t>
      </w:r>
      <w:r w:rsidRPr="00DD07E1">
        <w:t xml:space="preserve"> </w:t>
      </w:r>
      <w:r w:rsidRPr="0043786E">
        <w:t>of</w:t>
      </w:r>
      <w:r w:rsidRPr="00DD07E1">
        <w:t xml:space="preserve"> </w:t>
      </w:r>
      <w:r w:rsidRPr="0043786E">
        <w:t>the</w:t>
      </w:r>
      <w:r w:rsidRPr="00DD07E1">
        <w:t xml:space="preserve"> </w:t>
      </w:r>
      <w:r w:rsidRPr="0048393D">
        <w:rPr>
          <w:i/>
          <w:iCs/>
        </w:rPr>
        <w:t>Acts Interpretation Act 1901</w:t>
      </w:r>
      <w:r w:rsidRPr="0043786E">
        <w:t>.</w:t>
      </w:r>
    </w:p>
  </w:footnote>
  <w:footnote w:id="122">
    <w:p w14:paraId="1FA84ECE" w14:textId="1E9F264F" w:rsidR="00F85EF4" w:rsidRPr="00DD07E1" w:rsidRDefault="00F85EF4" w:rsidP="007816FB">
      <w:pPr>
        <w:pStyle w:val="FootnoteText"/>
        <w:tabs>
          <w:tab w:val="left" w:pos="284"/>
        </w:tabs>
        <w:ind w:left="284" w:hanging="284"/>
      </w:pPr>
      <w:r w:rsidRPr="0043786E">
        <w:rPr>
          <w:rStyle w:val="FootnoteReference"/>
        </w:rPr>
        <w:footnoteRef/>
      </w:r>
      <w:r w:rsidRPr="0043786E">
        <w:t xml:space="preserve"> </w:t>
      </w:r>
      <w:r w:rsidR="007816FB">
        <w:tab/>
      </w:r>
      <w:r w:rsidRPr="00DD07E1">
        <w:t xml:space="preserve">See </w:t>
      </w:r>
      <w:r w:rsidRPr="0048393D">
        <w:rPr>
          <w:i/>
          <w:iCs/>
        </w:rPr>
        <w:t>Re Chandra and Minister for Immigration and Ethnic Affairs</w:t>
      </w:r>
      <w:r w:rsidRPr="0043786E">
        <w:t xml:space="preserve"> </w:t>
      </w:r>
      <w:hyperlink r:id="rId152" w:history="1">
        <w:r w:rsidRPr="00FD6609">
          <w:rPr>
            <w:rStyle w:val="Hyperlink"/>
            <w:color w:val="007BAB" w:themeColor="text2" w:themeTint="BF"/>
          </w:rPr>
          <w:t>[1984] AATA 437</w:t>
        </w:r>
      </w:hyperlink>
      <w:r w:rsidR="0062777D" w:rsidRPr="0062777D">
        <w:rPr>
          <w:color w:val="007BAB" w:themeColor="text2" w:themeTint="BF"/>
        </w:rPr>
        <w:t xml:space="preserve">; </w:t>
      </w:r>
      <w:r w:rsidR="0062777D" w:rsidRPr="00FD6609">
        <w:rPr>
          <w:rFonts w:cs="Arial"/>
          <w:color w:val="000000"/>
          <w:szCs w:val="18"/>
          <w:shd w:val="clear" w:color="auto" w:fill="FFFFFF"/>
        </w:rPr>
        <w:t>(1984) 6 ALN N257</w:t>
      </w:r>
      <w:r w:rsidRPr="0043786E">
        <w:t>;</w:t>
      </w:r>
      <w:r w:rsidRPr="00DD07E1">
        <w:t xml:space="preserve"> </w:t>
      </w:r>
      <w:r w:rsidRPr="0048393D">
        <w:rPr>
          <w:i/>
          <w:iCs/>
        </w:rPr>
        <w:t>Parnell and Department</w:t>
      </w:r>
      <w:r w:rsidRPr="0048393D">
        <w:rPr>
          <w:i/>
          <w:iCs/>
          <w:w w:val="99"/>
        </w:rPr>
        <w:t xml:space="preserve"> </w:t>
      </w:r>
      <w:r w:rsidRPr="0048393D">
        <w:rPr>
          <w:i/>
          <w:iCs/>
        </w:rPr>
        <w:t>of the Prime Minister and Cabinet</w:t>
      </w:r>
      <w:r w:rsidRPr="00DD07E1">
        <w:t xml:space="preserve"> </w:t>
      </w:r>
      <w:hyperlink r:id="rId153" w:history="1">
        <w:r w:rsidRPr="0062777D">
          <w:rPr>
            <w:rStyle w:val="Hyperlink"/>
          </w:rPr>
          <w:t>[2012] AICmr 31</w:t>
        </w:r>
      </w:hyperlink>
      <w:r w:rsidRPr="0043786E">
        <w:t>;</w:t>
      </w:r>
      <w:r w:rsidRPr="00DD07E1">
        <w:t xml:space="preserve"> </w:t>
      </w:r>
      <w:r w:rsidRPr="0048393D">
        <w:rPr>
          <w:i/>
          <w:iCs/>
        </w:rPr>
        <w:t>‘R’ and Department of Immigration and Citizenship</w:t>
      </w:r>
      <w:r w:rsidRPr="00DD07E1">
        <w:rPr>
          <w:w w:val="99"/>
        </w:rPr>
        <w:t xml:space="preserve"> </w:t>
      </w:r>
      <w:hyperlink r:id="rId154" w:history="1">
        <w:r w:rsidRPr="00FD6609">
          <w:rPr>
            <w:rStyle w:val="Hyperlink"/>
            <w:color w:val="007BAB" w:themeColor="text2" w:themeTint="BF"/>
          </w:rPr>
          <w:t>[2012] AICmr 32</w:t>
        </w:r>
      </w:hyperlink>
      <w:r w:rsidRPr="0043786E">
        <w:t>.</w:t>
      </w:r>
    </w:p>
  </w:footnote>
  <w:footnote w:id="123">
    <w:p w14:paraId="16E400D1" w14:textId="2B166E2F" w:rsidR="00F85EF4" w:rsidRPr="0043786E" w:rsidRDefault="00F85EF4" w:rsidP="007816FB">
      <w:pPr>
        <w:pStyle w:val="FootnoteText"/>
        <w:tabs>
          <w:tab w:val="left" w:pos="284"/>
        </w:tabs>
        <w:ind w:left="284" w:hanging="284"/>
      </w:pPr>
      <w:r w:rsidRPr="0043786E">
        <w:rPr>
          <w:rStyle w:val="FootnoteReference"/>
        </w:rPr>
        <w:footnoteRef/>
      </w:r>
      <w:r w:rsidRPr="0043786E">
        <w:t xml:space="preserve"> </w:t>
      </w:r>
      <w:r w:rsidR="007816FB">
        <w:tab/>
      </w:r>
      <w:r w:rsidRPr="00DD07E1">
        <w:t xml:space="preserve">See </w:t>
      </w:r>
      <w:r w:rsidRPr="00A07197">
        <w:rPr>
          <w:i/>
          <w:iCs/>
        </w:rPr>
        <w:t>Re Chandra and Minister for Immigration and Ethnic Affairs</w:t>
      </w:r>
      <w:r w:rsidRPr="0043786E">
        <w:t xml:space="preserve"> </w:t>
      </w:r>
      <w:hyperlink r:id="rId155" w:history="1">
        <w:r w:rsidRPr="00FD6609">
          <w:rPr>
            <w:rStyle w:val="Hyperlink"/>
            <w:color w:val="007BAB" w:themeColor="text2" w:themeTint="BF"/>
          </w:rPr>
          <w:t>[1984] AATA 437</w:t>
        </w:r>
      </w:hyperlink>
      <w:r>
        <w:t xml:space="preserve"> </w:t>
      </w:r>
      <w:r w:rsidR="0062777D">
        <w:t>[</w:t>
      </w:r>
      <w:r w:rsidRPr="0043786E">
        <w:t>259</w:t>
      </w:r>
      <w:r w:rsidR="0062777D">
        <w:t>]</w:t>
      </w:r>
      <w:r w:rsidR="0062777D" w:rsidRPr="0062777D">
        <w:t xml:space="preserve">; </w:t>
      </w:r>
      <w:r w:rsidR="0062777D" w:rsidRPr="00FD6609">
        <w:rPr>
          <w:rFonts w:cs="Arial"/>
          <w:color w:val="000000"/>
          <w:szCs w:val="18"/>
          <w:shd w:val="clear" w:color="auto" w:fill="FFFFFF"/>
        </w:rPr>
        <w:t>(1984) 6 ALN N257</w:t>
      </w:r>
      <w:r w:rsidRPr="0043786E">
        <w:t>.</w:t>
      </w:r>
    </w:p>
  </w:footnote>
  <w:footnote w:id="124">
    <w:p w14:paraId="44000C72" w14:textId="53D1BFEB"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DD07E1">
        <w:t xml:space="preserve">See </w:t>
      </w:r>
      <w:r w:rsidRPr="00A07197">
        <w:rPr>
          <w:i/>
          <w:iCs/>
        </w:rPr>
        <w:t>Re Jones and Commissioner of Taxation</w:t>
      </w:r>
      <w:r w:rsidRPr="0043786E">
        <w:t xml:space="preserve"> </w:t>
      </w:r>
      <w:hyperlink r:id="rId156" w:history="1">
        <w:r w:rsidRPr="00FD6609">
          <w:rPr>
            <w:rStyle w:val="Hyperlink"/>
            <w:color w:val="007BAB" w:themeColor="text2" w:themeTint="BF"/>
          </w:rPr>
          <w:t>[2008] AATA 834</w:t>
        </w:r>
      </w:hyperlink>
      <w:r w:rsidRPr="0043786E">
        <w:t>;</w:t>
      </w:r>
      <w:r w:rsidRPr="00DD07E1">
        <w:t xml:space="preserve"> </w:t>
      </w:r>
      <w:r w:rsidRPr="00A07197">
        <w:rPr>
          <w:i/>
          <w:iCs/>
        </w:rPr>
        <w:t>‘Q’ and Department of Human Services</w:t>
      </w:r>
      <w:r w:rsidRPr="00DD07E1">
        <w:t xml:space="preserve"> </w:t>
      </w:r>
      <w:hyperlink r:id="rId157" w:history="1">
        <w:r w:rsidRPr="00FD6609">
          <w:rPr>
            <w:rStyle w:val="Hyperlink"/>
            <w:color w:val="007BAB" w:themeColor="text2" w:themeTint="BF"/>
          </w:rPr>
          <w:t>[2012] AICmr 30</w:t>
        </w:r>
      </w:hyperlink>
      <w:r w:rsidRPr="00DD07E1">
        <w:t>.</w:t>
      </w:r>
    </w:p>
  </w:footnote>
  <w:footnote w:id="125">
    <w:p w14:paraId="50EA45EF" w14:textId="30C51389"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A07197">
        <w:t xml:space="preserve">For example, where a ‘care leaver’ requests access to third party personal information, decision makers should note that it is government policy that a care leaver have such access. A ‘care leaver’ is a child in Australia in the 20th century who was brought up ’in care’ as a state ward, foster child, or in an orphanage. See the government response to recommendation 12 of the report of </w:t>
      </w:r>
      <w:hyperlink r:id="rId158" w:history="1">
        <w:r w:rsidRPr="00FD6609">
          <w:rPr>
            <w:rStyle w:val="Hyperlink"/>
            <w:color w:val="007BAB" w:themeColor="text2" w:themeTint="BF"/>
          </w:rPr>
          <w:t>the Senate Community Affairs References Committee (2009)</w:t>
        </w:r>
      </w:hyperlink>
      <w:r w:rsidRPr="00A07197">
        <w:t xml:space="preserve"> </w:t>
      </w:r>
      <w:r w:rsidRPr="00A07197">
        <w:rPr>
          <w:i/>
          <w:iCs/>
        </w:rPr>
        <w:t>Lost innocents and Forgotten Australians revisited report on the progress with the implementation of the recommendations of the Lost Innocents and Forgotten Australians reports</w:t>
      </w:r>
      <w:r w:rsidRPr="00A07197">
        <w:t>, Commonwealth of Australia, Canberra.</w:t>
      </w:r>
    </w:p>
  </w:footnote>
  <w:footnote w:id="126">
    <w:p w14:paraId="4689B778" w14:textId="0E4A8BE5"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Note:</w:t>
      </w:r>
      <w:r w:rsidRPr="00DD07E1">
        <w:t xml:space="preserve"> </w:t>
      </w:r>
      <w:r w:rsidRPr="0043786E">
        <w:t>s</w:t>
      </w:r>
      <w:r w:rsidRPr="00DD07E1">
        <w:t xml:space="preserve"> 11B(4)(c) provides </w:t>
      </w:r>
      <w:r w:rsidRPr="0043786E">
        <w:t>that</w:t>
      </w:r>
      <w:r w:rsidRPr="00DD07E1">
        <w:t xml:space="preserve"> when </w:t>
      </w:r>
      <w:r w:rsidRPr="0043786E">
        <w:t>the</w:t>
      </w:r>
      <w:r w:rsidRPr="00DD07E1">
        <w:t xml:space="preserve"> </w:t>
      </w:r>
      <w:r w:rsidRPr="0043786E">
        <w:t>public</w:t>
      </w:r>
      <w:r w:rsidRPr="00DD07E1">
        <w:t xml:space="preserve"> interest </w:t>
      </w:r>
      <w:r w:rsidRPr="0043786E">
        <w:t>test</w:t>
      </w:r>
      <w:r w:rsidRPr="00DD07E1">
        <w:t xml:space="preserve"> </w:t>
      </w:r>
      <w:r w:rsidRPr="0043786E">
        <w:t>is</w:t>
      </w:r>
      <w:r w:rsidRPr="00DD07E1">
        <w:t xml:space="preserve"> considered, </w:t>
      </w:r>
      <w:r w:rsidRPr="0043786E">
        <w:t>the</w:t>
      </w:r>
      <w:r w:rsidRPr="00DD07E1">
        <w:t xml:space="preserve"> fact </w:t>
      </w:r>
      <w:r w:rsidRPr="0043786E">
        <w:t>that</w:t>
      </w:r>
      <w:r w:rsidRPr="00DD07E1">
        <w:t xml:space="preserve"> </w:t>
      </w:r>
      <w:r w:rsidRPr="0043786E">
        <w:t>the</w:t>
      </w:r>
      <w:r w:rsidRPr="00DD07E1">
        <w:t xml:space="preserve"> </w:t>
      </w:r>
      <w:r w:rsidRPr="0043786E">
        <w:t>author</w:t>
      </w:r>
      <w:r w:rsidRPr="00DD07E1">
        <w:t xml:space="preserve"> </w:t>
      </w:r>
      <w:r w:rsidRPr="0043786E">
        <w:t>of</w:t>
      </w:r>
      <w:r w:rsidRPr="00DD07E1">
        <w:t xml:space="preserve"> </w:t>
      </w:r>
      <w:r w:rsidRPr="0043786E">
        <w:t>the</w:t>
      </w:r>
      <w:r w:rsidRPr="00DD07E1">
        <w:rPr>
          <w:w w:val="99"/>
        </w:rPr>
        <w:t xml:space="preserve"> </w:t>
      </w:r>
      <w:r w:rsidRPr="00DD07E1">
        <w:t xml:space="preserve">document was (or is) of </w:t>
      </w:r>
      <w:r w:rsidRPr="0043786E">
        <w:t>high</w:t>
      </w:r>
      <w:r w:rsidRPr="00DD07E1">
        <w:t xml:space="preserve"> </w:t>
      </w:r>
      <w:r w:rsidRPr="0043786E">
        <w:t>seniority</w:t>
      </w:r>
      <w:r w:rsidRPr="00DD07E1">
        <w:t xml:space="preserve"> </w:t>
      </w:r>
      <w:r w:rsidRPr="0043786E">
        <w:t>in</w:t>
      </w:r>
      <w:r w:rsidRPr="00DD07E1">
        <w:t xml:space="preserve"> </w:t>
      </w:r>
      <w:r w:rsidRPr="0043786E">
        <w:t>the</w:t>
      </w:r>
      <w:r w:rsidRPr="00DD07E1">
        <w:t xml:space="preserve"> </w:t>
      </w:r>
      <w:r w:rsidRPr="0043786E">
        <w:t>agency</w:t>
      </w:r>
      <w:r w:rsidRPr="00DD07E1">
        <w:t xml:space="preserve"> </w:t>
      </w:r>
      <w:r w:rsidRPr="0043786E">
        <w:t>is</w:t>
      </w:r>
      <w:r w:rsidRPr="00DD07E1">
        <w:t xml:space="preserve"> </w:t>
      </w:r>
      <w:r w:rsidRPr="0043786E">
        <w:t>not</w:t>
      </w:r>
      <w:r w:rsidRPr="00DD07E1">
        <w:t xml:space="preserve"> </w:t>
      </w:r>
      <w:r w:rsidRPr="0043786E">
        <w:t>to</w:t>
      </w:r>
      <w:r w:rsidRPr="00DD07E1">
        <w:t xml:space="preserve"> </w:t>
      </w:r>
      <w:r w:rsidRPr="0043786E">
        <w:t>be</w:t>
      </w:r>
      <w:r w:rsidRPr="00DD07E1">
        <w:t xml:space="preserve"> </w:t>
      </w:r>
      <w:r w:rsidRPr="0043786E">
        <w:t>taken</w:t>
      </w:r>
      <w:r w:rsidRPr="00DD07E1">
        <w:t xml:space="preserve"> </w:t>
      </w:r>
      <w:r w:rsidRPr="0043786E">
        <w:t>into</w:t>
      </w:r>
      <w:r w:rsidRPr="00DD07E1">
        <w:t xml:space="preserve"> </w:t>
      </w:r>
      <w:r w:rsidRPr="0043786E">
        <w:t>account</w:t>
      </w:r>
      <w:r w:rsidRPr="00DD07E1">
        <w:t xml:space="preserve"> (see these </w:t>
      </w:r>
      <w:r w:rsidRPr="000D323E">
        <w:t>Guidelines at [</w:t>
      </w:r>
      <w:hyperlink w:anchor="_bookmark12" w:history="1">
        <w:r w:rsidRPr="000D323E">
          <w:fldChar w:fldCharType="begin"/>
        </w:r>
        <w:r w:rsidRPr="000D323E">
          <w:instrText xml:space="preserve"> REF _Ref458498823 \r \h  \* MERGEFORMAT </w:instrText>
        </w:r>
        <w:r w:rsidRPr="000D323E">
          <w:fldChar w:fldCharType="separate"/>
        </w:r>
        <w:r w:rsidR="00A721BB">
          <w:t>6.230</w:t>
        </w:r>
        <w:r w:rsidRPr="000D323E">
          <w:fldChar w:fldCharType="end"/>
        </w:r>
      </w:hyperlink>
      <w:r w:rsidR="000D323E" w:rsidRPr="000D323E">
        <w:t>7</w:t>
      </w:r>
      <w:r w:rsidRPr="000D323E">
        <w:t>]).</w:t>
      </w:r>
    </w:p>
  </w:footnote>
  <w:footnote w:id="127">
    <w:p w14:paraId="2C5041AC" w14:textId="0583BC92"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A07197">
        <w:rPr>
          <w:i/>
          <w:iCs/>
        </w:rPr>
        <w:t>Re McCallin and Department of Immigration</w:t>
      </w:r>
      <w:r w:rsidRPr="00DD07E1">
        <w:t xml:space="preserve"> </w:t>
      </w:r>
      <w:hyperlink r:id="rId159" w:history="1">
        <w:r w:rsidRPr="00FD6609">
          <w:rPr>
            <w:rStyle w:val="Hyperlink"/>
            <w:color w:val="007BAB" w:themeColor="text2" w:themeTint="BF"/>
          </w:rPr>
          <w:t>[2008] AATA 477</w:t>
        </w:r>
      </w:hyperlink>
      <w:r w:rsidRPr="0043786E">
        <w:t>.</w:t>
      </w:r>
    </w:p>
  </w:footnote>
  <w:footnote w:id="128">
    <w:p w14:paraId="1DF43D7A" w14:textId="62328476" w:rsidR="00F85EF4" w:rsidRPr="00C35643" w:rsidRDefault="00F85EF4" w:rsidP="00D36C42">
      <w:pPr>
        <w:pStyle w:val="FootnoteText"/>
        <w:tabs>
          <w:tab w:val="left" w:pos="284"/>
        </w:tabs>
        <w:ind w:left="284" w:hanging="284"/>
      </w:pPr>
      <w:r>
        <w:rPr>
          <w:rStyle w:val="FootnoteReference"/>
        </w:rPr>
        <w:footnoteRef/>
      </w:r>
      <w:r>
        <w:t xml:space="preserve"> </w:t>
      </w:r>
      <w:r w:rsidR="00D36C42">
        <w:tab/>
      </w:r>
      <w:r w:rsidRPr="00C35643">
        <w:t xml:space="preserve">See </w:t>
      </w:r>
      <w:r w:rsidRPr="000B324A">
        <w:rPr>
          <w:i/>
          <w:iCs/>
        </w:rPr>
        <w:t>‘FG’ and National Archives of Australia</w:t>
      </w:r>
      <w:r w:rsidRPr="00C35643">
        <w:t xml:space="preserve"> </w:t>
      </w:r>
      <w:hyperlink r:id="rId160" w:history="1">
        <w:r w:rsidRPr="00AE7D39">
          <w:rPr>
            <w:rStyle w:val="Hyperlink"/>
          </w:rPr>
          <w:t>[2015] AICmr 26</w:t>
        </w:r>
      </w:hyperlink>
      <w:r w:rsidRPr="00C35643">
        <w:t xml:space="preserve"> [47]</w:t>
      </w:r>
      <w:r>
        <w:t>–</w:t>
      </w:r>
      <w:r w:rsidRPr="00C35643">
        <w:t>[48].</w:t>
      </w:r>
    </w:p>
  </w:footnote>
  <w:footnote w:id="129">
    <w:p w14:paraId="3388B529" w14:textId="1ACD3E21" w:rsidR="0014772F" w:rsidRDefault="0014772F" w:rsidP="00BA1702">
      <w:pPr>
        <w:pStyle w:val="FootnoteText"/>
        <w:tabs>
          <w:tab w:val="left" w:pos="284"/>
        </w:tabs>
      </w:pPr>
      <w:r>
        <w:rPr>
          <w:rStyle w:val="FootnoteReference"/>
        </w:rPr>
        <w:footnoteRef/>
      </w:r>
      <w:r>
        <w:t xml:space="preserve"> </w:t>
      </w:r>
      <w:r>
        <w:tab/>
      </w:r>
      <w:r w:rsidRPr="000B324A">
        <w:rPr>
          <w:i/>
          <w:iCs/>
        </w:rPr>
        <w:t>‘BA’ and Merit Protection Commissioner</w:t>
      </w:r>
      <w:r w:rsidRPr="0043786E">
        <w:t xml:space="preserve"> </w:t>
      </w:r>
      <w:hyperlink r:id="rId161" w:history="1">
        <w:r w:rsidRPr="00FD6609">
          <w:rPr>
            <w:rStyle w:val="Hyperlink"/>
            <w:color w:val="007BAB" w:themeColor="text2" w:themeTint="BF"/>
          </w:rPr>
          <w:t>[2014] AICmr 9</w:t>
        </w:r>
      </w:hyperlink>
      <w:r>
        <w:rPr>
          <w:color w:val="007BAB" w:themeColor="text2" w:themeTint="BF"/>
        </w:rPr>
        <w:t xml:space="preserve"> </w:t>
      </w:r>
      <w:r w:rsidRPr="00BA1702">
        <w:t>[64]</w:t>
      </w:r>
      <w:r>
        <w:rPr>
          <w:color w:val="007BAB" w:themeColor="text2" w:themeTint="BF"/>
        </w:rPr>
        <w:t>.</w:t>
      </w:r>
    </w:p>
  </w:footnote>
  <w:footnote w:id="130">
    <w:p w14:paraId="3DE72A91" w14:textId="7688655F"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0B324A">
        <w:rPr>
          <w:i/>
          <w:iCs/>
        </w:rPr>
        <w:t>Colakovski v Australian Telecommunications Corporation</w:t>
      </w:r>
      <w:r w:rsidRPr="00DD07E1">
        <w:t xml:space="preserve"> </w:t>
      </w:r>
      <w:hyperlink r:id="rId162" w:history="1">
        <w:r w:rsidR="00AE7D39" w:rsidRPr="00AE7D39">
          <w:rPr>
            <w:rStyle w:val="Hyperlink"/>
          </w:rPr>
          <w:t>[1991] FCA 152</w:t>
        </w:r>
      </w:hyperlink>
      <w:r w:rsidR="00AE7D39">
        <w:t xml:space="preserve">; </w:t>
      </w:r>
      <w:r w:rsidRPr="00DD07E1">
        <w:t xml:space="preserve">(1991) </w:t>
      </w:r>
      <w:r w:rsidRPr="0043786E">
        <w:t>29</w:t>
      </w:r>
      <w:r w:rsidRPr="00DD07E1">
        <w:t xml:space="preserve"> </w:t>
      </w:r>
      <w:r w:rsidRPr="0043786E">
        <w:t>FCR</w:t>
      </w:r>
      <w:r w:rsidRPr="00DD07E1">
        <w:t xml:space="preserve"> </w:t>
      </w:r>
      <w:r w:rsidRPr="0043786E">
        <w:t>429</w:t>
      </w:r>
      <w:r w:rsidRPr="0043786E">
        <w:rPr>
          <w:rFonts w:ascii="Verdana"/>
          <w:color w:val="333333"/>
          <w:sz w:val="16"/>
        </w:rPr>
        <w:t>.</w:t>
      </w:r>
    </w:p>
  </w:footnote>
  <w:footnote w:id="131">
    <w:p w14:paraId="6858CDD2" w14:textId="092FFB5C"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0B324A">
        <w:rPr>
          <w:i/>
          <w:iCs/>
        </w:rPr>
        <w:t>‘BA’ and Merit Protection Commissioner</w:t>
      </w:r>
      <w:r w:rsidRPr="0043786E">
        <w:t xml:space="preserve"> </w:t>
      </w:r>
      <w:hyperlink r:id="rId163" w:history="1">
        <w:r w:rsidRPr="00FD6609">
          <w:rPr>
            <w:rStyle w:val="Hyperlink"/>
            <w:color w:val="007BAB" w:themeColor="text2" w:themeTint="BF"/>
          </w:rPr>
          <w:t>[2014] AICmr 9</w:t>
        </w:r>
      </w:hyperlink>
      <w:r w:rsidRPr="0043786E">
        <w:t xml:space="preserve"> [64], citing M Paterson, </w:t>
      </w:r>
      <w:r w:rsidRPr="000B324A">
        <w:rPr>
          <w:i/>
          <w:iCs/>
        </w:rPr>
        <w:t>Freedom of Information and Privacy in Australia</w:t>
      </w:r>
      <w:r w:rsidRPr="0043786E">
        <w:t xml:space="preserve"> (LexisNexis Butterworths, 2005) 241.</w:t>
      </w:r>
    </w:p>
  </w:footnote>
  <w:footnote w:id="132">
    <w:p w14:paraId="31DCE6A1" w14:textId="47108FAA"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D96ACB">
        <w:rPr>
          <w:i/>
          <w:iCs/>
        </w:rPr>
        <w:t>‘AK’ and Department of Finance and Deregulation</w:t>
      </w:r>
      <w:r w:rsidRPr="0043786E">
        <w:t xml:space="preserve"> </w:t>
      </w:r>
      <w:hyperlink r:id="rId164" w:history="1">
        <w:r w:rsidRPr="00FD6609">
          <w:rPr>
            <w:rStyle w:val="Hyperlink"/>
            <w:color w:val="007BAB" w:themeColor="text2" w:themeTint="BF"/>
          </w:rPr>
          <w:t>[2013] AICmr 64</w:t>
        </w:r>
      </w:hyperlink>
      <w:r w:rsidRPr="0043786E">
        <w:t xml:space="preserve"> [18]–[24].</w:t>
      </w:r>
    </w:p>
  </w:footnote>
  <w:footnote w:id="133">
    <w:p w14:paraId="25AD2B34" w14:textId="77777777" w:rsidR="007025F2" w:rsidRPr="00F45F5C" w:rsidRDefault="007025F2" w:rsidP="007025F2">
      <w:pPr>
        <w:pStyle w:val="FootnoteText"/>
        <w:tabs>
          <w:tab w:val="left" w:pos="284"/>
        </w:tabs>
        <w:ind w:left="284" w:hanging="284"/>
        <w:rPr>
          <w:lang w:val="en-US"/>
        </w:rPr>
      </w:pPr>
      <w:r>
        <w:rPr>
          <w:rStyle w:val="FootnoteReference"/>
        </w:rPr>
        <w:footnoteRef/>
      </w:r>
      <w:r>
        <w:t xml:space="preserve"> </w:t>
      </w:r>
      <w:r>
        <w:tab/>
      </w:r>
      <w:r w:rsidRPr="00F45F5C">
        <w:rPr>
          <w:i/>
          <w:iCs/>
        </w:rPr>
        <w:t>Rex Patrick and Department of Defence</w:t>
      </w:r>
      <w:r w:rsidRPr="00AA4E83">
        <w:t xml:space="preserve"> </w:t>
      </w:r>
      <w:hyperlink r:id="rId165" w:history="1">
        <w:r w:rsidRPr="00FD6609">
          <w:rPr>
            <w:rStyle w:val="Hyperlink"/>
            <w:color w:val="007BAB" w:themeColor="text2" w:themeTint="BF"/>
          </w:rPr>
          <w:t>[2020] AICmr 31</w:t>
        </w:r>
      </w:hyperlink>
      <w:r>
        <w:t>.</w:t>
      </w:r>
    </w:p>
  </w:footnote>
  <w:footnote w:id="134">
    <w:p w14:paraId="02887334" w14:textId="702DC726"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D96ACB">
        <w:rPr>
          <w:i/>
          <w:iCs/>
        </w:rPr>
        <w:t>‘Z’ and Australian Securities and Investments Commission</w:t>
      </w:r>
      <w:r w:rsidRPr="0043786E">
        <w:t xml:space="preserve"> </w:t>
      </w:r>
      <w:hyperlink r:id="rId166" w:history="1">
        <w:r w:rsidRPr="00AE7D39">
          <w:rPr>
            <w:rStyle w:val="Hyperlink"/>
          </w:rPr>
          <w:t>[2013] AICmr 43</w:t>
        </w:r>
      </w:hyperlink>
      <w:r w:rsidRPr="0043786E">
        <w:t xml:space="preserve"> [11].</w:t>
      </w:r>
    </w:p>
  </w:footnote>
  <w:footnote w:id="135">
    <w:p w14:paraId="47B834A8" w14:textId="625E051B"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003B0BCE" w:rsidRPr="008A163F">
        <w:rPr>
          <w:rFonts w:ascii="Source Sans Pro" w:hAnsi="Source Sans Pro"/>
          <w:i/>
          <w:iCs/>
          <w:color w:val="333333"/>
          <w:shd w:val="clear" w:color="auto" w:fill="FFFFFF"/>
        </w:rPr>
        <w:t>‘FG’ and National Archives of Australia</w:t>
      </w:r>
      <w:r w:rsidR="003B0BCE">
        <w:rPr>
          <w:rFonts w:ascii="Source Sans Pro" w:hAnsi="Source Sans Pro"/>
          <w:color w:val="333333"/>
          <w:shd w:val="clear" w:color="auto" w:fill="FFFFFF"/>
        </w:rPr>
        <w:t xml:space="preserve"> </w:t>
      </w:r>
      <w:hyperlink r:id="rId167" w:tooltip="View Case" w:history="1">
        <w:r w:rsidR="003B0BCE" w:rsidRPr="008A163F">
          <w:rPr>
            <w:rStyle w:val="Hyperlink"/>
            <w:rFonts w:ascii="Source Sans Pro" w:hAnsi="Source Sans Pro"/>
            <w:color w:val="3796CC"/>
          </w:rPr>
          <w:t>[2015] AICmr 26</w:t>
        </w:r>
      </w:hyperlink>
      <w:r w:rsidR="003B0BCE" w:rsidRPr="008A163F">
        <w:rPr>
          <w:rFonts w:ascii="Source Sans Pro" w:hAnsi="Source Sans Pro"/>
          <w:color w:val="333333"/>
          <w:shd w:val="clear" w:color="auto" w:fill="FFFFFF"/>
        </w:rPr>
        <w:t xml:space="preserve"> [37]–[39].</w:t>
      </w:r>
    </w:p>
  </w:footnote>
  <w:footnote w:id="136">
    <w:p w14:paraId="00C8F5AB" w14:textId="4BF6C555"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 xml:space="preserve">See </w:t>
      </w:r>
      <w:r w:rsidRPr="00A770B1">
        <w:rPr>
          <w:i/>
          <w:iCs/>
        </w:rPr>
        <w:t>‘FG’ and National Archives of Australia</w:t>
      </w:r>
      <w:r w:rsidRPr="0043786E">
        <w:t xml:space="preserve"> </w:t>
      </w:r>
      <w:hyperlink r:id="rId168" w:history="1">
        <w:r w:rsidRPr="00FD6609">
          <w:rPr>
            <w:rStyle w:val="Hyperlink"/>
            <w:color w:val="007BAB" w:themeColor="text2" w:themeTint="BF"/>
          </w:rPr>
          <w:t>[2015] AICmr 26</w:t>
        </w:r>
      </w:hyperlink>
      <w:r w:rsidRPr="0043786E">
        <w:t xml:space="preserve"> [19]</w:t>
      </w:r>
      <w:r>
        <w:t>–</w:t>
      </w:r>
      <w:r w:rsidRPr="0043786E">
        <w:t>[44].</w:t>
      </w:r>
    </w:p>
  </w:footnote>
  <w:footnote w:id="137">
    <w:p w14:paraId="38854310" w14:textId="54FD36A1"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842CB8">
        <w:rPr>
          <w:i/>
          <w:iCs/>
        </w:rPr>
        <w:t>‘FG’ and National Archives of Australia</w:t>
      </w:r>
      <w:r w:rsidRPr="0043786E">
        <w:t xml:space="preserve"> </w:t>
      </w:r>
      <w:hyperlink r:id="rId169" w:history="1">
        <w:r w:rsidRPr="00FD6609">
          <w:rPr>
            <w:rStyle w:val="Hyperlink"/>
            <w:color w:val="007BAB" w:themeColor="text2" w:themeTint="BF"/>
          </w:rPr>
          <w:t>[2015] AICmr 26</w:t>
        </w:r>
      </w:hyperlink>
      <w:r w:rsidRPr="0043786E">
        <w:t xml:space="preserve"> [38].</w:t>
      </w:r>
    </w:p>
  </w:footnote>
  <w:footnote w:id="138">
    <w:p w14:paraId="6B6AA184" w14:textId="33211A8C"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842CB8">
        <w:rPr>
          <w:i/>
          <w:iCs/>
        </w:rPr>
        <w:t>Re Callejo and Department of Immigration and Citizenship</w:t>
      </w:r>
      <w:r w:rsidRPr="0043786E">
        <w:t xml:space="preserve"> </w:t>
      </w:r>
      <w:hyperlink r:id="rId170" w:history="1">
        <w:r w:rsidRPr="00FD6609">
          <w:rPr>
            <w:rStyle w:val="Hyperlink"/>
            <w:color w:val="007BAB" w:themeColor="text2" w:themeTint="BF"/>
          </w:rPr>
          <w:t>[2010] AATA 244</w:t>
        </w:r>
      </w:hyperlink>
      <w:r w:rsidRPr="0043786E">
        <w:t>[101]</w:t>
      </w:r>
      <w:r w:rsidR="003C4F41">
        <w:t>; (2010) 51 AAR 308</w:t>
      </w:r>
      <w:r w:rsidRPr="0043786E">
        <w:t>per Forgie DP.</w:t>
      </w:r>
    </w:p>
  </w:footnote>
  <w:footnote w:id="139">
    <w:p w14:paraId="74C32F0C" w14:textId="18042E59" w:rsidR="00F85EF4" w:rsidRPr="00043DD8"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842CB8">
        <w:rPr>
          <w:i/>
          <w:iCs/>
        </w:rPr>
        <w:t>Re Anderson and Australian Federal Police</w:t>
      </w:r>
      <w:r w:rsidRPr="0043786E">
        <w:t xml:space="preserve"> </w:t>
      </w:r>
      <w:r w:rsidR="006D5365">
        <w:t xml:space="preserve"> </w:t>
      </w:r>
      <w:hyperlink r:id="rId171" w:history="1">
        <w:r w:rsidRPr="00FD6609">
          <w:rPr>
            <w:rStyle w:val="Hyperlink"/>
            <w:color w:val="007BAB" w:themeColor="text2" w:themeTint="BF"/>
          </w:rPr>
          <w:t>[1986] AATA 79</w:t>
        </w:r>
      </w:hyperlink>
      <w:r w:rsidRPr="00DD07E1">
        <w:t xml:space="preserve"> </w:t>
      </w:r>
      <w:r w:rsidRPr="0043786E">
        <w:t>and</w:t>
      </w:r>
      <w:r w:rsidRPr="00DD07E1">
        <w:t xml:space="preserve"> </w:t>
      </w:r>
      <w:r w:rsidRPr="00842CB8">
        <w:rPr>
          <w:i/>
          <w:iCs/>
        </w:rPr>
        <w:t>Re McKinnon and Department of</w:t>
      </w:r>
      <w:r w:rsidRPr="00842CB8">
        <w:rPr>
          <w:i/>
          <w:iCs/>
          <w:w w:val="99"/>
        </w:rPr>
        <w:t xml:space="preserve"> </w:t>
      </w:r>
      <w:r w:rsidRPr="00842CB8">
        <w:rPr>
          <w:i/>
          <w:iCs/>
        </w:rPr>
        <w:t>Immigration and Ethnic Affairs</w:t>
      </w:r>
      <w:r w:rsidRPr="00DD07E1">
        <w:t xml:space="preserve"> </w:t>
      </w:r>
      <w:hyperlink r:id="rId172" w:history="1">
        <w:r w:rsidRPr="00FD6609">
          <w:rPr>
            <w:rStyle w:val="Hyperlink"/>
            <w:color w:val="007BAB" w:themeColor="text2" w:themeTint="BF"/>
          </w:rPr>
          <w:t>[1995] AATA 364</w:t>
        </w:r>
      </w:hyperlink>
      <w:r w:rsidRPr="0043786E">
        <w:t>.</w:t>
      </w:r>
      <w:r>
        <w:t xml:space="preserve"> </w:t>
      </w:r>
      <w:r w:rsidRPr="00043DD8">
        <w:t xml:space="preserve">For a discussion of the 'real harm' test in the context of AAT proceedings, see </w:t>
      </w:r>
      <w:r w:rsidRPr="00043DD8">
        <w:rPr>
          <w:i/>
          <w:iCs/>
        </w:rPr>
        <w:t xml:space="preserve">Pascoe and Civil Aviation Safety Authority </w:t>
      </w:r>
      <w:hyperlink r:id="rId173" w:history="1">
        <w:r w:rsidRPr="00FD6609">
          <w:rPr>
            <w:rStyle w:val="Hyperlink"/>
            <w:color w:val="007BAB" w:themeColor="text2" w:themeTint="BF"/>
          </w:rPr>
          <w:t>[2018] AATA 1273</w:t>
        </w:r>
      </w:hyperlink>
      <w:r w:rsidRPr="00043DD8">
        <w:rPr>
          <w:i/>
          <w:iCs/>
        </w:rPr>
        <w:t xml:space="preserve"> </w:t>
      </w:r>
      <w:r w:rsidRPr="00043DD8">
        <w:t>[20]-[29].</w:t>
      </w:r>
    </w:p>
  </w:footnote>
  <w:footnote w:id="140">
    <w:p w14:paraId="1CA40E49" w14:textId="3F9B075F" w:rsidR="00FD59F8" w:rsidRDefault="00FD59F8" w:rsidP="00C23A30">
      <w:pPr>
        <w:pStyle w:val="FootnoteText"/>
        <w:tabs>
          <w:tab w:val="left" w:pos="284"/>
        </w:tabs>
      </w:pPr>
      <w:r>
        <w:rPr>
          <w:rStyle w:val="FootnoteReference"/>
        </w:rPr>
        <w:footnoteRef/>
      </w:r>
      <w:r>
        <w:t xml:space="preserve"> </w:t>
      </w:r>
      <w:r w:rsidR="00217F9C">
        <w:tab/>
      </w:r>
      <w:r w:rsidR="00217F9C">
        <w:rPr>
          <w:rFonts w:ascii="Source Sans Pro" w:hAnsi="Source Sans Pro"/>
          <w:i/>
          <w:iCs/>
          <w:color w:val="333333"/>
          <w:shd w:val="clear" w:color="auto" w:fill="FFFFFF"/>
        </w:rPr>
        <w:t>‘ADM’ and Services Australia (Freedom of information)</w:t>
      </w:r>
      <w:r w:rsidR="00217F9C">
        <w:rPr>
          <w:rFonts w:ascii="Source Sans Pro" w:hAnsi="Source Sans Pro"/>
          <w:color w:val="333333"/>
          <w:shd w:val="clear" w:color="auto" w:fill="FFFFFF"/>
        </w:rPr>
        <w:t> </w:t>
      </w:r>
      <w:hyperlink r:id="rId174" w:tooltip="View Case" w:history="1">
        <w:r w:rsidR="00217F9C">
          <w:rPr>
            <w:rStyle w:val="Hyperlink"/>
            <w:rFonts w:ascii="Source Sans Pro" w:hAnsi="Source Sans Pro"/>
            <w:color w:val="3796CC"/>
            <w:shd w:val="clear" w:color="auto" w:fill="FFFFFF"/>
          </w:rPr>
          <w:t>[2023] AICmr 38</w:t>
        </w:r>
      </w:hyperlink>
      <w:r w:rsidR="00217F9C">
        <w:rPr>
          <w:rFonts w:ascii="Source Sans Pro" w:hAnsi="Source Sans Pro"/>
          <w:color w:val="333333"/>
          <w:shd w:val="clear" w:color="auto" w:fill="FFFFFF"/>
        </w:rPr>
        <w:t xml:space="preserve"> [26].</w:t>
      </w:r>
    </w:p>
  </w:footnote>
  <w:footnote w:id="141">
    <w:p w14:paraId="45C556CB" w14:textId="565D3087" w:rsidR="00996118" w:rsidRPr="00996118" w:rsidRDefault="00996118" w:rsidP="00DD21E0">
      <w:pPr>
        <w:pStyle w:val="FootnoteText"/>
        <w:tabs>
          <w:tab w:val="left" w:pos="284"/>
        </w:tabs>
        <w:ind w:left="284" w:hanging="284"/>
      </w:pPr>
      <w:r>
        <w:rPr>
          <w:rStyle w:val="FootnoteReference"/>
        </w:rPr>
        <w:footnoteRef/>
      </w:r>
      <w:r>
        <w:t xml:space="preserve"> </w:t>
      </w:r>
      <w:r>
        <w:tab/>
      </w:r>
      <w:r w:rsidRPr="00996118">
        <w:t xml:space="preserve">Available on the OAIC website - </w:t>
      </w:r>
      <w:hyperlink r:id="rId175" w:history="1">
        <w:r w:rsidRPr="00996118">
          <w:rPr>
            <w:rStyle w:val="Hyperlink"/>
          </w:rPr>
          <w:t>Disclosure of public servant details in response to a freedom of information request | OAIC</w:t>
        </w:r>
      </w:hyperlink>
      <w:r w:rsidRPr="00996118">
        <w:t xml:space="preserve">. </w:t>
      </w:r>
    </w:p>
  </w:footnote>
  <w:footnote w:id="142">
    <w:p w14:paraId="573E4C30" w14:textId="3C2CC23C" w:rsidR="00946B48" w:rsidRPr="009278EA" w:rsidRDefault="00946B48" w:rsidP="00DD21E0">
      <w:pPr>
        <w:pStyle w:val="FootnoteText"/>
        <w:tabs>
          <w:tab w:val="left" w:pos="284"/>
        </w:tabs>
      </w:pPr>
      <w:r>
        <w:rPr>
          <w:rStyle w:val="FootnoteReference"/>
        </w:rPr>
        <w:footnoteRef/>
      </w:r>
      <w:r>
        <w:t xml:space="preserve"> </w:t>
      </w:r>
      <w:r w:rsidR="009278EA">
        <w:tab/>
      </w:r>
      <w:r w:rsidR="009278EA" w:rsidRPr="00DD21E0">
        <w:rPr>
          <w:rFonts w:ascii="Source Sans Pro" w:hAnsi="Source Sans Pro"/>
          <w:i/>
          <w:iCs/>
          <w:color w:val="333333"/>
          <w:shd w:val="clear" w:color="auto" w:fill="FFFFFF"/>
        </w:rPr>
        <w:t>Warren; Chief Executive Officer, Services Australia and (Freedom of information)</w:t>
      </w:r>
      <w:r w:rsidR="009278EA" w:rsidRPr="00DD21E0">
        <w:rPr>
          <w:rFonts w:ascii="Source Sans Pro" w:hAnsi="Source Sans Pro"/>
          <w:color w:val="333333"/>
          <w:shd w:val="clear" w:color="auto" w:fill="FFFFFF"/>
        </w:rPr>
        <w:t> </w:t>
      </w:r>
      <w:hyperlink r:id="rId176" w:tooltip="View Case" w:history="1">
        <w:r w:rsidR="009278EA" w:rsidRPr="00DD21E0">
          <w:rPr>
            <w:rStyle w:val="Hyperlink"/>
            <w:rFonts w:ascii="Source Sans Pro" w:hAnsi="Source Sans Pro"/>
            <w:color w:val="3796CC"/>
            <w:shd w:val="clear" w:color="auto" w:fill="FFFFFF"/>
          </w:rPr>
          <w:t>[2020] AATA 4557</w:t>
        </w:r>
      </w:hyperlink>
      <w:r w:rsidR="009278EA" w:rsidRPr="00DD21E0">
        <w:rPr>
          <w:rFonts w:ascii="Source Sans Pro" w:hAnsi="Source Sans Pro"/>
          <w:color w:val="333333"/>
          <w:shd w:val="clear" w:color="auto" w:fill="FFFFFF"/>
        </w:rPr>
        <w:t>  [115].</w:t>
      </w:r>
    </w:p>
  </w:footnote>
  <w:footnote w:id="143">
    <w:p w14:paraId="7738F02A" w14:textId="12CE2A27" w:rsidR="008103C3" w:rsidRPr="00644525" w:rsidRDefault="008103C3" w:rsidP="00DD21E0">
      <w:pPr>
        <w:pStyle w:val="FootnoteText"/>
        <w:tabs>
          <w:tab w:val="left" w:pos="284"/>
        </w:tabs>
        <w:ind w:left="284" w:hanging="284"/>
        <w:rPr>
          <w:szCs w:val="18"/>
        </w:rPr>
      </w:pPr>
      <w:r>
        <w:rPr>
          <w:rStyle w:val="FootnoteReference"/>
        </w:rPr>
        <w:footnoteRef/>
      </w:r>
      <w:r>
        <w:t xml:space="preserve"> </w:t>
      </w:r>
      <w:r>
        <w:tab/>
      </w:r>
      <w:r w:rsidR="007D30B0" w:rsidRPr="00DD21E0">
        <w:rPr>
          <w:color w:val="333333"/>
          <w:szCs w:val="18"/>
          <w:shd w:val="clear" w:color="auto" w:fill="FFFFFF"/>
        </w:rPr>
        <w:t>See for example,</w:t>
      </w:r>
      <w:r w:rsidR="007D30B0" w:rsidRPr="00644525">
        <w:rPr>
          <w:szCs w:val="18"/>
        </w:rPr>
        <w:t xml:space="preserve"> </w:t>
      </w:r>
      <w:r w:rsidR="003766A1" w:rsidRPr="00DD21E0">
        <w:rPr>
          <w:rFonts w:cs="Segoe UI"/>
          <w:i/>
          <w:iCs/>
          <w:color w:val="333333"/>
          <w:spacing w:val="0"/>
          <w:szCs w:val="18"/>
          <w:shd w:val="clear" w:color="auto" w:fill="FFFFFF"/>
        </w:rPr>
        <w:t>‘YO' and Department of Home Affairs (Freedom of Information)</w:t>
      </w:r>
      <w:r w:rsidR="003766A1" w:rsidRPr="00DD21E0">
        <w:rPr>
          <w:rFonts w:cs="Segoe UI"/>
          <w:color w:val="333333"/>
          <w:spacing w:val="0"/>
          <w:szCs w:val="18"/>
          <w:shd w:val="clear" w:color="auto" w:fill="FFFFFF"/>
        </w:rPr>
        <w:t> </w:t>
      </w:r>
      <w:hyperlink r:id="rId177" w:history="1">
        <w:r w:rsidR="003766A1" w:rsidRPr="00DD21E0">
          <w:rPr>
            <w:rStyle w:val="Hyperlink"/>
            <w:rFonts w:ascii="Source Sans Pro" w:hAnsi="Source Sans Pro"/>
            <w:color w:val="3796CC"/>
          </w:rPr>
          <w:t>[2021] AICmr 67</w:t>
        </w:r>
      </w:hyperlink>
      <w:r w:rsidR="003766A1" w:rsidRPr="00DD21E0">
        <w:rPr>
          <w:rFonts w:cs="Segoe UI"/>
          <w:spacing w:val="0"/>
          <w:szCs w:val="18"/>
        </w:rPr>
        <w:t xml:space="preserve">; </w:t>
      </w:r>
      <w:r w:rsidR="00B116B2" w:rsidRPr="00DD21E0">
        <w:rPr>
          <w:rFonts w:cs="Segoe UI"/>
          <w:i/>
          <w:iCs/>
          <w:color w:val="333333"/>
          <w:spacing w:val="0"/>
          <w:szCs w:val="18"/>
          <w:shd w:val="clear" w:color="auto" w:fill="FFFFFF"/>
        </w:rPr>
        <w:t>YQ’ and Airservices Australia (Freedom of Information) </w:t>
      </w:r>
      <w:hyperlink r:id="rId178" w:history="1">
        <w:r w:rsidR="00B116B2" w:rsidRPr="00DD21E0">
          <w:rPr>
            <w:rStyle w:val="Hyperlink"/>
            <w:color w:val="3796CC"/>
          </w:rPr>
          <w:t>[2021] AICmr 69</w:t>
        </w:r>
      </w:hyperlink>
      <w:r w:rsidR="00B116B2" w:rsidRPr="00DD21E0">
        <w:rPr>
          <w:rFonts w:cs="Segoe UI"/>
          <w:spacing w:val="0"/>
          <w:szCs w:val="18"/>
        </w:rPr>
        <w:t xml:space="preserve">; </w:t>
      </w:r>
      <w:r w:rsidR="00B116B2" w:rsidRPr="00DD21E0">
        <w:rPr>
          <w:rFonts w:cs="Segoe UI"/>
          <w:i/>
          <w:iCs/>
          <w:color w:val="333333"/>
          <w:spacing w:val="0"/>
          <w:szCs w:val="18"/>
          <w:shd w:val="clear" w:color="auto" w:fill="FFFFFF"/>
        </w:rPr>
        <w:t>Lisa Cox and Department of Agriculture, Water and the Environment (Freedom of information)</w:t>
      </w:r>
      <w:r w:rsidR="00B116B2" w:rsidRPr="00DD21E0">
        <w:rPr>
          <w:rFonts w:cs="Segoe UI"/>
          <w:color w:val="333333"/>
          <w:spacing w:val="0"/>
          <w:szCs w:val="18"/>
          <w:shd w:val="clear" w:color="auto" w:fill="FFFFFF"/>
        </w:rPr>
        <w:t> </w:t>
      </w:r>
      <w:hyperlink r:id="rId179" w:history="1">
        <w:r w:rsidR="00B116B2" w:rsidRPr="00DD21E0">
          <w:rPr>
            <w:rStyle w:val="Hyperlink"/>
            <w:color w:val="3796CC"/>
          </w:rPr>
          <w:t>[2021] AICmr 72</w:t>
        </w:r>
      </w:hyperlink>
      <w:r w:rsidR="00B116B2" w:rsidRPr="00DD21E0">
        <w:rPr>
          <w:rFonts w:cs="Segoe UI"/>
          <w:spacing w:val="0"/>
          <w:szCs w:val="18"/>
        </w:rPr>
        <w:t xml:space="preserve">; </w:t>
      </w:r>
      <w:r w:rsidR="00B116B2" w:rsidRPr="00DD21E0">
        <w:rPr>
          <w:rFonts w:cs="Segoe UI"/>
          <w:i/>
          <w:iCs/>
          <w:color w:val="333333"/>
          <w:spacing w:val="0"/>
          <w:szCs w:val="18"/>
          <w:shd w:val="clear" w:color="auto" w:fill="FFFFFF"/>
        </w:rPr>
        <w:t>Ben Butler and Australian Prudential Regulation Authority (Freedom of information)</w:t>
      </w:r>
      <w:r w:rsidR="00B116B2" w:rsidRPr="00DD21E0">
        <w:rPr>
          <w:rFonts w:cs="Segoe UI"/>
          <w:color w:val="333333"/>
          <w:spacing w:val="0"/>
          <w:szCs w:val="18"/>
          <w:shd w:val="clear" w:color="auto" w:fill="FFFFFF"/>
        </w:rPr>
        <w:t> </w:t>
      </w:r>
      <w:hyperlink r:id="rId180" w:history="1">
        <w:r w:rsidR="00B116B2" w:rsidRPr="00DD21E0">
          <w:rPr>
            <w:rStyle w:val="Hyperlink"/>
            <w:color w:val="3796CC"/>
          </w:rPr>
          <w:t>[2022] AICmr 34</w:t>
        </w:r>
      </w:hyperlink>
      <w:r w:rsidR="00B116B2" w:rsidRPr="00DD21E0">
        <w:rPr>
          <w:rFonts w:cs="Segoe UI"/>
          <w:spacing w:val="0"/>
          <w:szCs w:val="18"/>
        </w:rPr>
        <w:t xml:space="preserve">; </w:t>
      </w:r>
      <w:r w:rsidR="00B116B2" w:rsidRPr="00DD21E0">
        <w:rPr>
          <w:rFonts w:cs="Segoe UI"/>
          <w:i/>
          <w:iCs/>
          <w:color w:val="333333"/>
          <w:spacing w:val="0"/>
          <w:szCs w:val="18"/>
          <w:shd w:val="clear" w:color="auto" w:fill="FFFFFF"/>
        </w:rPr>
        <w:t>ABK’ and Commonwealth Ombudsman</w:t>
      </w:r>
      <w:r w:rsidR="00B116B2" w:rsidRPr="00DD21E0">
        <w:rPr>
          <w:rFonts w:cs="Segoe UI"/>
          <w:color w:val="333333"/>
          <w:spacing w:val="0"/>
          <w:szCs w:val="18"/>
          <w:shd w:val="clear" w:color="auto" w:fill="FFFFFF"/>
        </w:rPr>
        <w:t> </w:t>
      </w:r>
      <w:hyperlink r:id="rId181" w:history="1">
        <w:r w:rsidR="00B116B2" w:rsidRPr="00DD21E0">
          <w:rPr>
            <w:rStyle w:val="Hyperlink"/>
            <w:color w:val="3796CC"/>
          </w:rPr>
          <w:t>[2022] AICmr 44</w:t>
        </w:r>
      </w:hyperlink>
      <w:r w:rsidR="00FD5359">
        <w:rPr>
          <w:rFonts w:cs="Segoe UI"/>
          <w:color w:val="333333"/>
          <w:spacing w:val="0"/>
          <w:szCs w:val="18"/>
          <w:shd w:val="clear" w:color="auto" w:fill="FFFFFF"/>
        </w:rPr>
        <w:t xml:space="preserve">; </w:t>
      </w:r>
      <w:r w:rsidR="007D30B0" w:rsidRPr="00644525">
        <w:rPr>
          <w:szCs w:val="18"/>
        </w:rPr>
        <w:t>‘</w:t>
      </w:r>
      <w:r w:rsidR="007D30B0" w:rsidRPr="00DD21E0">
        <w:rPr>
          <w:i/>
          <w:iCs/>
          <w:color w:val="333333"/>
          <w:szCs w:val="18"/>
          <w:shd w:val="clear" w:color="auto" w:fill="FFFFFF"/>
        </w:rPr>
        <w:t>ADM’ and Services Australia (Freedom of information)</w:t>
      </w:r>
      <w:r w:rsidR="007D30B0" w:rsidRPr="00DD21E0">
        <w:rPr>
          <w:color w:val="333333"/>
          <w:szCs w:val="18"/>
          <w:shd w:val="clear" w:color="auto" w:fill="FFFFFF"/>
        </w:rPr>
        <w:t> </w:t>
      </w:r>
      <w:hyperlink r:id="rId182" w:tooltip="View Case" w:history="1">
        <w:r w:rsidR="007D30B0" w:rsidRPr="00DD21E0">
          <w:rPr>
            <w:rStyle w:val="Hyperlink"/>
            <w:color w:val="3796CC"/>
            <w:szCs w:val="18"/>
            <w:shd w:val="clear" w:color="auto" w:fill="FFFFFF"/>
          </w:rPr>
          <w:t>[2023] AICmr 38</w:t>
        </w:r>
      </w:hyperlink>
      <w:r w:rsidR="007D30B0" w:rsidRPr="00644525">
        <w:rPr>
          <w:szCs w:val="18"/>
        </w:rPr>
        <w:t>.</w:t>
      </w:r>
    </w:p>
  </w:footnote>
  <w:footnote w:id="144">
    <w:p w14:paraId="7AE85B9B" w14:textId="7372DCBA"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C30109">
        <w:rPr>
          <w:i/>
          <w:iCs/>
        </w:rPr>
        <w:t>Maurice Blackburn Lawyers and Department of Immigration and Border Protection</w:t>
      </w:r>
      <w:r w:rsidRPr="0043786E">
        <w:t xml:space="preserve"> </w:t>
      </w:r>
      <w:hyperlink r:id="rId183" w:history="1">
        <w:r w:rsidRPr="00FD6609">
          <w:rPr>
            <w:rStyle w:val="Hyperlink"/>
            <w:color w:val="007BAB" w:themeColor="text2" w:themeTint="BF"/>
          </w:rPr>
          <w:t>[2015] AICmr 85</w:t>
        </w:r>
      </w:hyperlink>
      <w:r w:rsidRPr="0043786E">
        <w:t xml:space="preserve"> [3].</w:t>
      </w:r>
    </w:p>
  </w:footnote>
  <w:footnote w:id="145">
    <w:p w14:paraId="2C276D0D" w14:textId="2EE9516E"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500895">
        <w:rPr>
          <w:i/>
          <w:iCs/>
        </w:rPr>
        <w:t>‘BA’ and Merit Protection Commissioner</w:t>
      </w:r>
      <w:r w:rsidRPr="0043786E">
        <w:t xml:space="preserve"> </w:t>
      </w:r>
      <w:hyperlink r:id="rId184" w:history="1">
        <w:r w:rsidRPr="00FD6609">
          <w:rPr>
            <w:rStyle w:val="Hyperlink"/>
            <w:color w:val="007BAB" w:themeColor="text2" w:themeTint="BF"/>
          </w:rPr>
          <w:t>[2014] AICmr 9</w:t>
        </w:r>
      </w:hyperlink>
      <w:r w:rsidR="0039130E">
        <w:rPr>
          <w:color w:val="007BAB" w:themeColor="text2" w:themeTint="BF"/>
        </w:rPr>
        <w:t xml:space="preserve"> [2]</w:t>
      </w:r>
      <w:r w:rsidR="00277F4B">
        <w:rPr>
          <w:color w:val="007BAB" w:themeColor="text2" w:themeTint="BF"/>
        </w:rPr>
        <w:t>, [89]</w:t>
      </w:r>
      <w:r w:rsidRPr="0043786E">
        <w:t>.</w:t>
      </w:r>
    </w:p>
  </w:footnote>
  <w:footnote w:id="146">
    <w:p w14:paraId="7F8F57D9" w14:textId="188AC7F4"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500895">
        <w:rPr>
          <w:i/>
          <w:iCs/>
        </w:rPr>
        <w:t>‘BA’ and Merit Protection Commissioner</w:t>
      </w:r>
      <w:r w:rsidRPr="0043786E">
        <w:t xml:space="preserve"> </w:t>
      </w:r>
      <w:hyperlink r:id="rId185" w:history="1">
        <w:r w:rsidRPr="00FD6609">
          <w:rPr>
            <w:rStyle w:val="Hyperlink"/>
            <w:color w:val="007BAB" w:themeColor="text2" w:themeTint="BF"/>
          </w:rPr>
          <w:t>[2014] AICmr 9</w:t>
        </w:r>
      </w:hyperlink>
      <w:r w:rsidRPr="0043786E">
        <w:t xml:space="preserve"> [66].</w:t>
      </w:r>
    </w:p>
  </w:footnote>
  <w:footnote w:id="147">
    <w:p w14:paraId="095CEFCD" w14:textId="40AD0B10" w:rsidR="005C3EF9" w:rsidRDefault="005C3EF9" w:rsidP="00C23A30">
      <w:pPr>
        <w:pStyle w:val="FootnoteText"/>
        <w:tabs>
          <w:tab w:val="left" w:pos="284"/>
        </w:tabs>
        <w:ind w:left="284" w:hanging="284"/>
      </w:pPr>
      <w:r>
        <w:rPr>
          <w:rStyle w:val="FootnoteReference"/>
        </w:rPr>
        <w:footnoteRef/>
      </w:r>
      <w:r>
        <w:t xml:space="preserve"> </w:t>
      </w:r>
      <w:r>
        <w:tab/>
        <w:t xml:space="preserve">See ‘Circular 2016/2: Use and disclosure of employee information’ on the Australian Public Service Commissioner website www.apsc.gov.au. </w:t>
      </w:r>
    </w:p>
  </w:footnote>
  <w:footnote w:id="148">
    <w:p w14:paraId="30645737" w14:textId="77777777" w:rsidR="003A04ED" w:rsidRDefault="003A04ED" w:rsidP="003A04ED">
      <w:pPr>
        <w:pStyle w:val="FootnoteText"/>
        <w:tabs>
          <w:tab w:val="left" w:pos="284"/>
        </w:tabs>
        <w:ind w:left="284" w:hanging="284"/>
      </w:pPr>
      <w:r>
        <w:rPr>
          <w:rStyle w:val="FootnoteReference"/>
        </w:rPr>
        <w:footnoteRef/>
      </w:r>
      <w:r>
        <w:t xml:space="preserve"> </w:t>
      </w:r>
      <w:r>
        <w:tab/>
      </w:r>
      <w:r w:rsidRPr="00C01C63">
        <w:rPr>
          <w:i/>
          <w:iCs/>
        </w:rPr>
        <w:t>D</w:t>
      </w:r>
      <w:r w:rsidRPr="00C01C63">
        <w:rPr>
          <w:rFonts w:ascii="Source Sans Pro" w:hAnsi="Source Sans Pro"/>
          <w:i/>
          <w:iCs/>
          <w:color w:val="333333"/>
          <w:shd w:val="clear" w:color="auto" w:fill="FFFFFF"/>
        </w:rPr>
        <w:t>reyfus and Attorney-General (Commonwealth of Australia) (Freedom of information)</w:t>
      </w:r>
      <w:r>
        <w:rPr>
          <w:rFonts w:ascii="Source Sans Pro" w:hAnsi="Source Sans Pro"/>
          <w:color w:val="333333"/>
          <w:shd w:val="clear" w:color="auto" w:fill="FFFFFF"/>
        </w:rPr>
        <w:t xml:space="preserve"> </w:t>
      </w:r>
      <w:hyperlink r:id="rId186" w:tooltip="View Case" w:history="1">
        <w:r w:rsidRPr="00C01C63">
          <w:rPr>
            <w:rStyle w:val="Hyperlink"/>
            <w:rFonts w:ascii="Source Sans Pro" w:hAnsi="Source Sans Pro"/>
            <w:color w:val="3796CC"/>
          </w:rPr>
          <w:t>[2015] AATA 995</w:t>
        </w:r>
      </w:hyperlink>
      <w:r>
        <w:rPr>
          <w:rFonts w:ascii="Source Sans Pro" w:hAnsi="Source Sans Pro"/>
          <w:color w:val="333333"/>
          <w:shd w:val="clear" w:color="auto" w:fill="FFFFFF"/>
        </w:rPr>
        <w:t xml:space="preserve"> [37] and [40]. The AAT’s decision was upheld by the Federal Court in </w:t>
      </w:r>
      <w:r w:rsidRPr="00F45F5C">
        <w:rPr>
          <w:i/>
          <w:iCs/>
        </w:rPr>
        <w:t>Attorney-General v Honourable Mark Dreyfus</w:t>
      </w:r>
      <w:r w:rsidRPr="00172740">
        <w:t xml:space="preserve"> </w:t>
      </w:r>
      <w:hyperlink r:id="rId187" w:history="1">
        <w:r w:rsidRPr="00FD6609">
          <w:rPr>
            <w:rStyle w:val="Hyperlink"/>
            <w:color w:val="007BAB" w:themeColor="text2" w:themeTint="BF"/>
          </w:rPr>
          <w:t>[2016] FCAFC 119</w:t>
        </w:r>
      </w:hyperlink>
      <w:r w:rsidRPr="00172740">
        <w:t>.</w:t>
      </w:r>
    </w:p>
  </w:footnote>
  <w:footnote w:id="149">
    <w:p w14:paraId="0683845A" w14:textId="77777777" w:rsidR="004A1116" w:rsidRDefault="004A1116" w:rsidP="004A1116">
      <w:pPr>
        <w:pStyle w:val="FootnoteText"/>
        <w:tabs>
          <w:tab w:val="left" w:pos="284"/>
        </w:tabs>
        <w:ind w:left="284" w:hanging="284"/>
      </w:pPr>
      <w:r>
        <w:rPr>
          <w:rStyle w:val="FootnoteReference"/>
        </w:rPr>
        <w:footnoteRef/>
      </w:r>
      <w:r>
        <w:t xml:space="preserve"> </w:t>
      </w:r>
      <w:r>
        <w:tab/>
        <w:t xml:space="preserve">See for example, </w:t>
      </w:r>
      <w:r>
        <w:rPr>
          <w:rFonts w:ascii="Source Sans Pro" w:hAnsi="Source Sans Pro"/>
          <w:i/>
          <w:iCs/>
          <w:color w:val="333333"/>
          <w:shd w:val="clear" w:color="auto" w:fill="FFFFFF"/>
        </w:rPr>
        <w:t>Ray Brown and Department of Immigration and Border Protection</w:t>
      </w:r>
      <w:r>
        <w:rPr>
          <w:rFonts w:ascii="Source Sans Pro" w:hAnsi="Source Sans Pro"/>
          <w:color w:val="333333"/>
          <w:shd w:val="clear" w:color="auto" w:fill="FFFFFF"/>
        </w:rPr>
        <w:t> </w:t>
      </w:r>
      <w:hyperlink r:id="rId188" w:tooltip="View Case" w:history="1">
        <w:r>
          <w:rPr>
            <w:rStyle w:val="Hyperlink"/>
            <w:rFonts w:ascii="Source Sans Pro" w:hAnsi="Source Sans Pro"/>
            <w:color w:val="3796CC"/>
            <w:shd w:val="clear" w:color="auto" w:fill="FFFFFF"/>
          </w:rPr>
          <w:t>[2014] AICmr 146</w:t>
        </w:r>
      </w:hyperlink>
      <w:r>
        <w:t xml:space="preserve"> in which the Acting Information Commissioner found that it would not be reasonably practicable for the Department to consult </w:t>
      </w:r>
      <w:r>
        <w:rPr>
          <w:rFonts w:ascii="Source Sans Pro" w:hAnsi="Source Sans Pro"/>
          <w:color w:val="333333"/>
          <w:shd w:val="clear" w:color="auto" w:fill="FFFFFF"/>
        </w:rPr>
        <w:t>(for the purposes of s 27A(4)) 526 staff members because of the time and resources involved and the type of personal information contained in the document (although ultimately the Acting Information Commissioner decided that the Department could decide to give access to the document without providing staff a reasonable opportunity to make submissions under s 27A).</w:t>
      </w:r>
      <w:r>
        <w:t xml:space="preserve"> In </w:t>
      </w:r>
      <w:r>
        <w:rPr>
          <w:rFonts w:ascii="Source Sans Pro" w:hAnsi="Source Sans Pro"/>
          <w:i/>
          <w:iCs/>
          <w:color w:val="333333"/>
          <w:shd w:val="clear" w:color="auto" w:fill="FFFFFF"/>
        </w:rPr>
        <w:t>Stefania Maurizi and Department of Foreign Affairs and Trade (Freedom of information)</w:t>
      </w:r>
      <w:r>
        <w:rPr>
          <w:rFonts w:ascii="Source Sans Pro" w:hAnsi="Source Sans Pro"/>
          <w:color w:val="333333"/>
          <w:shd w:val="clear" w:color="auto" w:fill="FFFFFF"/>
        </w:rPr>
        <w:t> </w:t>
      </w:r>
      <w:hyperlink r:id="rId189" w:tooltip="View Case" w:history="1">
        <w:r>
          <w:rPr>
            <w:rStyle w:val="Hyperlink"/>
            <w:rFonts w:ascii="Source Sans Pro" w:hAnsi="Source Sans Pro"/>
            <w:color w:val="3796CC"/>
            <w:shd w:val="clear" w:color="auto" w:fill="FFFFFF"/>
          </w:rPr>
          <w:t>[2021] AICmr 31</w:t>
        </w:r>
      </w:hyperlink>
      <w:r>
        <w:rPr>
          <w:rFonts w:ascii="Source Sans Pro" w:hAnsi="Source Sans Pro"/>
          <w:color w:val="333333"/>
          <w:shd w:val="clear" w:color="auto" w:fill="FFFFFF"/>
        </w:rPr>
        <w:t>  [59] the Information Commissioner found that consultation would not be reasonably practicable to undertake because of the unique personal circumstances of the third party and the fact that consultation may have revealed confidential discussions between Australia and foreign governments.</w:t>
      </w:r>
    </w:p>
  </w:footnote>
  <w:footnote w:id="150">
    <w:p w14:paraId="26A0C813" w14:textId="0B79D02B" w:rsidR="002075A4" w:rsidRDefault="002075A4" w:rsidP="00726965">
      <w:pPr>
        <w:pStyle w:val="FootnoteText"/>
        <w:tabs>
          <w:tab w:val="left" w:pos="284"/>
        </w:tabs>
        <w:ind w:left="284" w:hanging="284"/>
      </w:pPr>
      <w:r>
        <w:rPr>
          <w:rStyle w:val="FootnoteReference"/>
        </w:rPr>
        <w:footnoteRef/>
      </w:r>
      <w:r>
        <w:t xml:space="preserve"> </w:t>
      </w:r>
      <w:r w:rsidR="00FE63E7">
        <w:tab/>
      </w:r>
      <w:r w:rsidR="00FE63E7">
        <w:rPr>
          <w:rFonts w:ascii="Source Sans Pro" w:hAnsi="Source Sans Pro"/>
          <w:i/>
          <w:iCs/>
          <w:color w:val="333333"/>
          <w:shd w:val="clear" w:color="auto" w:fill="FFFFFF"/>
        </w:rPr>
        <w:t>Ben Butler and the Australian Securities and Investments Commission (No. 2) (Freedom of Information)</w:t>
      </w:r>
      <w:r w:rsidR="00FE63E7">
        <w:rPr>
          <w:rFonts w:ascii="Source Sans Pro" w:hAnsi="Source Sans Pro"/>
          <w:color w:val="333333"/>
          <w:shd w:val="clear" w:color="auto" w:fill="FFFFFF"/>
        </w:rPr>
        <w:t> </w:t>
      </w:r>
      <w:hyperlink r:id="rId190" w:tooltip="View Case" w:history="1">
        <w:r w:rsidR="00FE63E7">
          <w:rPr>
            <w:rStyle w:val="Hyperlink"/>
            <w:rFonts w:ascii="Source Sans Pro" w:hAnsi="Source Sans Pro"/>
            <w:color w:val="3796CC"/>
            <w:shd w:val="clear" w:color="auto" w:fill="FFFFFF"/>
          </w:rPr>
          <w:t>[2023] AICmr 56</w:t>
        </w:r>
      </w:hyperlink>
      <w:r w:rsidR="00FE63E7">
        <w:rPr>
          <w:rFonts w:ascii="Source Sans Pro" w:hAnsi="Source Sans Pro"/>
          <w:color w:val="333333"/>
          <w:shd w:val="clear" w:color="auto" w:fill="FFFFFF"/>
        </w:rPr>
        <w:t>  [104].</w:t>
      </w:r>
    </w:p>
  </w:footnote>
  <w:footnote w:id="151">
    <w:p w14:paraId="6439A580" w14:textId="142018D9" w:rsidR="007E536D" w:rsidRDefault="007E536D" w:rsidP="00BA1702">
      <w:pPr>
        <w:pStyle w:val="FootnoteText"/>
        <w:tabs>
          <w:tab w:val="left" w:pos="284"/>
        </w:tabs>
        <w:ind w:left="284" w:hanging="284"/>
      </w:pPr>
      <w:r>
        <w:rPr>
          <w:rStyle w:val="FootnoteReference"/>
        </w:rPr>
        <w:footnoteRef/>
      </w:r>
      <w:r>
        <w:t xml:space="preserve"> </w:t>
      </w:r>
      <w:r>
        <w:tab/>
        <w:t xml:space="preserve">For example in </w:t>
      </w:r>
      <w:r w:rsidR="00943157">
        <w:rPr>
          <w:rFonts w:ascii="Source Sans Pro" w:hAnsi="Source Sans Pro"/>
          <w:i/>
          <w:iCs/>
          <w:color w:val="333333"/>
          <w:shd w:val="clear" w:color="auto" w:fill="FFFFFF"/>
        </w:rPr>
        <w:t>ADW’ and Department of Health and Aged Care</w:t>
      </w:r>
      <w:r w:rsidR="00943157">
        <w:rPr>
          <w:rFonts w:ascii="Source Sans Pro" w:hAnsi="Source Sans Pro"/>
          <w:b/>
          <w:bCs/>
          <w:i/>
          <w:iCs/>
          <w:color w:val="333333"/>
          <w:shd w:val="clear" w:color="auto" w:fill="FFFFFF"/>
        </w:rPr>
        <w:t> </w:t>
      </w:r>
      <w:r w:rsidR="00943157">
        <w:rPr>
          <w:rFonts w:ascii="Source Sans Pro" w:hAnsi="Source Sans Pro"/>
          <w:i/>
          <w:iCs/>
          <w:color w:val="333333"/>
          <w:shd w:val="clear" w:color="auto" w:fill="FFFFFF"/>
        </w:rPr>
        <w:t>(Freedom of information)</w:t>
      </w:r>
      <w:r w:rsidR="00943157">
        <w:rPr>
          <w:rFonts w:ascii="Source Sans Pro" w:hAnsi="Source Sans Pro"/>
          <w:color w:val="333333"/>
          <w:shd w:val="clear" w:color="auto" w:fill="FFFFFF"/>
        </w:rPr>
        <w:t> </w:t>
      </w:r>
      <w:hyperlink r:id="rId191" w:tooltip="View Case" w:history="1">
        <w:r w:rsidR="00943157">
          <w:rPr>
            <w:rStyle w:val="Hyperlink"/>
            <w:rFonts w:ascii="Source Sans Pro" w:hAnsi="Source Sans Pro"/>
            <w:color w:val="3796CC"/>
            <w:shd w:val="clear" w:color="auto" w:fill="FFFFFF"/>
          </w:rPr>
          <w:t>[2023] AICmr 59</w:t>
        </w:r>
      </w:hyperlink>
      <w:r w:rsidR="00943157">
        <w:t xml:space="preserve"> </w:t>
      </w:r>
      <w:r w:rsidR="00955778">
        <w:t>[</w:t>
      </w:r>
      <w:r w:rsidR="00433904">
        <w:t>47</w:t>
      </w:r>
      <w:r w:rsidR="00955778">
        <w:t xml:space="preserve">] </w:t>
      </w:r>
      <w:r w:rsidR="00943157">
        <w:t xml:space="preserve">the </w:t>
      </w:r>
      <w:r w:rsidR="00C539E6">
        <w:t>A</w:t>
      </w:r>
      <w:r w:rsidR="00943157">
        <w:t xml:space="preserve">cting </w:t>
      </w:r>
      <w:r w:rsidR="00C539E6">
        <w:t>Freedom of Information Commissioner considered th</w:t>
      </w:r>
      <w:r w:rsidR="006F2AA3">
        <w:t xml:space="preserve">at disclosure of </w:t>
      </w:r>
      <w:r w:rsidR="00955778">
        <w:t xml:space="preserve">health information, which is </w:t>
      </w:r>
      <w:r w:rsidR="00955778">
        <w:rPr>
          <w:rFonts w:ascii="Source Sans Pro" w:hAnsi="Source Sans Pro"/>
          <w:color w:val="333333"/>
          <w:shd w:val="clear" w:color="auto" w:fill="FFFFFF"/>
        </w:rPr>
        <w:t>sensitive information for the purposes of s 6 of the Privacy Act</w:t>
      </w:r>
      <w:r w:rsidR="00F25E9C">
        <w:rPr>
          <w:rFonts w:ascii="Source Sans Pro" w:hAnsi="Source Sans Pro"/>
          <w:color w:val="333333"/>
          <w:shd w:val="clear" w:color="auto" w:fill="FFFFFF"/>
        </w:rPr>
        <w:t>,</w:t>
      </w:r>
      <w:r w:rsidR="00955778">
        <w:rPr>
          <w:rFonts w:ascii="Source Sans Pro" w:hAnsi="Source Sans Pro"/>
          <w:color w:val="333333"/>
          <w:shd w:val="clear" w:color="auto" w:fill="FFFFFF"/>
        </w:rPr>
        <w:t xml:space="preserve"> would be unreasonable in circumstances in which the relevant individuals had not been consulted. </w:t>
      </w:r>
      <w:r w:rsidR="00C22683">
        <w:rPr>
          <w:rFonts w:ascii="Source Sans Pro" w:hAnsi="Source Sans Pro"/>
          <w:color w:val="333333"/>
          <w:shd w:val="clear" w:color="auto" w:fill="FFFFFF"/>
        </w:rPr>
        <w:t>Similarly</w:t>
      </w:r>
      <w:r w:rsidR="00007056">
        <w:rPr>
          <w:rFonts w:ascii="Source Sans Pro" w:hAnsi="Source Sans Pro"/>
          <w:color w:val="333333"/>
          <w:shd w:val="clear" w:color="auto" w:fill="FFFFFF"/>
        </w:rPr>
        <w:t>,</w:t>
      </w:r>
      <w:r w:rsidR="00C22683">
        <w:rPr>
          <w:rFonts w:ascii="Source Sans Pro" w:hAnsi="Source Sans Pro"/>
          <w:color w:val="333333"/>
          <w:shd w:val="clear" w:color="auto" w:fill="FFFFFF"/>
        </w:rPr>
        <w:t xml:space="preserve"> in </w:t>
      </w:r>
      <w:r w:rsidR="00C22683">
        <w:rPr>
          <w:rFonts w:ascii="Source Sans Pro" w:hAnsi="Source Sans Pro"/>
          <w:i/>
          <w:iCs/>
          <w:color w:val="333333"/>
          <w:shd w:val="clear" w:color="auto" w:fill="FFFFFF"/>
        </w:rPr>
        <w:t>‘ADV’ and Department of Home Affairs (Freedom of information)</w:t>
      </w:r>
      <w:r w:rsidR="00C22683">
        <w:rPr>
          <w:rFonts w:ascii="Source Sans Pro" w:hAnsi="Source Sans Pro"/>
          <w:color w:val="333333"/>
          <w:shd w:val="clear" w:color="auto" w:fill="FFFFFF"/>
        </w:rPr>
        <w:t> </w:t>
      </w:r>
      <w:hyperlink r:id="rId192" w:tooltip="View Case" w:history="1">
        <w:r w:rsidR="00C22683">
          <w:rPr>
            <w:rStyle w:val="Hyperlink"/>
            <w:rFonts w:ascii="Source Sans Pro" w:hAnsi="Source Sans Pro"/>
            <w:color w:val="3796CC"/>
            <w:shd w:val="clear" w:color="auto" w:fill="FFFFFF"/>
          </w:rPr>
          <w:t>[2023] AICmr 58</w:t>
        </w:r>
      </w:hyperlink>
      <w:r w:rsidR="00007056">
        <w:rPr>
          <w:rFonts w:ascii="Source Sans Pro" w:hAnsi="Source Sans Pro"/>
          <w:color w:val="333333"/>
          <w:shd w:val="clear" w:color="auto" w:fill="FFFFFF"/>
        </w:rPr>
        <w:t xml:space="preserve"> [88] </w:t>
      </w:r>
      <w:r w:rsidR="00C22683">
        <w:rPr>
          <w:rFonts w:ascii="Source Sans Pro" w:hAnsi="Source Sans Pro"/>
          <w:color w:val="333333"/>
          <w:shd w:val="clear" w:color="auto" w:fill="FFFFFF"/>
        </w:rPr>
        <w:t>the Acting Information Commissioner considered that</w:t>
      </w:r>
      <w:r w:rsidR="00543781">
        <w:rPr>
          <w:rFonts w:ascii="Source Sans Pro" w:hAnsi="Source Sans Pro"/>
          <w:color w:val="333333"/>
          <w:shd w:val="clear" w:color="auto" w:fill="FFFFFF"/>
        </w:rPr>
        <w:t xml:space="preserve"> </w:t>
      </w:r>
      <w:r w:rsidR="00007056">
        <w:rPr>
          <w:rFonts w:ascii="Source Sans Pro" w:hAnsi="Source Sans Pro"/>
          <w:color w:val="333333"/>
          <w:shd w:val="clear" w:color="auto" w:fill="FFFFFF"/>
        </w:rPr>
        <w:t xml:space="preserve">a </w:t>
      </w:r>
      <w:r w:rsidR="00543781">
        <w:rPr>
          <w:rFonts w:ascii="Source Sans Pro" w:hAnsi="Source Sans Pro"/>
          <w:color w:val="333333"/>
          <w:shd w:val="clear" w:color="auto" w:fill="FFFFFF"/>
        </w:rPr>
        <w:t>third party would likely oppose disclosure</w:t>
      </w:r>
      <w:r w:rsidR="00C22683">
        <w:rPr>
          <w:rFonts w:ascii="Source Sans Pro" w:hAnsi="Source Sans Pro"/>
          <w:color w:val="333333"/>
          <w:shd w:val="clear" w:color="auto" w:fill="FFFFFF"/>
        </w:rPr>
        <w:t xml:space="preserve"> of sensitive person</w:t>
      </w:r>
      <w:r w:rsidR="00543781">
        <w:rPr>
          <w:rFonts w:ascii="Source Sans Pro" w:hAnsi="Source Sans Pro"/>
          <w:color w:val="333333"/>
          <w:shd w:val="clear" w:color="auto" w:fill="FFFFFF"/>
        </w:rPr>
        <w:t>al</w:t>
      </w:r>
      <w:r w:rsidR="00C22683">
        <w:rPr>
          <w:rFonts w:ascii="Source Sans Pro" w:hAnsi="Source Sans Pro"/>
          <w:color w:val="333333"/>
          <w:shd w:val="clear" w:color="auto" w:fill="FFFFFF"/>
        </w:rPr>
        <w:t xml:space="preserve"> information</w:t>
      </w:r>
      <w:r w:rsidR="00543781">
        <w:rPr>
          <w:rFonts w:ascii="Source Sans Pro" w:hAnsi="Source Sans Pro"/>
          <w:color w:val="333333"/>
          <w:shd w:val="clear" w:color="auto" w:fill="FFFFFF"/>
        </w:rPr>
        <w:t xml:space="preserve"> in circumstances in which the</w:t>
      </w:r>
      <w:r w:rsidR="001A16C8">
        <w:rPr>
          <w:rFonts w:ascii="Source Sans Pro" w:hAnsi="Source Sans Pro"/>
          <w:color w:val="333333"/>
          <w:shd w:val="clear" w:color="auto" w:fill="FFFFFF"/>
        </w:rPr>
        <w:t>y</w:t>
      </w:r>
      <w:r w:rsidR="00543781">
        <w:rPr>
          <w:rFonts w:ascii="Source Sans Pro" w:hAnsi="Source Sans Pro"/>
          <w:color w:val="333333"/>
          <w:shd w:val="clear" w:color="auto" w:fill="FFFFFF"/>
        </w:rPr>
        <w:t xml:space="preserve"> had not been consulted. </w:t>
      </w:r>
    </w:p>
  </w:footnote>
  <w:footnote w:id="152">
    <w:p w14:paraId="392A0EA7" w14:textId="1F25A333"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 xml:space="preserve">As the </w:t>
      </w:r>
      <w:r w:rsidR="00571BEA">
        <w:t xml:space="preserve">Acting Information </w:t>
      </w:r>
      <w:r w:rsidRPr="0043786E">
        <w:t xml:space="preserve">Commissioner found in </w:t>
      </w:r>
      <w:r w:rsidRPr="005578A0">
        <w:rPr>
          <w:i/>
          <w:iCs/>
        </w:rPr>
        <w:t>Maria Jockel and Department of Immigration and Border Protection</w:t>
      </w:r>
      <w:r w:rsidRPr="0043786E">
        <w:t xml:space="preserve"> </w:t>
      </w:r>
      <w:hyperlink r:id="rId193" w:history="1">
        <w:r w:rsidRPr="00FD6609">
          <w:rPr>
            <w:rStyle w:val="Hyperlink"/>
            <w:color w:val="007BAB" w:themeColor="text2" w:themeTint="BF"/>
          </w:rPr>
          <w:t>[2015] AICmr 70</w:t>
        </w:r>
      </w:hyperlink>
      <w:r w:rsidRPr="0043786E">
        <w:t xml:space="preserve"> [36].</w:t>
      </w:r>
    </w:p>
  </w:footnote>
  <w:footnote w:id="153">
    <w:p w14:paraId="09C77A15" w14:textId="4152E32A" w:rsidR="003F1F7D" w:rsidRDefault="003F1F7D" w:rsidP="00380530">
      <w:pPr>
        <w:pStyle w:val="FootnoteText"/>
        <w:tabs>
          <w:tab w:val="left" w:pos="284"/>
        </w:tabs>
        <w:ind w:left="284" w:hanging="284"/>
      </w:pPr>
      <w:r>
        <w:rPr>
          <w:rStyle w:val="FootnoteReference"/>
        </w:rPr>
        <w:footnoteRef/>
      </w:r>
      <w:r>
        <w:t xml:space="preserve"> </w:t>
      </w:r>
      <w:r w:rsidR="00380530">
        <w:tab/>
      </w:r>
      <w:r w:rsidRPr="003F1F7D">
        <w:t>For more information about an agency’s obligations regarding the disclosure of personal information, see the Guidelines to the Australian Privacy Principles at www.oaic.gov.au.</w:t>
      </w:r>
    </w:p>
  </w:footnote>
  <w:footnote w:id="154">
    <w:p w14:paraId="1D80E906" w14:textId="0AB0CDA6" w:rsidR="00F85EF4" w:rsidRPr="00EF764F" w:rsidRDefault="00F85EF4" w:rsidP="00D36C42">
      <w:pPr>
        <w:pStyle w:val="FootnoteText"/>
        <w:tabs>
          <w:tab w:val="left" w:pos="284"/>
        </w:tabs>
        <w:ind w:left="284" w:hanging="284"/>
      </w:pPr>
      <w:r>
        <w:rPr>
          <w:rStyle w:val="FootnoteReference"/>
        </w:rPr>
        <w:footnoteRef/>
      </w:r>
      <w:r>
        <w:t xml:space="preserve"> </w:t>
      </w:r>
      <w:r w:rsidR="00D36C42">
        <w:tab/>
      </w:r>
      <w:r>
        <w:t xml:space="preserve">See </w:t>
      </w:r>
      <w:r w:rsidRPr="00EF764F">
        <w:rPr>
          <w:i/>
        </w:rPr>
        <w:t xml:space="preserve">Australian Broadcasting Corporation and Civil Aviation Safety Authority </w:t>
      </w:r>
      <w:hyperlink r:id="rId194" w:history="1">
        <w:r w:rsidRPr="008D1FEA">
          <w:rPr>
            <w:rStyle w:val="Hyperlink"/>
            <w:color w:val="007BAB" w:themeColor="text2" w:themeTint="BF"/>
          </w:rPr>
          <w:t>[2015] AICmr 21</w:t>
        </w:r>
      </w:hyperlink>
      <w:r>
        <w:t xml:space="preserve"> [5] and s 27A(1)(b) of the FOI Act.</w:t>
      </w:r>
    </w:p>
  </w:footnote>
  <w:footnote w:id="155">
    <w:p w14:paraId="1299A07C" w14:textId="7499D4C2" w:rsidR="00A53949" w:rsidRDefault="00A53949" w:rsidP="00726965">
      <w:pPr>
        <w:pStyle w:val="FootnoteText"/>
        <w:tabs>
          <w:tab w:val="left" w:pos="284"/>
        </w:tabs>
      </w:pPr>
      <w:r>
        <w:rPr>
          <w:rStyle w:val="FootnoteReference"/>
        </w:rPr>
        <w:footnoteRef/>
      </w:r>
      <w:r>
        <w:t xml:space="preserve"> </w:t>
      </w:r>
      <w:r w:rsidR="00996E70">
        <w:tab/>
      </w:r>
      <w:r w:rsidR="00996E70">
        <w:rPr>
          <w:rFonts w:ascii="Source Sans Pro" w:hAnsi="Source Sans Pro"/>
          <w:i/>
          <w:iCs/>
          <w:color w:val="333333"/>
          <w:shd w:val="clear" w:color="auto" w:fill="FFFFFF"/>
        </w:rPr>
        <w:t>‘ADM’ and Services Australia (Freedom of information)</w:t>
      </w:r>
      <w:r w:rsidR="00996E70">
        <w:rPr>
          <w:rFonts w:ascii="Source Sans Pro" w:hAnsi="Source Sans Pro"/>
          <w:color w:val="333333"/>
          <w:shd w:val="clear" w:color="auto" w:fill="FFFFFF"/>
        </w:rPr>
        <w:t> </w:t>
      </w:r>
      <w:hyperlink r:id="rId195" w:tooltip="View Case" w:history="1">
        <w:r w:rsidR="00996E70">
          <w:rPr>
            <w:rStyle w:val="Hyperlink"/>
            <w:rFonts w:ascii="Source Sans Pro" w:hAnsi="Source Sans Pro"/>
            <w:color w:val="3796CC"/>
            <w:shd w:val="clear" w:color="auto" w:fill="FFFFFF"/>
          </w:rPr>
          <w:t>[2023] AICmr 38</w:t>
        </w:r>
      </w:hyperlink>
      <w:r w:rsidR="00996E70">
        <w:t xml:space="preserve"> [46]–[47].</w:t>
      </w:r>
    </w:p>
  </w:footnote>
  <w:footnote w:id="156">
    <w:p w14:paraId="7578422D" w14:textId="4B072A31" w:rsidR="00F85EF4" w:rsidRPr="00C23A30" w:rsidRDefault="00F85EF4" w:rsidP="00D36C42">
      <w:pPr>
        <w:pStyle w:val="FootnoteText"/>
        <w:tabs>
          <w:tab w:val="left" w:pos="284"/>
        </w:tabs>
        <w:ind w:left="284" w:hanging="284"/>
        <w:rPr>
          <w:sz w:val="20"/>
          <w:szCs w:val="26"/>
        </w:rPr>
      </w:pPr>
      <w:r w:rsidRPr="0043786E">
        <w:rPr>
          <w:rStyle w:val="FootnoteReference"/>
        </w:rPr>
        <w:footnoteRef/>
      </w:r>
      <w:r w:rsidRPr="0043786E">
        <w:t xml:space="preserve"> </w:t>
      </w:r>
      <w:r w:rsidR="00D36C42">
        <w:tab/>
      </w:r>
      <w:r w:rsidRPr="005578A0">
        <w:rPr>
          <w:i/>
          <w:iCs/>
        </w:rPr>
        <w:t>Re K and Director-General of Social Security</w:t>
      </w:r>
      <w:r w:rsidRPr="00DD07E1">
        <w:t xml:space="preserve"> </w:t>
      </w:r>
      <w:hyperlink r:id="rId196" w:history="1">
        <w:r w:rsidRPr="00D075DC">
          <w:rPr>
            <w:rStyle w:val="Hyperlink"/>
            <w:color w:val="007BAB" w:themeColor="text2" w:themeTint="BF"/>
          </w:rPr>
          <w:t>[1984] AATA 252</w:t>
        </w:r>
      </w:hyperlink>
      <w:r w:rsidRPr="00DD07E1">
        <w:t>.</w:t>
      </w:r>
      <w:r w:rsidR="00207638">
        <w:t xml:space="preserve"> See </w:t>
      </w:r>
      <w:r w:rsidR="00207638">
        <w:rPr>
          <w:rFonts w:ascii="Source Sans Pro" w:hAnsi="Source Sans Pro"/>
          <w:i/>
          <w:iCs/>
          <w:color w:val="333333"/>
          <w:shd w:val="clear" w:color="auto" w:fill="FFFFFF"/>
        </w:rPr>
        <w:t>‘PT’ and Aged Care Quality and Safety Commission (Freedom of information)</w:t>
      </w:r>
      <w:r w:rsidR="00207638">
        <w:rPr>
          <w:rFonts w:ascii="Source Sans Pro" w:hAnsi="Source Sans Pro"/>
          <w:color w:val="333333"/>
          <w:shd w:val="clear" w:color="auto" w:fill="FFFFFF"/>
        </w:rPr>
        <w:t> </w:t>
      </w:r>
      <w:hyperlink r:id="rId197" w:tooltip="View Case" w:history="1">
        <w:r w:rsidR="00207638">
          <w:rPr>
            <w:rStyle w:val="Hyperlink"/>
            <w:rFonts w:ascii="Source Sans Pro" w:hAnsi="Source Sans Pro"/>
            <w:color w:val="3796CC"/>
            <w:shd w:val="clear" w:color="auto" w:fill="FFFFFF"/>
          </w:rPr>
          <w:t>[2019] AICmr 3</w:t>
        </w:r>
      </w:hyperlink>
      <w:r w:rsidR="00207638">
        <w:t xml:space="preserve"> [26]</w:t>
      </w:r>
      <w:r w:rsidR="00207638" w:rsidRPr="00C23A30">
        <w:rPr>
          <w:szCs w:val="18"/>
        </w:rPr>
        <w:t xml:space="preserve"> in which the Information Commissioner decided that access to certain information was to be given to a qualified person because evidence was led that a previous releases of similar information had a negative effect on the FOI applicant’s well-being.</w:t>
      </w:r>
    </w:p>
  </w:footnote>
  <w:footnote w:id="157">
    <w:p w14:paraId="1DC537B8" w14:textId="11131676"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 xml:space="preserve">For more information, see Chapter 12 of the APP </w:t>
      </w:r>
      <w:r>
        <w:t>g</w:t>
      </w:r>
      <w:r w:rsidRPr="0043786E">
        <w:t xml:space="preserve">uidelines at </w:t>
      </w:r>
      <w:hyperlink r:id="rId198" w:history="1">
        <w:r w:rsidRPr="00DD07E1">
          <w:t>www.oaic.gov.au</w:t>
        </w:r>
      </w:hyperlink>
      <w:r w:rsidR="00207638">
        <w:t>s</w:t>
      </w:r>
      <w:r w:rsidRPr="0043786E">
        <w:t>.</w:t>
      </w:r>
    </w:p>
  </w:footnote>
  <w:footnote w:id="158">
    <w:p w14:paraId="31F74E49" w14:textId="1A84CE6F"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004FC">
        <w:rPr>
          <w:i/>
          <w:iCs/>
        </w:rPr>
        <w:t>Harris v Australian Broadcasting Corporation</w:t>
      </w:r>
      <w:r w:rsidRPr="00DD07E1">
        <w:t xml:space="preserve"> </w:t>
      </w:r>
      <w:hyperlink r:id="rId199" w:history="1">
        <w:r w:rsidR="00D075DC" w:rsidRPr="00D075DC">
          <w:rPr>
            <w:rStyle w:val="Hyperlink"/>
            <w:color w:val="007BAB" w:themeColor="text2" w:themeTint="BF"/>
          </w:rPr>
          <w:t>[1983] FCA 242</w:t>
        </w:r>
      </w:hyperlink>
      <w:r w:rsidR="00D075DC">
        <w:t xml:space="preserve">; </w:t>
      </w:r>
      <w:r w:rsidRPr="00DD07E1">
        <w:t xml:space="preserve">(1983) </w:t>
      </w:r>
      <w:r w:rsidRPr="0043786E">
        <w:t>78</w:t>
      </w:r>
      <w:r w:rsidRPr="00DD07E1">
        <w:t xml:space="preserve"> FLR </w:t>
      </w:r>
      <w:r w:rsidRPr="0043786E">
        <w:t>236.</w:t>
      </w:r>
    </w:p>
  </w:footnote>
  <w:footnote w:id="159">
    <w:p w14:paraId="77830216" w14:textId="37F55203"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In</w:t>
      </w:r>
      <w:r w:rsidRPr="00DD07E1">
        <w:t xml:space="preserve"> </w:t>
      </w:r>
      <w:r w:rsidRPr="00F004FC">
        <w:rPr>
          <w:i/>
          <w:iCs/>
        </w:rPr>
        <w:t>Secretary, Department of Employment, Workplace Relations and Small Business v Staff Development and Training Centre Pty Ltd</w:t>
      </w:r>
      <w:r w:rsidRPr="00DD07E1">
        <w:t xml:space="preserve"> </w:t>
      </w:r>
      <w:hyperlink r:id="rId200" w:history="1">
        <w:r w:rsidR="00D075DC" w:rsidRPr="00D075DC">
          <w:rPr>
            <w:rStyle w:val="Hyperlink"/>
            <w:color w:val="007BAB" w:themeColor="text2" w:themeTint="BF"/>
          </w:rPr>
          <w:t>[2001] FCA 1375</w:t>
        </w:r>
      </w:hyperlink>
      <w:r w:rsidR="00D075DC">
        <w:t xml:space="preserve">; </w:t>
      </w:r>
      <w:r w:rsidRPr="00DD07E1">
        <w:t xml:space="preserve">(2001) </w:t>
      </w:r>
      <w:r w:rsidRPr="0043786E">
        <w:t>114</w:t>
      </w:r>
      <w:r w:rsidRPr="00DD07E1">
        <w:t xml:space="preserve"> </w:t>
      </w:r>
      <w:r w:rsidRPr="0043786E">
        <w:t>FCR</w:t>
      </w:r>
      <w:r w:rsidRPr="00DD07E1">
        <w:t xml:space="preserve"> </w:t>
      </w:r>
      <w:r w:rsidRPr="0043786E">
        <w:t>301</w:t>
      </w:r>
      <w:r w:rsidRPr="00DD07E1">
        <w:t xml:space="preserve"> </w:t>
      </w:r>
      <w:r w:rsidRPr="0043786E">
        <w:t>the</w:t>
      </w:r>
      <w:r w:rsidRPr="00DD07E1">
        <w:t xml:space="preserve"> </w:t>
      </w:r>
      <w:r w:rsidRPr="0043786E">
        <w:t>Full</w:t>
      </w:r>
      <w:r w:rsidRPr="00DD07E1">
        <w:t xml:space="preserve"> Federal Court seemed </w:t>
      </w:r>
      <w:r w:rsidRPr="0043786E">
        <w:t>to</w:t>
      </w:r>
      <w:r w:rsidRPr="00DD07E1">
        <w:t xml:space="preserve"> </w:t>
      </w:r>
      <w:r w:rsidRPr="0043786E">
        <w:t>accept</w:t>
      </w:r>
      <w:r w:rsidRPr="00DD07E1">
        <w:t xml:space="preserve"> (without</w:t>
      </w:r>
      <w:r w:rsidRPr="00DD07E1">
        <w:rPr>
          <w:w w:val="99"/>
        </w:rPr>
        <w:t xml:space="preserve"> </w:t>
      </w:r>
      <w:r w:rsidRPr="00DD07E1">
        <w:t xml:space="preserve">referring </w:t>
      </w:r>
      <w:r w:rsidRPr="0043786E">
        <w:t>to</w:t>
      </w:r>
      <w:r w:rsidRPr="00DD07E1">
        <w:t xml:space="preserve"> </w:t>
      </w:r>
      <w:r w:rsidRPr="00F004FC">
        <w:rPr>
          <w:i/>
          <w:iCs/>
        </w:rPr>
        <w:t>Harris</w:t>
      </w:r>
      <w:r w:rsidRPr="0043786E">
        <w:t>)</w:t>
      </w:r>
      <w:r w:rsidRPr="00DD07E1">
        <w:t xml:space="preserve"> </w:t>
      </w:r>
      <w:r w:rsidRPr="0043786E">
        <w:t>that</w:t>
      </w:r>
      <w:r w:rsidRPr="00DD07E1">
        <w:t xml:space="preserve"> </w:t>
      </w:r>
      <w:r w:rsidRPr="0043786E">
        <w:t>a</w:t>
      </w:r>
      <w:r w:rsidRPr="00DD07E1">
        <w:t xml:space="preserve"> government </w:t>
      </w:r>
      <w:r w:rsidRPr="0043786E">
        <w:t>agency</w:t>
      </w:r>
      <w:r w:rsidRPr="00DD07E1">
        <w:t xml:space="preserve"> </w:t>
      </w:r>
      <w:r w:rsidRPr="0043786E">
        <w:t>could</w:t>
      </w:r>
      <w:r w:rsidRPr="00DD07E1">
        <w:t xml:space="preserve"> </w:t>
      </w:r>
      <w:r w:rsidRPr="0043786E">
        <w:t>claim</w:t>
      </w:r>
      <w:r w:rsidRPr="00DD07E1">
        <w:t xml:space="preserve"> </w:t>
      </w:r>
      <w:r w:rsidRPr="0043786E">
        <w:t>this</w:t>
      </w:r>
      <w:r w:rsidRPr="00DD07E1">
        <w:t xml:space="preserve"> </w:t>
      </w:r>
      <w:r w:rsidRPr="0043786E">
        <w:t>conditional</w:t>
      </w:r>
      <w:r w:rsidRPr="00DD07E1">
        <w:t xml:space="preserve"> </w:t>
      </w:r>
      <w:r w:rsidRPr="0043786E">
        <w:t>exemption,</w:t>
      </w:r>
      <w:r w:rsidRPr="00DD07E1">
        <w:t xml:space="preserve"> </w:t>
      </w:r>
      <w:r w:rsidRPr="0043786E">
        <w:t>although</w:t>
      </w:r>
      <w:r w:rsidRPr="00DD07E1">
        <w:t xml:space="preserve"> </w:t>
      </w:r>
      <w:r w:rsidRPr="0043786E">
        <w:t>it</w:t>
      </w:r>
      <w:r w:rsidRPr="00DD07E1">
        <w:rPr>
          <w:w w:val="99"/>
        </w:rPr>
        <w:t xml:space="preserve"> </w:t>
      </w:r>
      <w:r w:rsidRPr="0043786E">
        <w:t>did</w:t>
      </w:r>
      <w:r w:rsidRPr="00DD07E1">
        <w:t xml:space="preserve"> </w:t>
      </w:r>
      <w:r w:rsidRPr="0043786E">
        <w:t>not</w:t>
      </w:r>
      <w:r w:rsidRPr="00DD07E1">
        <w:t xml:space="preserve"> decide </w:t>
      </w:r>
      <w:r w:rsidRPr="0043786E">
        <w:t>the</w:t>
      </w:r>
      <w:r w:rsidRPr="00DD07E1">
        <w:t xml:space="preserve"> case </w:t>
      </w:r>
      <w:r w:rsidRPr="0043786E">
        <w:t>on</w:t>
      </w:r>
      <w:r w:rsidRPr="00DD07E1">
        <w:t xml:space="preserve"> </w:t>
      </w:r>
      <w:r w:rsidRPr="0043786E">
        <w:t>this</w:t>
      </w:r>
      <w:r w:rsidRPr="00DD07E1">
        <w:t xml:space="preserve"> </w:t>
      </w:r>
      <w:r w:rsidRPr="0043786E">
        <w:t>point.</w:t>
      </w:r>
      <w:r w:rsidRPr="00DD07E1">
        <w:t xml:space="preserve"> The question </w:t>
      </w:r>
      <w:r w:rsidRPr="0043786E">
        <w:t>therefore</w:t>
      </w:r>
      <w:r w:rsidRPr="00DD07E1">
        <w:t xml:space="preserve"> </w:t>
      </w:r>
      <w:r w:rsidRPr="0043786E">
        <w:t>remains</w:t>
      </w:r>
      <w:r w:rsidRPr="00DD07E1">
        <w:t xml:space="preserve"> </w:t>
      </w:r>
      <w:r w:rsidRPr="0043786E">
        <w:t>uncertain.</w:t>
      </w:r>
    </w:p>
  </w:footnote>
  <w:footnote w:id="160">
    <w:p w14:paraId="77F3EF57" w14:textId="08F30123"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004FC">
        <w:rPr>
          <w:i/>
          <w:iCs/>
        </w:rPr>
        <w:t>Re Actors’ Equity Association (Aust) and Australian Broadcasting Tribunal (No 2)</w:t>
      </w:r>
      <w:r w:rsidRPr="00DD07E1">
        <w:t xml:space="preserve"> </w:t>
      </w:r>
      <w:hyperlink r:id="rId201" w:history="1">
        <w:r w:rsidRPr="00D075DC">
          <w:rPr>
            <w:rStyle w:val="Hyperlink"/>
            <w:color w:val="007BAB" w:themeColor="text2" w:themeTint="BF"/>
          </w:rPr>
          <w:t>[1985] AATA 69</w:t>
        </w:r>
      </w:hyperlink>
      <w:r w:rsidR="0046201A">
        <w:rPr>
          <w:color w:val="007BAB" w:themeColor="text2" w:themeTint="BF"/>
        </w:rPr>
        <w:t xml:space="preserve"> [25]</w:t>
      </w:r>
      <w:r w:rsidRPr="0043786E">
        <w:t>.</w:t>
      </w:r>
    </w:p>
  </w:footnote>
  <w:footnote w:id="161">
    <w:p w14:paraId="6431C56E" w14:textId="59581534"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 xml:space="preserve">As explained by Forgie DP in </w:t>
      </w:r>
      <w:r w:rsidRPr="00F004FC">
        <w:rPr>
          <w:i/>
          <w:iCs/>
        </w:rPr>
        <w:t>Bell and Secretary, Department of Health (Freedom of Information)</w:t>
      </w:r>
      <w:r w:rsidRPr="0043786E">
        <w:t xml:space="preserve"> </w:t>
      </w:r>
      <w:hyperlink r:id="rId202" w:history="1">
        <w:r w:rsidRPr="00735EF2">
          <w:rPr>
            <w:rStyle w:val="Hyperlink"/>
            <w:color w:val="007BAB" w:themeColor="text2" w:themeTint="BF"/>
          </w:rPr>
          <w:t>[2015] AATA 494</w:t>
        </w:r>
      </w:hyperlink>
      <w:r w:rsidRPr="0043786E">
        <w:t xml:space="preserve"> [48].</w:t>
      </w:r>
    </w:p>
  </w:footnote>
  <w:footnote w:id="162">
    <w:p w14:paraId="646FEB4B" w14:textId="34BC6A2F"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004FC">
        <w:rPr>
          <w:i/>
          <w:iCs/>
        </w:rPr>
        <w:t>Searle Australia Pty Ltd v Public Interest Advocacy Centre and Department of Community Services and</w:t>
      </w:r>
      <w:r w:rsidRPr="00F004FC">
        <w:rPr>
          <w:i/>
          <w:iCs/>
          <w:w w:val="99"/>
        </w:rPr>
        <w:t xml:space="preserve"> </w:t>
      </w:r>
      <w:r w:rsidRPr="00F004FC">
        <w:rPr>
          <w:i/>
          <w:iCs/>
        </w:rPr>
        <w:t>Health</w:t>
      </w:r>
      <w:r w:rsidRPr="00DD07E1">
        <w:t xml:space="preserve"> </w:t>
      </w:r>
      <w:hyperlink r:id="rId203" w:history="1">
        <w:r w:rsidR="00753775" w:rsidRPr="00735EF2">
          <w:rPr>
            <w:rStyle w:val="Hyperlink"/>
            <w:color w:val="007BAB" w:themeColor="text2" w:themeTint="BF"/>
          </w:rPr>
          <w:t>[1992] FCA 241</w:t>
        </w:r>
      </w:hyperlink>
      <w:r w:rsidR="00753775">
        <w:t xml:space="preserve">; </w:t>
      </w:r>
      <w:r w:rsidRPr="00DD07E1">
        <w:t xml:space="preserve">(1992) </w:t>
      </w:r>
      <w:r w:rsidRPr="0043786E">
        <w:t>108</w:t>
      </w:r>
      <w:r w:rsidRPr="00DD07E1">
        <w:t xml:space="preserve"> </w:t>
      </w:r>
      <w:r w:rsidRPr="0043786E">
        <w:t>ALR</w:t>
      </w:r>
      <w:r w:rsidRPr="00DD07E1">
        <w:t xml:space="preserve"> </w:t>
      </w:r>
      <w:r w:rsidRPr="0043786E">
        <w:t>163</w:t>
      </w:r>
      <w:r w:rsidR="00753775">
        <w:t>; 36 FCR 111</w:t>
      </w:r>
      <w:r w:rsidRPr="0043786E">
        <w:t>.</w:t>
      </w:r>
    </w:p>
  </w:footnote>
  <w:footnote w:id="163">
    <w:p w14:paraId="34A29063" w14:textId="12D680D3"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In</w:t>
      </w:r>
      <w:r w:rsidRPr="00DD07E1">
        <w:t xml:space="preserve"> relation </w:t>
      </w:r>
      <w:r w:rsidRPr="0043786E">
        <w:t>to</w:t>
      </w:r>
      <w:r w:rsidRPr="00DD07E1">
        <w:t xml:space="preserve"> </w:t>
      </w:r>
      <w:r w:rsidRPr="0043786E">
        <w:t>the</w:t>
      </w:r>
      <w:r w:rsidRPr="00DD07E1">
        <w:t xml:space="preserve"> test </w:t>
      </w:r>
      <w:r w:rsidRPr="0043786E">
        <w:t>of</w:t>
      </w:r>
      <w:r w:rsidRPr="00DD07E1">
        <w:t xml:space="preserve"> reasonableness, see</w:t>
      </w:r>
      <w:r w:rsidRPr="0043786E">
        <w:t xml:space="preserve"> </w:t>
      </w:r>
      <w:r w:rsidRPr="00F004FC">
        <w:rPr>
          <w:i/>
          <w:iCs/>
        </w:rPr>
        <w:t>‘E’ and National Offshore Petroleum Safety and</w:t>
      </w:r>
      <w:r w:rsidRPr="00F004FC">
        <w:rPr>
          <w:i/>
          <w:iCs/>
          <w:w w:val="99"/>
        </w:rPr>
        <w:t xml:space="preserve"> </w:t>
      </w:r>
      <w:r w:rsidRPr="00F004FC">
        <w:rPr>
          <w:i/>
          <w:iCs/>
        </w:rPr>
        <w:t>Environmental Management Authority</w:t>
      </w:r>
      <w:r w:rsidRPr="00DD07E1">
        <w:t xml:space="preserve"> </w:t>
      </w:r>
      <w:hyperlink r:id="rId204" w:history="1">
        <w:r w:rsidRPr="00735EF2">
          <w:rPr>
            <w:rStyle w:val="Hyperlink"/>
            <w:color w:val="007BAB" w:themeColor="text2" w:themeTint="BF"/>
          </w:rPr>
          <w:t>[2012] AICmr 3</w:t>
        </w:r>
      </w:hyperlink>
      <w:r w:rsidRPr="0043786E">
        <w:t>.</w:t>
      </w:r>
    </w:p>
  </w:footnote>
  <w:footnote w:id="164">
    <w:p w14:paraId="5B89EE45" w14:textId="23325D1C"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B813C9">
        <w:t xml:space="preserve">As explained by Forgie DP in </w:t>
      </w:r>
      <w:r w:rsidRPr="00B813C9">
        <w:rPr>
          <w:i/>
          <w:iCs/>
        </w:rPr>
        <w:t>Bell and Secretary, Department of Health (Freedom of information)</w:t>
      </w:r>
      <w:r w:rsidRPr="00B813C9">
        <w:t xml:space="preserve"> </w:t>
      </w:r>
      <w:hyperlink r:id="rId205" w:history="1">
        <w:r w:rsidRPr="00735EF2">
          <w:rPr>
            <w:rStyle w:val="Hyperlink"/>
            <w:color w:val="007BAB" w:themeColor="text2" w:themeTint="BF"/>
          </w:rPr>
          <w:t>[2015] AATA 494</w:t>
        </w:r>
      </w:hyperlink>
      <w:r w:rsidRPr="00B813C9">
        <w:t xml:space="preserve"> [68] and as discussed by the </w:t>
      </w:r>
      <w:r>
        <w:t xml:space="preserve">Information </w:t>
      </w:r>
      <w:r w:rsidRPr="00B813C9">
        <w:t xml:space="preserve">Commissioner in </w:t>
      </w:r>
      <w:r w:rsidRPr="00B813C9">
        <w:rPr>
          <w:i/>
          <w:iCs/>
        </w:rPr>
        <w:t>Linton Besser and Department of Employment</w:t>
      </w:r>
      <w:r w:rsidRPr="00B813C9">
        <w:t xml:space="preserve"> </w:t>
      </w:r>
      <w:hyperlink r:id="rId206" w:history="1">
        <w:r w:rsidRPr="00735EF2">
          <w:rPr>
            <w:rStyle w:val="Hyperlink"/>
            <w:color w:val="007BAB" w:themeColor="text2" w:themeTint="BF"/>
          </w:rPr>
          <w:t>[2015] AICmr 67</w:t>
        </w:r>
      </w:hyperlink>
      <w:r w:rsidRPr="00B813C9">
        <w:t>.</w:t>
      </w:r>
    </w:p>
  </w:footnote>
  <w:footnote w:id="165">
    <w:p w14:paraId="5586B1C5" w14:textId="7E21895E"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B813C9">
        <w:rPr>
          <w:i/>
          <w:iCs/>
        </w:rPr>
        <w:t>Re Actors’ Equity Association (Aust) and Australian Broadcasting Tribunal (No 2)</w:t>
      </w:r>
      <w:r w:rsidRPr="00DD07E1">
        <w:t xml:space="preserve"> </w:t>
      </w:r>
      <w:hyperlink r:id="rId207" w:history="1">
        <w:r w:rsidRPr="00735EF2">
          <w:rPr>
            <w:rStyle w:val="Hyperlink"/>
            <w:color w:val="007BAB" w:themeColor="text2" w:themeTint="BF"/>
          </w:rPr>
          <w:t>[1985] AATA 69</w:t>
        </w:r>
      </w:hyperlink>
      <w:r w:rsidR="00CF0A05">
        <w:rPr>
          <w:color w:val="007BAB" w:themeColor="text2" w:themeTint="BF"/>
        </w:rPr>
        <w:t xml:space="preserve"> [31]</w:t>
      </w:r>
      <w:r w:rsidRPr="0043786E">
        <w:t>.</w:t>
      </w:r>
    </w:p>
  </w:footnote>
  <w:footnote w:id="166">
    <w:p w14:paraId="2B5EB134" w14:textId="5E2AC041" w:rsidR="00F85EF4" w:rsidRPr="00DD07E1" w:rsidRDefault="00F85EF4" w:rsidP="001D477D">
      <w:pPr>
        <w:pStyle w:val="NormalWeb"/>
        <w:shd w:val="clear" w:color="auto" w:fill="FFFFFF"/>
        <w:spacing w:before="0" w:beforeAutospacing="0" w:after="0" w:afterAutospacing="0"/>
        <w:ind w:left="284" w:hanging="284"/>
      </w:pPr>
      <w:r w:rsidRPr="0043786E">
        <w:rPr>
          <w:rStyle w:val="FootnoteReference"/>
        </w:rPr>
        <w:footnoteRef/>
      </w:r>
      <w:r w:rsidRPr="0043786E">
        <w:t xml:space="preserve"> </w:t>
      </w:r>
      <w:r w:rsidRPr="00921131">
        <w:rPr>
          <w:rFonts w:asciiTheme="minorHAnsi" w:eastAsiaTheme="minorEastAsia" w:hAnsiTheme="minorHAnsi" w:cs="Calibri"/>
          <w:i/>
          <w:iCs/>
          <w:spacing w:val="-5"/>
          <w:sz w:val="18"/>
          <w:lang w:eastAsia="ko-KR"/>
        </w:rPr>
        <w:t xml:space="preserve">Re Daws and Department of Agriculture Fisheries and Forestry </w:t>
      </w:r>
      <w:hyperlink r:id="rId208" w:history="1">
        <w:r w:rsidRPr="00921131">
          <w:rPr>
            <w:rStyle w:val="Hyperlink"/>
            <w:rFonts w:asciiTheme="minorHAnsi" w:hAnsiTheme="minorHAnsi"/>
            <w:color w:val="007BAB" w:themeColor="text2" w:themeTint="BF"/>
            <w:sz w:val="18"/>
            <w:szCs w:val="18"/>
            <w:lang w:eastAsia="ko-KR"/>
          </w:rPr>
          <w:t>[2008] AATA 1075</w:t>
        </w:r>
      </w:hyperlink>
      <w:r w:rsidR="00162B05" w:rsidRPr="00921131">
        <w:rPr>
          <w:rFonts w:asciiTheme="minorHAnsi" w:eastAsiaTheme="minorEastAsia" w:hAnsiTheme="minorHAnsi" w:cs="Calibri"/>
          <w:spacing w:val="-5"/>
          <w:sz w:val="18"/>
          <w:lang w:eastAsia="ko-KR"/>
        </w:rPr>
        <w:t xml:space="preserve"> [22</w:t>
      </w:r>
      <w:r w:rsidR="00162B05" w:rsidRPr="00921131">
        <w:rPr>
          <w:rFonts w:asciiTheme="minorHAnsi" w:eastAsiaTheme="minorEastAsia" w:hAnsiTheme="minorHAnsi" w:cs="Calibri"/>
          <w:i/>
          <w:iCs/>
          <w:spacing w:val="-5"/>
          <w:sz w:val="18"/>
          <w:lang w:eastAsia="ko-KR"/>
        </w:rPr>
        <w:t xml:space="preserve">]. See also </w:t>
      </w:r>
      <w:r w:rsidR="00DC34FB" w:rsidRPr="00921131">
        <w:rPr>
          <w:rFonts w:asciiTheme="minorHAnsi" w:eastAsiaTheme="minorEastAsia" w:hAnsiTheme="minorHAnsi" w:cs="Calibri"/>
          <w:i/>
          <w:iCs/>
          <w:spacing w:val="-5"/>
          <w:sz w:val="18"/>
          <w:lang w:eastAsia="ko-KR"/>
        </w:rPr>
        <w:t xml:space="preserve">DPP Pharmaceuticals Pty Ltd and IP Australia (Freedom of </w:t>
      </w:r>
      <w:r w:rsidR="00DC34FB" w:rsidRPr="00921131">
        <w:rPr>
          <w:rFonts w:asciiTheme="minorHAnsi" w:eastAsiaTheme="minorEastAsia" w:hAnsiTheme="minorHAnsi" w:cs="Calibri"/>
          <w:i/>
          <w:iCs/>
          <w:spacing w:val="-5"/>
          <w:sz w:val="18"/>
          <w:szCs w:val="18"/>
          <w:lang w:eastAsia="ko-KR"/>
        </w:rPr>
        <w:t>information)</w:t>
      </w:r>
      <w:r w:rsidR="001D477D">
        <w:rPr>
          <w:rFonts w:asciiTheme="minorHAnsi" w:eastAsiaTheme="minorEastAsia" w:hAnsiTheme="minorHAnsi" w:cs="Calibri"/>
          <w:spacing w:val="-5"/>
          <w:sz w:val="18"/>
          <w:szCs w:val="18"/>
          <w:lang w:eastAsia="ko-KR"/>
        </w:rPr>
        <w:t xml:space="preserve"> </w:t>
      </w:r>
      <w:hyperlink r:id="rId209" w:tooltip="View Case" w:history="1">
        <w:r w:rsidR="00DC34FB" w:rsidRPr="00921131">
          <w:rPr>
            <w:rStyle w:val="Hyperlink"/>
            <w:rFonts w:asciiTheme="minorHAnsi" w:eastAsia="SimHei" w:hAnsiTheme="minorHAnsi"/>
            <w:color w:val="007BAB" w:themeColor="text2" w:themeTint="BF"/>
            <w:sz w:val="18"/>
            <w:szCs w:val="18"/>
            <w:lang w:eastAsia="ko-KR"/>
          </w:rPr>
          <w:t>[2020] AICmr 29</w:t>
        </w:r>
      </w:hyperlink>
      <w:r w:rsidR="00754246" w:rsidRPr="00921131">
        <w:rPr>
          <w:rFonts w:asciiTheme="minorHAnsi" w:eastAsiaTheme="minorEastAsia" w:hAnsiTheme="minorHAnsi" w:cs="Calibri"/>
          <w:spacing w:val="-5"/>
          <w:sz w:val="18"/>
          <w:szCs w:val="18"/>
          <w:lang w:eastAsia="ko-KR"/>
        </w:rPr>
        <w:t xml:space="preserve"> [34</w:t>
      </w:r>
      <w:r w:rsidR="00754246" w:rsidRPr="00921131">
        <w:rPr>
          <w:rFonts w:asciiTheme="minorHAnsi" w:eastAsiaTheme="minorEastAsia" w:hAnsiTheme="minorHAnsi" w:cs="Calibri"/>
          <w:i/>
          <w:iCs/>
          <w:spacing w:val="-5"/>
          <w:sz w:val="18"/>
          <w:szCs w:val="18"/>
          <w:lang w:eastAsia="ko-KR"/>
        </w:rPr>
        <w:t xml:space="preserve">] and </w:t>
      </w:r>
      <w:r w:rsidR="008F3320" w:rsidRPr="00921131">
        <w:rPr>
          <w:rFonts w:asciiTheme="minorHAnsi" w:eastAsiaTheme="minorEastAsia" w:hAnsiTheme="minorHAnsi" w:cs="Calibri"/>
          <w:i/>
          <w:iCs/>
          <w:spacing w:val="-5"/>
          <w:sz w:val="18"/>
          <w:szCs w:val="18"/>
          <w:lang w:eastAsia="ko-KR"/>
        </w:rPr>
        <w:t>Boston Consulting Group and Australian National University (Freedom of information) (No 2)</w:t>
      </w:r>
      <w:r w:rsidR="001D477D">
        <w:rPr>
          <w:rFonts w:asciiTheme="minorHAnsi" w:eastAsiaTheme="minorEastAsia" w:hAnsiTheme="minorHAnsi" w:cs="Calibri"/>
          <w:spacing w:val="-5"/>
          <w:sz w:val="18"/>
          <w:szCs w:val="18"/>
          <w:lang w:eastAsia="ko-KR"/>
        </w:rPr>
        <w:t xml:space="preserve"> </w:t>
      </w:r>
      <w:hyperlink r:id="rId210" w:tooltip="View Case" w:history="1">
        <w:r w:rsidR="008F3320" w:rsidRPr="00921131">
          <w:rPr>
            <w:rStyle w:val="Hyperlink"/>
            <w:rFonts w:asciiTheme="minorHAnsi" w:hAnsiTheme="minorHAnsi"/>
            <w:color w:val="007BAB" w:themeColor="text2" w:themeTint="BF"/>
            <w:sz w:val="18"/>
            <w:szCs w:val="18"/>
            <w:lang w:eastAsia="ko-KR"/>
          </w:rPr>
          <w:t>[2022] AICmr 16</w:t>
        </w:r>
      </w:hyperlink>
      <w:r w:rsidR="008F3320" w:rsidRPr="00921131">
        <w:rPr>
          <w:rFonts w:asciiTheme="minorHAnsi" w:eastAsiaTheme="minorEastAsia" w:hAnsiTheme="minorHAnsi" w:cs="Calibri"/>
          <w:spacing w:val="-5"/>
          <w:sz w:val="18"/>
          <w:lang w:eastAsia="ko-KR"/>
        </w:rPr>
        <w:t xml:space="preserve"> [34]</w:t>
      </w:r>
      <w:r w:rsidR="009F1D64" w:rsidRPr="00921131">
        <w:rPr>
          <w:rFonts w:asciiTheme="minorHAnsi" w:eastAsiaTheme="minorEastAsia" w:hAnsiTheme="minorHAnsi" w:cs="Calibri"/>
          <w:spacing w:val="-5"/>
          <w:sz w:val="18"/>
          <w:lang w:eastAsia="ko-KR"/>
        </w:rPr>
        <w:t>–[40]</w:t>
      </w:r>
      <w:r w:rsidR="000D298D">
        <w:rPr>
          <w:rFonts w:asciiTheme="minorHAnsi" w:eastAsiaTheme="minorEastAsia" w:hAnsiTheme="minorHAnsi" w:cs="Calibri"/>
          <w:spacing w:val="-5"/>
          <w:sz w:val="18"/>
          <w:lang w:eastAsia="ko-KR"/>
        </w:rPr>
        <w:t>.</w:t>
      </w:r>
    </w:p>
  </w:footnote>
  <w:footnote w:id="167">
    <w:p w14:paraId="6AC0DB2D" w14:textId="291E6996"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0D298D">
        <w:rPr>
          <w:i/>
          <w:iCs/>
        </w:rPr>
        <w:t>Re Mangan and The Treasury</w:t>
      </w:r>
      <w:r w:rsidRPr="00DD07E1">
        <w:rPr>
          <w:rFonts w:ascii="Calibri"/>
        </w:rPr>
        <w:t xml:space="preserve"> </w:t>
      </w:r>
      <w:hyperlink r:id="rId211" w:history="1">
        <w:r w:rsidRPr="00735EF2">
          <w:rPr>
            <w:rStyle w:val="Hyperlink"/>
            <w:rFonts w:ascii="Calibri"/>
            <w:color w:val="007BAB" w:themeColor="text2" w:themeTint="BF"/>
          </w:rPr>
          <w:t>[2005] AATA 898</w:t>
        </w:r>
      </w:hyperlink>
      <w:r w:rsidRPr="0043786E">
        <w:t xml:space="preserve"> citing </w:t>
      </w:r>
      <w:r w:rsidRPr="00B813C9">
        <w:rPr>
          <w:i/>
          <w:iCs/>
        </w:rPr>
        <w:t>Cockcroft and Attorney-General’s Department and Australian Iron and Steel Pty Ltd (party joined)</w:t>
      </w:r>
      <w:r w:rsidRPr="0043786E">
        <w:t xml:space="preserve"> </w:t>
      </w:r>
      <w:r w:rsidRPr="00890FC1">
        <w:t>(</w:t>
      </w:r>
      <w:r w:rsidRPr="008A163F">
        <w:t>1985) 12 ALD 462</w:t>
      </w:r>
      <w:r w:rsidRPr="00890FC1">
        <w:rPr>
          <w:rFonts w:ascii="Calibri"/>
        </w:rPr>
        <w:t>.</w:t>
      </w:r>
    </w:p>
  </w:footnote>
  <w:footnote w:id="168">
    <w:p w14:paraId="03A52B89" w14:textId="0EC56F85"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 xml:space="preserve">See </w:t>
      </w:r>
      <w:r w:rsidRPr="00B813C9">
        <w:rPr>
          <w:i/>
          <w:iCs/>
        </w:rPr>
        <w:t>‘GD’ and Department of the Prime Minister and Cabinet</w:t>
      </w:r>
      <w:r w:rsidRPr="0043786E">
        <w:t xml:space="preserve"> </w:t>
      </w:r>
      <w:hyperlink r:id="rId212" w:history="1">
        <w:r w:rsidRPr="00735EF2">
          <w:rPr>
            <w:rStyle w:val="Hyperlink"/>
            <w:color w:val="007BAB" w:themeColor="text2" w:themeTint="BF"/>
          </w:rPr>
          <w:t>[2015] AICmr 46</w:t>
        </w:r>
      </w:hyperlink>
      <w:r w:rsidRPr="0043786E">
        <w:t xml:space="preserve"> [56].</w:t>
      </w:r>
    </w:p>
  </w:footnote>
  <w:footnote w:id="169">
    <w:p w14:paraId="7283E69B" w14:textId="09A725B1"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B813C9">
        <w:rPr>
          <w:i/>
          <w:iCs/>
        </w:rPr>
        <w:t>Re Fogarty and Chief Executive Officer, Cultural Facilities Corporation</w:t>
      </w:r>
      <w:r w:rsidRPr="00DD07E1">
        <w:t xml:space="preserve"> </w:t>
      </w:r>
      <w:hyperlink r:id="rId213" w:history="1">
        <w:r w:rsidRPr="00735EF2">
          <w:rPr>
            <w:rStyle w:val="Hyperlink"/>
            <w:color w:val="007BAB" w:themeColor="text2" w:themeTint="BF"/>
          </w:rPr>
          <w:t>[2005] ACTAAT 14</w:t>
        </w:r>
      </w:hyperlink>
      <w:r w:rsidRPr="0043786E">
        <w:t>.</w:t>
      </w:r>
    </w:p>
  </w:footnote>
  <w:footnote w:id="170">
    <w:p w14:paraId="4932BF38" w14:textId="4753F47E" w:rsidR="00F85EF4" w:rsidRPr="0043786E"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 xml:space="preserve">In </w:t>
      </w:r>
      <w:r w:rsidRPr="0043786E">
        <w:rPr>
          <w:i/>
        </w:rPr>
        <w:t>‘GO’ and National Health and Medical Research Council</w:t>
      </w:r>
      <w:r w:rsidRPr="0043786E">
        <w:t xml:space="preserve"> </w:t>
      </w:r>
      <w:hyperlink r:id="rId214" w:history="1">
        <w:r w:rsidRPr="00383736">
          <w:rPr>
            <w:rStyle w:val="Hyperlink"/>
            <w:color w:val="007BAB" w:themeColor="text2" w:themeTint="BF"/>
          </w:rPr>
          <w:t>[2015] AICmr 56</w:t>
        </w:r>
      </w:hyperlink>
      <w:r w:rsidRPr="0043786E">
        <w:t xml:space="preserve"> [33] the </w:t>
      </w:r>
      <w:r>
        <w:t xml:space="preserve">Information </w:t>
      </w:r>
      <w:r w:rsidRPr="0043786E">
        <w:t xml:space="preserve">Commissioner said that </w:t>
      </w:r>
      <w:r w:rsidRPr="00DD07E1">
        <w:t>a ‘researcher’s professional affairs would usually involve working on more than a single research project and that his or her research would contribute to a body of knowledge over many years’</w:t>
      </w:r>
      <w:r w:rsidRPr="0043786E">
        <w:t>.</w:t>
      </w:r>
    </w:p>
  </w:footnote>
  <w:footnote w:id="171">
    <w:p w14:paraId="3ADEAB60" w14:textId="3F7FD69E"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B732A">
        <w:rPr>
          <w:i/>
          <w:iCs/>
        </w:rPr>
        <w:t>Re Dyki and Commissioner of Taxation</w:t>
      </w:r>
      <w:r w:rsidRPr="00DD07E1">
        <w:t xml:space="preserve"> </w:t>
      </w:r>
      <w:r w:rsidR="006A7358" w:rsidRPr="00201731">
        <w:t>(</w:t>
      </w:r>
      <w:r w:rsidR="006A7358" w:rsidRPr="008A163F">
        <w:t xml:space="preserve">1990) 22 ALD 124; </w:t>
      </w:r>
      <w:r w:rsidRPr="008A163F">
        <w:t>(1990) 12 AAR 554</w:t>
      </w:r>
      <w:r w:rsidRPr="00201731">
        <w:t>.</w:t>
      </w:r>
    </w:p>
  </w:footnote>
  <w:footnote w:id="172">
    <w:p w14:paraId="0B614829" w14:textId="0C2F5AD5"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B732A">
        <w:rPr>
          <w:i/>
          <w:iCs/>
        </w:rPr>
        <w:t>Re Angel and the Department of the Arts, Heritage and the Environment</w:t>
      </w:r>
      <w:r w:rsidR="00383736">
        <w:rPr>
          <w:i/>
          <w:iCs/>
        </w:rPr>
        <w:t>;</w:t>
      </w:r>
      <w:r>
        <w:rPr>
          <w:i/>
          <w:iCs/>
        </w:rPr>
        <w:t xml:space="preserve"> </w:t>
      </w:r>
      <w:r w:rsidRPr="00FB732A">
        <w:rPr>
          <w:i/>
          <w:iCs/>
        </w:rPr>
        <w:t>HC Sleigh Resources Ltd and Tasmania</w:t>
      </w:r>
      <w:r w:rsidRPr="00DD07E1">
        <w:t xml:space="preserve"> </w:t>
      </w:r>
      <w:hyperlink r:id="rId215" w:history="1">
        <w:r w:rsidRPr="00383736">
          <w:rPr>
            <w:rStyle w:val="Hyperlink"/>
            <w:color w:val="007BAB" w:themeColor="text2" w:themeTint="BF"/>
          </w:rPr>
          <w:t>[1985] AATA 314</w:t>
        </w:r>
      </w:hyperlink>
      <w:r w:rsidRPr="0043786E">
        <w:t>.</w:t>
      </w:r>
    </w:p>
  </w:footnote>
  <w:footnote w:id="173">
    <w:p w14:paraId="2E1A0EE8" w14:textId="026DDFF6"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B732A">
        <w:rPr>
          <w:i/>
          <w:iCs/>
        </w:rPr>
        <w:t>Re Maher and the Attorney-General’s Department</w:t>
      </w:r>
      <w:r w:rsidRPr="00DD07E1">
        <w:t xml:space="preserve"> </w:t>
      </w:r>
      <w:hyperlink r:id="rId216" w:history="1">
        <w:r w:rsidRPr="00383736">
          <w:rPr>
            <w:rStyle w:val="Hyperlink"/>
            <w:color w:val="007BAB" w:themeColor="text2" w:themeTint="BF"/>
          </w:rPr>
          <w:t>[1986] AATA 16</w:t>
        </w:r>
      </w:hyperlink>
      <w:r w:rsidRPr="0043786E">
        <w:t>,</w:t>
      </w:r>
      <w:r w:rsidRPr="00DD07E1">
        <w:t xml:space="preserve"> </w:t>
      </w:r>
      <w:r w:rsidRPr="00FB732A">
        <w:rPr>
          <w:i/>
          <w:iCs/>
        </w:rPr>
        <w:t>Re Telstra and Australian Competition</w:t>
      </w:r>
      <w:r w:rsidRPr="00FB732A">
        <w:rPr>
          <w:i/>
          <w:iCs/>
          <w:w w:val="99"/>
        </w:rPr>
        <w:t xml:space="preserve"> </w:t>
      </w:r>
      <w:r w:rsidRPr="00FB732A">
        <w:rPr>
          <w:i/>
          <w:iCs/>
        </w:rPr>
        <w:t>and Consumer Commission</w:t>
      </w:r>
      <w:r w:rsidRPr="00DD07E1">
        <w:t xml:space="preserve"> </w:t>
      </w:r>
      <w:hyperlink r:id="rId217" w:history="1">
        <w:r w:rsidRPr="00383736">
          <w:rPr>
            <w:rStyle w:val="Hyperlink"/>
            <w:color w:val="007BAB" w:themeColor="text2" w:themeTint="BF"/>
          </w:rPr>
          <w:t>[2000] AATA 71</w:t>
        </w:r>
      </w:hyperlink>
      <w:r w:rsidR="00B53227">
        <w:rPr>
          <w:color w:val="007BAB" w:themeColor="text2" w:themeTint="BF"/>
        </w:rPr>
        <w:t xml:space="preserve"> [15]</w:t>
      </w:r>
      <w:r w:rsidRPr="0043786E">
        <w:t>.</w:t>
      </w:r>
    </w:p>
  </w:footnote>
  <w:footnote w:id="174">
    <w:p w14:paraId="38BAB518" w14:textId="47820734"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B732A">
        <w:rPr>
          <w:i/>
          <w:iCs/>
        </w:rPr>
        <w:t>Re Caruth and Department of Health, Housing, Local Government and Community Services</w:t>
      </w:r>
      <w:r w:rsidRPr="00DD07E1">
        <w:t xml:space="preserve"> </w:t>
      </w:r>
      <w:r w:rsidR="00383736">
        <w:t xml:space="preserve"> </w:t>
      </w:r>
      <w:hyperlink r:id="rId218" w:history="1">
        <w:r w:rsidR="00383736" w:rsidRPr="006A7358">
          <w:rPr>
            <w:rStyle w:val="Hyperlink"/>
            <w:color w:val="007BAB" w:themeColor="text2" w:themeTint="BF"/>
          </w:rPr>
          <w:t>[1993] ATA 187</w:t>
        </w:r>
      </w:hyperlink>
      <w:r w:rsidR="00C3791B">
        <w:rPr>
          <w:color w:val="007BAB" w:themeColor="text2" w:themeTint="BF"/>
        </w:rPr>
        <w:t xml:space="preserve"> [17]</w:t>
      </w:r>
      <w:r w:rsidRPr="00DD07E1">
        <w:t>.</w:t>
      </w:r>
    </w:p>
  </w:footnote>
  <w:footnote w:id="175">
    <w:p w14:paraId="6DC23940" w14:textId="5BE92E52"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FB732A">
        <w:rPr>
          <w:i/>
          <w:iCs/>
        </w:rPr>
        <w:t>Re Kobelke and Minister for Planning</w:t>
      </w:r>
      <w:r w:rsidRPr="0043786E">
        <w:t xml:space="preserve"> </w:t>
      </w:r>
      <w:hyperlink r:id="rId219" w:history="1">
        <w:r w:rsidRPr="00B53227">
          <w:rPr>
            <w:rStyle w:val="Hyperlink"/>
            <w:color w:val="007BAB" w:themeColor="text2" w:themeTint="BF"/>
          </w:rPr>
          <w:t>[1994] WAICmr 5</w:t>
        </w:r>
      </w:hyperlink>
      <w:r w:rsidRPr="0043786E">
        <w:t>.</w:t>
      </w:r>
    </w:p>
  </w:footnote>
  <w:footnote w:id="176">
    <w:p w14:paraId="4F1B3CCB" w14:textId="36E8ABCF"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43786E">
        <w:t xml:space="preserve">See, for example </w:t>
      </w:r>
      <w:r w:rsidRPr="006641BF">
        <w:rPr>
          <w:i/>
          <w:iCs/>
        </w:rPr>
        <w:t>‘HZ’ and Australian Securities and Investments Commission</w:t>
      </w:r>
      <w:r w:rsidRPr="0043786E">
        <w:t xml:space="preserve"> </w:t>
      </w:r>
      <w:hyperlink r:id="rId220" w:history="1">
        <w:r w:rsidRPr="008D1FEA">
          <w:rPr>
            <w:rStyle w:val="Hyperlink"/>
            <w:color w:val="007BAB" w:themeColor="text2" w:themeTint="BF"/>
          </w:rPr>
          <w:t>[2016] AICmr 7</w:t>
        </w:r>
      </w:hyperlink>
      <w:r w:rsidRPr="0043786E">
        <w:t xml:space="preserve"> [34]</w:t>
      </w:r>
      <w:r w:rsidR="00B53227">
        <w:t>;</w:t>
      </w:r>
      <w:r w:rsidRPr="0043786E">
        <w:t xml:space="preserve"> </w:t>
      </w:r>
      <w:r w:rsidRPr="006641BF">
        <w:rPr>
          <w:i/>
          <w:iCs/>
        </w:rPr>
        <w:t>Wellard Rural Exports Pty Ltd and Department of Agriculture</w:t>
      </w:r>
      <w:r w:rsidRPr="0043786E">
        <w:t xml:space="preserve"> </w:t>
      </w:r>
      <w:hyperlink r:id="rId221" w:history="1">
        <w:r w:rsidRPr="008D1FEA">
          <w:rPr>
            <w:rStyle w:val="Hyperlink"/>
            <w:color w:val="007BAB" w:themeColor="text2" w:themeTint="BF"/>
          </w:rPr>
          <w:t>[2014] AICmr 131</w:t>
        </w:r>
      </w:hyperlink>
      <w:r w:rsidRPr="0043786E">
        <w:t xml:space="preserve"> [43].</w:t>
      </w:r>
    </w:p>
  </w:footnote>
  <w:footnote w:id="177">
    <w:p w14:paraId="1D69D445" w14:textId="035A3556" w:rsidR="00C4474C" w:rsidRDefault="00C4474C" w:rsidP="00921131">
      <w:pPr>
        <w:pStyle w:val="FootnoteText"/>
        <w:ind w:left="284" w:hanging="284"/>
      </w:pPr>
      <w:r>
        <w:rPr>
          <w:rStyle w:val="FootnoteReference"/>
        </w:rPr>
        <w:footnoteRef/>
      </w:r>
      <w:r>
        <w:t xml:space="preserve"> </w:t>
      </w:r>
      <w:r w:rsidR="00BF3D3D">
        <w:tab/>
      </w:r>
      <w:r w:rsidR="008D21ED">
        <w:t xml:space="preserve">For discussion </w:t>
      </w:r>
      <w:r w:rsidR="00F63200">
        <w:t xml:space="preserve">of the </w:t>
      </w:r>
      <w:r w:rsidR="002810A3">
        <w:t xml:space="preserve">relevant </w:t>
      </w:r>
      <w:r w:rsidR="00F63200">
        <w:t xml:space="preserve">principles </w:t>
      </w:r>
      <w:r w:rsidR="00BF3D3D">
        <w:t xml:space="preserve">when there are a large number of </w:t>
      </w:r>
      <w:r w:rsidR="008D21ED">
        <w:t xml:space="preserve">third parties see </w:t>
      </w:r>
      <w:r w:rsidR="00245B5D">
        <w:rPr>
          <w:rFonts w:ascii="Source Sans Pro" w:hAnsi="Source Sans Pro"/>
          <w:i/>
          <w:iCs/>
          <w:color w:val="333333"/>
          <w:shd w:val="clear" w:color="auto" w:fill="FFFFFF"/>
        </w:rPr>
        <w:t>PL’ and Department of Home Affairs</w:t>
      </w:r>
      <w:r w:rsidR="003C77F8">
        <w:rPr>
          <w:rFonts w:ascii="Source Sans Pro" w:hAnsi="Source Sans Pro"/>
          <w:i/>
          <w:iCs/>
          <w:color w:val="333333"/>
          <w:shd w:val="clear" w:color="auto" w:fill="FFFFFF"/>
        </w:rPr>
        <w:t xml:space="preserve"> </w:t>
      </w:r>
      <w:r w:rsidR="00245B5D">
        <w:rPr>
          <w:rFonts w:ascii="Source Sans Pro" w:hAnsi="Source Sans Pro"/>
          <w:color w:val="333333"/>
          <w:shd w:val="clear" w:color="auto" w:fill="FFFFFF"/>
        </w:rPr>
        <w:t>(</w:t>
      </w:r>
      <w:r w:rsidR="00245B5D">
        <w:rPr>
          <w:rFonts w:ascii="Source Sans Pro" w:hAnsi="Source Sans Pro"/>
          <w:i/>
          <w:iCs/>
          <w:color w:val="333333"/>
          <w:shd w:val="clear" w:color="auto" w:fill="FFFFFF"/>
        </w:rPr>
        <w:t>Freedom of information)</w:t>
      </w:r>
      <w:r w:rsidR="003C77F8">
        <w:rPr>
          <w:rFonts w:ascii="Source Sans Pro" w:hAnsi="Source Sans Pro"/>
          <w:i/>
          <w:iCs/>
          <w:color w:val="333333"/>
          <w:shd w:val="clear" w:color="auto" w:fill="FFFFFF"/>
        </w:rPr>
        <w:t xml:space="preserve"> </w:t>
      </w:r>
      <w:hyperlink r:id="rId222" w:tooltip="View Case" w:history="1">
        <w:r w:rsidR="00245B5D">
          <w:rPr>
            <w:rStyle w:val="Hyperlink"/>
            <w:rFonts w:ascii="Source Sans Pro" w:hAnsi="Source Sans Pro"/>
            <w:color w:val="3796CC"/>
            <w:shd w:val="clear" w:color="auto" w:fill="FFFFFF"/>
          </w:rPr>
          <w:t>[2018] AICmr 67</w:t>
        </w:r>
      </w:hyperlink>
      <w:r w:rsidR="00245B5D">
        <w:t xml:space="preserve"> [34]–[40]</w:t>
      </w:r>
      <w:r w:rsidR="00BF3D3D">
        <w:t>. See also</w:t>
      </w:r>
      <w:r w:rsidR="00245B5D">
        <w:t xml:space="preserve"> </w:t>
      </w:r>
      <w:r w:rsidR="00DE3D4E">
        <w:rPr>
          <w:rFonts w:ascii="Source Sans Pro" w:hAnsi="Source Sans Pro"/>
          <w:i/>
          <w:iCs/>
          <w:color w:val="333333"/>
          <w:shd w:val="clear" w:color="auto" w:fill="FFFFFF"/>
        </w:rPr>
        <w:t>Christis Tombazos and Australian Research Council (Freedom of information)</w:t>
      </w:r>
      <w:r w:rsidR="003C77F8">
        <w:rPr>
          <w:rFonts w:ascii="Source Sans Pro" w:hAnsi="Source Sans Pro"/>
          <w:i/>
          <w:iCs/>
          <w:color w:val="333333"/>
          <w:shd w:val="clear" w:color="auto" w:fill="FFFFFF"/>
        </w:rPr>
        <w:t xml:space="preserve"> </w:t>
      </w:r>
      <w:hyperlink r:id="rId223" w:tooltip="View Case" w:history="1">
        <w:r w:rsidR="00DE3D4E">
          <w:rPr>
            <w:rStyle w:val="Hyperlink"/>
            <w:rFonts w:ascii="Source Sans Pro" w:hAnsi="Source Sans Pro"/>
            <w:color w:val="3796CC"/>
            <w:shd w:val="clear" w:color="auto" w:fill="FFFFFF"/>
          </w:rPr>
          <w:t>[2023] AICmr 14</w:t>
        </w:r>
      </w:hyperlink>
      <w:r w:rsidR="00DE3D4E">
        <w:t xml:space="preserve"> [45].</w:t>
      </w:r>
    </w:p>
  </w:footnote>
  <w:footnote w:id="178">
    <w:p w14:paraId="62F80AFD" w14:textId="3294E16E" w:rsidR="00F85EF4" w:rsidRPr="00866F18" w:rsidRDefault="00F85EF4" w:rsidP="00D36C42">
      <w:pPr>
        <w:pStyle w:val="FootnoteText"/>
        <w:tabs>
          <w:tab w:val="left" w:pos="284"/>
        </w:tabs>
        <w:ind w:left="284" w:hanging="284"/>
      </w:pPr>
      <w:r>
        <w:rPr>
          <w:rStyle w:val="FootnoteReference"/>
        </w:rPr>
        <w:footnoteRef/>
      </w:r>
      <w:r>
        <w:t xml:space="preserve"> </w:t>
      </w:r>
      <w:r w:rsidR="00D36C42">
        <w:tab/>
      </w:r>
      <w:r>
        <w:t xml:space="preserve">See </w:t>
      </w:r>
      <w:r w:rsidRPr="00866F18">
        <w:rPr>
          <w:i/>
        </w:rPr>
        <w:t xml:space="preserve">Australian Broadcasting Corporation and Civil Aviation Safety Authority </w:t>
      </w:r>
      <w:hyperlink r:id="rId224" w:history="1">
        <w:r w:rsidRPr="006A7358">
          <w:rPr>
            <w:rStyle w:val="Hyperlink"/>
            <w:color w:val="007BAB" w:themeColor="text2" w:themeTint="BF"/>
          </w:rPr>
          <w:t>[2015] AICmr 21</w:t>
        </w:r>
      </w:hyperlink>
      <w:r>
        <w:t xml:space="preserve"> [5] and s 27(1)(b)</w:t>
      </w:r>
      <w:r w:rsidRPr="00921131">
        <w:rPr>
          <w:highlight w:val="yellow"/>
        </w:rPr>
        <w:t xml:space="preserve"> </w:t>
      </w:r>
      <w:r w:rsidRPr="00BA1702">
        <w:t>of the FOI Act.</w:t>
      </w:r>
    </w:p>
  </w:footnote>
  <w:footnote w:id="179">
    <w:p w14:paraId="60CA848B" w14:textId="4B33AB26" w:rsidR="00F85EF4" w:rsidRPr="00DD07E1" w:rsidRDefault="00F85EF4" w:rsidP="00D36C42">
      <w:pPr>
        <w:pStyle w:val="FootnoteText"/>
        <w:tabs>
          <w:tab w:val="left" w:pos="284"/>
        </w:tabs>
        <w:ind w:left="284" w:hanging="284"/>
      </w:pPr>
      <w:r w:rsidRPr="0043786E">
        <w:rPr>
          <w:rStyle w:val="FootnoteReference"/>
        </w:rPr>
        <w:footnoteRef/>
      </w:r>
      <w:r w:rsidRPr="0043786E">
        <w:t xml:space="preserve"> </w:t>
      </w:r>
      <w:r w:rsidR="00D36C42">
        <w:tab/>
      </w:r>
      <w:r w:rsidRPr="00E75875">
        <w:t xml:space="preserve">See Explanatory Memorandum to the Freedom of Information Amendment (Reform) Bill 2010, pp. 21–22. For an example of the application of this exemption see </w:t>
      </w:r>
      <w:r w:rsidRPr="00E75875">
        <w:rPr>
          <w:i/>
          <w:iCs/>
        </w:rPr>
        <w:t>Washington and Australian Prudential Regulation Authority</w:t>
      </w:r>
      <w:r w:rsidRPr="00E75875">
        <w:t xml:space="preserve"> </w:t>
      </w:r>
      <w:hyperlink r:id="rId225" w:history="1">
        <w:r w:rsidRPr="006A7358">
          <w:rPr>
            <w:rStyle w:val="Hyperlink"/>
            <w:color w:val="007BAB" w:themeColor="text2" w:themeTint="BF"/>
          </w:rPr>
          <w:t>[2011] AICmr 11</w:t>
        </w:r>
      </w:hyperlink>
      <w:r w:rsidRPr="00E75875">
        <w:t>.</w:t>
      </w:r>
    </w:p>
  </w:footnote>
  <w:footnote w:id="180">
    <w:p w14:paraId="7800BCFE" w14:textId="77777777" w:rsidR="00BF60AF" w:rsidRPr="0043786E" w:rsidRDefault="00BF60AF" w:rsidP="00BF60AF">
      <w:pPr>
        <w:pStyle w:val="FootnoteText"/>
        <w:tabs>
          <w:tab w:val="left" w:pos="284"/>
        </w:tabs>
        <w:ind w:left="284" w:hanging="284"/>
      </w:pPr>
      <w:r w:rsidRPr="0043786E">
        <w:rPr>
          <w:rStyle w:val="FootnoteReference"/>
        </w:rPr>
        <w:footnoteRef/>
      </w:r>
      <w:r w:rsidRPr="0043786E">
        <w:t xml:space="preserve"> </w:t>
      </w:r>
      <w:r>
        <w:tab/>
      </w:r>
      <w:r w:rsidRPr="00756129">
        <w:rPr>
          <w:i/>
          <w:iCs/>
        </w:rPr>
        <w:t>British Steel Corporation v Granada Television Ltd</w:t>
      </w:r>
      <w:r w:rsidRPr="00F248A7">
        <w:t xml:space="preserve"> </w:t>
      </w:r>
      <w:hyperlink r:id="rId226" w:history="1">
        <w:r w:rsidRPr="00FE6F99">
          <w:rPr>
            <w:rStyle w:val="Hyperlink"/>
            <w:color w:val="007BAB" w:themeColor="text2" w:themeTint="BF"/>
          </w:rPr>
          <w:t>[1981] AC 1096</w:t>
        </w:r>
      </w:hyperlink>
      <w:r w:rsidRPr="00F248A7">
        <w:t xml:space="preserve">. The 1979 Senate Committee on the FOI bill described the concept of ‘public interest’ in the FOI context as: ‘a convenient and useful concept for aggregating any number of interests that may bear upon a disputed question that is of general – as opposed to merely private – concern.’ Senate Standing Committee on Constitutional and Legal Affairs, </w:t>
      </w:r>
      <w:hyperlink r:id="rId227" w:anchor="page/n0/mode/1up" w:history="1">
        <w:r w:rsidRPr="001B0EF2">
          <w:rPr>
            <w:rStyle w:val="Hyperlink"/>
            <w:i/>
            <w:iCs/>
          </w:rPr>
          <w:t>Report on the Cth Freedom of Information Bill 1978</w:t>
        </w:r>
        <w:r w:rsidRPr="001B0EF2">
          <w:rPr>
            <w:rStyle w:val="Hyperlink"/>
          </w:rPr>
          <w:t>, 1979</w:t>
        </w:r>
      </w:hyperlink>
      <w:r w:rsidRPr="00F248A7">
        <w:t xml:space="preserve">, </w:t>
      </w:r>
      <w:r>
        <w:t>[</w:t>
      </w:r>
      <w:r w:rsidRPr="00F248A7">
        <w:t>5.25</w:t>
      </w:r>
      <w:r>
        <w:t>]</w:t>
      </w:r>
      <w:r w:rsidRPr="00F248A7">
        <w:t>.</w:t>
      </w:r>
    </w:p>
  </w:footnote>
  <w:footnote w:id="181">
    <w:p w14:paraId="4F5F428D" w14:textId="4C96151F" w:rsidR="00BF60AF" w:rsidRPr="00DD07E1" w:rsidRDefault="00BF60AF" w:rsidP="00BF60AF">
      <w:pPr>
        <w:pStyle w:val="FootnoteText"/>
        <w:tabs>
          <w:tab w:val="left" w:pos="284"/>
        </w:tabs>
        <w:ind w:left="284" w:hanging="284"/>
      </w:pPr>
      <w:r w:rsidRPr="0043786E">
        <w:rPr>
          <w:rStyle w:val="FootnoteReference"/>
        </w:rPr>
        <w:footnoteRef/>
      </w:r>
      <w:r w:rsidRPr="0043786E">
        <w:t xml:space="preserve"> </w:t>
      </w:r>
      <w:r>
        <w:tab/>
      </w:r>
      <w:r w:rsidRPr="00756129">
        <w:rPr>
          <w:i/>
          <w:iCs/>
        </w:rPr>
        <w:t>Johansen v City Mutual Life Assurance Society Ltd</w:t>
      </w:r>
      <w:r w:rsidRPr="00F248A7">
        <w:t xml:space="preserve"> </w:t>
      </w:r>
      <w:hyperlink r:id="rId228" w:history="1">
        <w:r w:rsidRPr="00FE6F99">
          <w:rPr>
            <w:rStyle w:val="Hyperlink"/>
            <w:color w:val="007BAB" w:themeColor="text2" w:themeTint="BF"/>
          </w:rPr>
          <w:t>[1904] HCA 43</w:t>
        </w:r>
      </w:hyperlink>
      <w:r>
        <w:t xml:space="preserve">; (1904) </w:t>
      </w:r>
      <w:r w:rsidRPr="00F248A7">
        <w:t>2 CLR 186.</w:t>
      </w:r>
    </w:p>
  </w:footnote>
  <w:footnote w:id="182">
    <w:p w14:paraId="1488F2D1" w14:textId="69F8AF70" w:rsidR="00BF60AF" w:rsidRPr="00F248A7" w:rsidRDefault="00BF60AF" w:rsidP="00BF60AF">
      <w:pPr>
        <w:pStyle w:val="FootnoteText"/>
        <w:tabs>
          <w:tab w:val="left" w:pos="284"/>
        </w:tabs>
        <w:ind w:left="284" w:hanging="284"/>
      </w:pPr>
      <w:r w:rsidRPr="0043786E">
        <w:rPr>
          <w:rStyle w:val="FootnoteReference"/>
        </w:rPr>
        <w:footnoteRef/>
      </w:r>
      <w:r>
        <w:t xml:space="preserve"> </w:t>
      </w:r>
      <w:bookmarkStart w:id="279" w:name="_Hlk50113216"/>
      <w:r>
        <w:tab/>
      </w:r>
      <w:r w:rsidRPr="00F248A7">
        <w:t xml:space="preserve">As explained by Forgie DP in </w:t>
      </w:r>
      <w:r w:rsidRPr="00756129">
        <w:rPr>
          <w:i/>
          <w:iCs/>
        </w:rPr>
        <w:t>Wood; Secretary, Department of Prime Minister and Cabinet and (Freedom of information)</w:t>
      </w:r>
      <w:r w:rsidRPr="00F248A7">
        <w:t xml:space="preserve"> </w:t>
      </w:r>
      <w:hyperlink r:id="rId229" w:history="1">
        <w:r w:rsidRPr="00FE6F99">
          <w:rPr>
            <w:rStyle w:val="Hyperlink"/>
            <w:color w:val="007BAB" w:themeColor="text2" w:themeTint="BF"/>
          </w:rPr>
          <w:t>[2015] AATA 945</w:t>
        </w:r>
      </w:hyperlink>
      <w:r>
        <w:t xml:space="preserve"> </w:t>
      </w:r>
      <w:r w:rsidRPr="00F248A7">
        <w:t xml:space="preserve">[54] </w:t>
      </w:r>
      <w:bookmarkEnd w:id="279"/>
      <w:r w:rsidRPr="00F248A7">
        <w:t xml:space="preserve">citing </w:t>
      </w:r>
      <w:r w:rsidRPr="00756129">
        <w:rPr>
          <w:i/>
          <w:iCs/>
        </w:rPr>
        <w:t>McKinnon v Secretary, Department of Treasury</w:t>
      </w:r>
      <w:r w:rsidRPr="00F248A7">
        <w:t xml:space="preserve"> </w:t>
      </w:r>
      <w:hyperlink r:id="rId230" w:history="1">
        <w:r w:rsidRPr="00FE6F99">
          <w:rPr>
            <w:rStyle w:val="Hyperlink"/>
            <w:color w:val="007BAB" w:themeColor="text2" w:themeTint="BF"/>
          </w:rPr>
          <w:t>[2005] FCAFC 142</w:t>
        </w:r>
      </w:hyperlink>
      <w:r>
        <w:t xml:space="preserve"> [231]</w:t>
      </w:r>
      <w:r w:rsidRPr="00F248A7">
        <w:t xml:space="preserve">; (2005) 145 FCR 70; 220 ALR 587; 88 ALD 12; 41 AAR 23  per Jacobson J with whom Tamberlin J agreed, citing </w:t>
      </w:r>
      <w:r w:rsidRPr="00756129">
        <w:rPr>
          <w:i/>
          <w:iCs/>
        </w:rPr>
        <w:t>Sankey v Whitlam</w:t>
      </w:r>
      <w:r w:rsidRPr="00F248A7">
        <w:t xml:space="preserve"> </w:t>
      </w:r>
      <w:hyperlink r:id="rId231" w:history="1">
        <w:r w:rsidRPr="00FE6F99">
          <w:rPr>
            <w:rStyle w:val="Hyperlink"/>
            <w:color w:val="007BAB" w:themeColor="text2" w:themeTint="BF"/>
          </w:rPr>
          <w:t>[1978] HCA 43</w:t>
        </w:r>
      </w:hyperlink>
      <w:r w:rsidRPr="00F248A7">
        <w:t>; (1978) 14</w:t>
      </w:r>
      <w:r>
        <w:t>2</w:t>
      </w:r>
      <w:r w:rsidRPr="00F248A7">
        <w:t xml:space="preserve"> CLR 1 </w:t>
      </w:r>
      <w:r>
        <w:t>[</w:t>
      </w:r>
      <w:r w:rsidRPr="00F248A7">
        <w:t>60</w:t>
      </w:r>
      <w:r>
        <w:t>]</w:t>
      </w:r>
      <w:r w:rsidRPr="00F248A7">
        <w:t xml:space="preserve"> per Stephen J.</w:t>
      </w:r>
    </w:p>
  </w:footnote>
  <w:footnote w:id="183">
    <w:p w14:paraId="64D7FC5D" w14:textId="77777777" w:rsidR="00BF60AF" w:rsidRPr="00DD07E1" w:rsidRDefault="00BF60AF" w:rsidP="00BF60AF">
      <w:pPr>
        <w:pStyle w:val="FootnoteText"/>
        <w:tabs>
          <w:tab w:val="left" w:pos="284"/>
        </w:tabs>
        <w:ind w:left="284" w:hanging="284"/>
      </w:pPr>
      <w:r w:rsidRPr="0043786E">
        <w:rPr>
          <w:rStyle w:val="FootnoteReference"/>
        </w:rPr>
        <w:footnoteRef/>
      </w:r>
      <w:r w:rsidRPr="0043786E">
        <w:t xml:space="preserve"> </w:t>
      </w:r>
      <w:r>
        <w:tab/>
      </w:r>
      <w:r w:rsidRPr="00756129">
        <w:t>Because what constitutes the public interest depends on the particular facts of the matter and the context in which it is being considered.</w:t>
      </w:r>
    </w:p>
  </w:footnote>
  <w:footnote w:id="184">
    <w:p w14:paraId="4CF95DB7" w14:textId="3C6D6ACC" w:rsidR="00BF60AF" w:rsidRPr="0003329D" w:rsidRDefault="00BF60AF" w:rsidP="00BF60AF">
      <w:pPr>
        <w:pStyle w:val="FootnoteText"/>
        <w:tabs>
          <w:tab w:val="left" w:pos="284"/>
        </w:tabs>
        <w:ind w:left="284" w:hanging="284"/>
      </w:pPr>
      <w:r>
        <w:rPr>
          <w:rStyle w:val="FootnoteReference"/>
        </w:rPr>
        <w:footnoteRef/>
      </w:r>
      <w:r>
        <w:t xml:space="preserve"> </w:t>
      </w:r>
      <w:bookmarkStart w:id="280" w:name="_Hlk50113242"/>
      <w:r>
        <w:tab/>
      </w:r>
      <w:r w:rsidRPr="00756129">
        <w:rPr>
          <w:i/>
          <w:iCs/>
        </w:rPr>
        <w:t>Sinclair v Maryborough Mining Warden</w:t>
      </w:r>
      <w:r w:rsidRPr="00756129">
        <w:t xml:space="preserve"> </w:t>
      </w:r>
      <w:hyperlink r:id="rId232" w:history="1">
        <w:r w:rsidRPr="00FE6F99">
          <w:rPr>
            <w:rStyle w:val="Hyperlink"/>
            <w:color w:val="007BAB" w:themeColor="text2" w:themeTint="BF"/>
          </w:rPr>
          <w:t>[1975] HCA 17</w:t>
        </w:r>
      </w:hyperlink>
      <w:r>
        <w:t xml:space="preserve"> [16]</w:t>
      </w:r>
      <w:r w:rsidRPr="00756129">
        <w:t>; (1975) 132 CLR 473</w:t>
      </w:r>
      <w:r>
        <w:t xml:space="preserve"> at </w:t>
      </w:r>
      <w:r w:rsidRPr="00756129">
        <w:t>480 (Barwick CJ).</w:t>
      </w:r>
      <w:bookmarkEnd w:id="280"/>
    </w:p>
  </w:footnote>
  <w:footnote w:id="185">
    <w:p w14:paraId="18F5F407" w14:textId="77777777" w:rsidR="00BF60AF" w:rsidRDefault="00BF60AF" w:rsidP="00BF60AF">
      <w:pPr>
        <w:pStyle w:val="FootnoteText"/>
        <w:tabs>
          <w:tab w:val="left" w:pos="284"/>
        </w:tabs>
        <w:ind w:left="284" w:hanging="284"/>
      </w:pPr>
      <w:r>
        <w:rPr>
          <w:rStyle w:val="FootnoteReference"/>
        </w:rPr>
        <w:footnoteRef/>
      </w:r>
      <w:r>
        <w:t xml:space="preserve"> </w:t>
      </w:r>
      <w:r>
        <w:tab/>
      </w:r>
      <w:r>
        <w:rPr>
          <w:rFonts w:ascii="Source Sans Pro" w:hAnsi="Source Sans Pro"/>
          <w:i/>
          <w:iCs/>
          <w:color w:val="333333"/>
          <w:shd w:val="clear" w:color="auto" w:fill="FFFFFF"/>
        </w:rPr>
        <w:t xml:space="preserve">Rex Patrick and Department of Agriculture, Water and the Environment (Freedom of information) </w:t>
      </w:r>
      <w:hyperlink r:id="rId233" w:tooltip="View Case" w:history="1">
        <w:r w:rsidRPr="00BA0058">
          <w:rPr>
            <w:rStyle w:val="Hyperlink"/>
            <w:rFonts w:ascii="Source Sans Pro" w:hAnsi="Source Sans Pro"/>
            <w:color w:val="007BAB" w:themeColor="text2" w:themeTint="BF"/>
            <w:shd w:val="clear" w:color="auto" w:fill="FFFFFF"/>
          </w:rPr>
          <w:t>[2021] AICmr 57</w:t>
        </w:r>
      </w:hyperlink>
      <w:r>
        <w:rPr>
          <w:rFonts w:ascii="Source Sans Pro" w:hAnsi="Source Sans Pro"/>
          <w:color w:val="333333"/>
          <w:shd w:val="clear" w:color="auto" w:fill="FFFFFF"/>
        </w:rPr>
        <w:t xml:space="preserve"> [66]–[72.</w:t>
      </w:r>
    </w:p>
  </w:footnote>
  <w:footnote w:id="186">
    <w:p w14:paraId="2E9F758E" w14:textId="77777777" w:rsidR="00BF60AF" w:rsidRPr="00DD07E1" w:rsidRDefault="00BF60AF" w:rsidP="00BF60AF">
      <w:pPr>
        <w:pStyle w:val="FootnoteText"/>
        <w:tabs>
          <w:tab w:val="left" w:pos="284"/>
        </w:tabs>
        <w:ind w:left="284" w:hanging="284"/>
      </w:pPr>
      <w:r w:rsidRPr="0043786E">
        <w:rPr>
          <w:rStyle w:val="FootnoteReference"/>
        </w:rPr>
        <w:footnoteRef/>
      </w:r>
      <w:r w:rsidRPr="0043786E">
        <w:t xml:space="preserve"> </w:t>
      </w:r>
      <w:r>
        <w:tab/>
      </w:r>
      <w:r w:rsidRPr="00DD07E1">
        <w:t xml:space="preserve">See </w:t>
      </w:r>
      <w:r w:rsidRPr="0043786E">
        <w:t>also</w:t>
      </w:r>
      <w:r w:rsidRPr="00DD07E1">
        <w:t xml:space="preserve"> </w:t>
      </w:r>
      <w:r w:rsidRPr="006E22F6">
        <w:rPr>
          <w:i/>
          <w:iCs/>
        </w:rPr>
        <w:t>Carver and Fair Work Ombudsman</w:t>
      </w:r>
      <w:r w:rsidRPr="0043786E">
        <w:t xml:space="preserve"> </w:t>
      </w:r>
      <w:hyperlink r:id="rId234" w:history="1">
        <w:r w:rsidRPr="004D048A">
          <w:rPr>
            <w:rStyle w:val="Hyperlink"/>
            <w:color w:val="007BAB" w:themeColor="text2" w:themeTint="BF"/>
          </w:rPr>
          <w:t>[2011] AICmr 5</w:t>
        </w:r>
      </w:hyperlink>
      <w:r w:rsidRPr="0043786E">
        <w:t>.</w:t>
      </w:r>
    </w:p>
  </w:footnote>
  <w:footnote w:id="187">
    <w:p w14:paraId="366D873A" w14:textId="77777777" w:rsidR="00BF60AF" w:rsidRDefault="00BF60AF" w:rsidP="00BF60AF">
      <w:pPr>
        <w:pStyle w:val="FootnoteText"/>
        <w:tabs>
          <w:tab w:val="left" w:pos="284"/>
        </w:tabs>
        <w:ind w:left="284" w:hanging="284"/>
      </w:pPr>
      <w:r>
        <w:rPr>
          <w:rStyle w:val="FootnoteReference"/>
        </w:rPr>
        <w:footnoteRef/>
      </w:r>
      <w:r>
        <w:t xml:space="preserve"> </w:t>
      </w:r>
      <w:r>
        <w:tab/>
      </w:r>
      <w:r w:rsidRPr="0043786E">
        <w:t xml:space="preserve">See </w:t>
      </w:r>
      <w:r w:rsidRPr="0043786E">
        <w:rPr>
          <w:bCs/>
          <w:i/>
        </w:rPr>
        <w:t xml:space="preserve">‘FG’ and National Archives of </w:t>
      </w:r>
      <w:r w:rsidRPr="00DD07E1">
        <w:rPr>
          <w:i/>
        </w:rPr>
        <w:t>Australia</w:t>
      </w:r>
      <w:r w:rsidRPr="00DD07E1">
        <w:t xml:space="preserve"> </w:t>
      </w:r>
      <w:hyperlink r:id="rId235" w:tooltip="View Case" w:history="1">
        <w:r w:rsidRPr="004D048A">
          <w:rPr>
            <w:color w:val="007BAB" w:themeColor="text2" w:themeTint="BF"/>
            <w:u w:val="single"/>
          </w:rPr>
          <w:t>[2015] AICmr 26</w:t>
        </w:r>
      </w:hyperlink>
      <w:r w:rsidRPr="0043786E">
        <w:t>.</w:t>
      </w:r>
    </w:p>
  </w:footnote>
  <w:footnote w:id="188">
    <w:p w14:paraId="22E99038" w14:textId="77777777" w:rsidR="00BF60AF" w:rsidRDefault="00BF60AF" w:rsidP="00BF60AF">
      <w:pPr>
        <w:pStyle w:val="FootnoteText"/>
        <w:tabs>
          <w:tab w:val="left" w:pos="284"/>
        </w:tabs>
        <w:ind w:left="284" w:hanging="284"/>
      </w:pPr>
      <w:r>
        <w:rPr>
          <w:rStyle w:val="FootnoteReference"/>
        </w:rPr>
        <w:footnoteRef/>
      </w:r>
      <w:r>
        <w:t xml:space="preserve"> </w:t>
      </w:r>
      <w:r>
        <w:tab/>
        <w:t xml:space="preserve">For example, </w:t>
      </w:r>
      <w:r w:rsidRPr="00D55EF1">
        <w:rPr>
          <w:rFonts w:ascii="Source Sans Pro" w:hAnsi="Source Sans Pro"/>
          <w:i/>
          <w:iCs/>
          <w:color w:val="333333"/>
          <w:shd w:val="clear" w:color="auto" w:fill="FFFFFF"/>
        </w:rPr>
        <w:t>Linton Besser and Department of Employment</w:t>
      </w:r>
      <w:r>
        <w:rPr>
          <w:rFonts w:ascii="Source Sans Pro" w:hAnsi="Source Sans Pro"/>
          <w:color w:val="333333"/>
          <w:shd w:val="clear" w:color="auto" w:fill="FFFFFF"/>
        </w:rPr>
        <w:t xml:space="preserve"> </w:t>
      </w:r>
      <w:hyperlink r:id="rId236" w:tooltip="View Case" w:history="1">
        <w:r w:rsidRPr="00784845">
          <w:rPr>
            <w:rStyle w:val="Hyperlink"/>
            <w:rFonts w:ascii="Source Sans Pro" w:hAnsi="Source Sans Pro"/>
            <w:color w:val="3796CC"/>
          </w:rPr>
          <w:t>[2015] AICmr 67</w:t>
        </w:r>
      </w:hyperlink>
      <w:r w:rsidRPr="00784845">
        <w:rPr>
          <w:rFonts w:ascii="Source Sans Pro" w:hAnsi="Source Sans Pro"/>
          <w:color w:val="333333"/>
          <w:shd w:val="clear" w:color="auto" w:fill="FFFFFF"/>
        </w:rPr>
        <w:t xml:space="preserve"> [25]–[26] and [53]</w:t>
      </w:r>
      <w:r>
        <w:rPr>
          <w:rFonts w:ascii="Source Sans Pro" w:hAnsi="Source Sans Pro"/>
          <w:color w:val="333333"/>
          <w:shd w:val="clear" w:color="auto" w:fill="FFFFFF"/>
        </w:rPr>
        <w:t xml:space="preserve">; </w:t>
      </w:r>
      <w:r>
        <w:rPr>
          <w:rFonts w:ascii="Source Sans Pro" w:hAnsi="Source Sans Pro"/>
          <w:i/>
          <w:iCs/>
          <w:color w:val="333333"/>
          <w:shd w:val="clear" w:color="auto" w:fill="FFFFFF"/>
        </w:rPr>
        <w:t>Rex Patrick and Department of Agriculture, Water and the Environment (Freedom of information)</w:t>
      </w:r>
      <w:r>
        <w:rPr>
          <w:rFonts w:ascii="Source Sans Pro" w:hAnsi="Source Sans Pro"/>
          <w:color w:val="333333"/>
          <w:shd w:val="clear" w:color="auto" w:fill="FFFFFF"/>
        </w:rPr>
        <w:t> </w:t>
      </w:r>
      <w:hyperlink r:id="rId237" w:tooltip="View Case" w:history="1">
        <w:r>
          <w:rPr>
            <w:rStyle w:val="Hyperlink"/>
            <w:rFonts w:ascii="Source Sans Pro" w:hAnsi="Source Sans Pro"/>
            <w:color w:val="3796CC"/>
            <w:shd w:val="clear" w:color="auto" w:fill="FFFFFF"/>
          </w:rPr>
          <w:t>[2021] AICmr 57</w:t>
        </w:r>
      </w:hyperlink>
      <w:r w:rsidRPr="00784845">
        <w:rPr>
          <w:rFonts w:ascii="Source Sans Pro" w:hAnsi="Source Sans Pro"/>
          <w:color w:val="333333"/>
          <w:shd w:val="clear" w:color="auto" w:fill="FFFFFF"/>
        </w:rPr>
        <w:t>.</w:t>
      </w:r>
    </w:p>
  </w:footnote>
  <w:footnote w:id="189">
    <w:p w14:paraId="754E6724" w14:textId="4CA6ED59" w:rsidR="00BF60AF" w:rsidRPr="00573967" w:rsidRDefault="00BF60AF" w:rsidP="00BF60AF">
      <w:pPr>
        <w:pStyle w:val="FootnoteText"/>
        <w:tabs>
          <w:tab w:val="left" w:pos="284"/>
        </w:tabs>
        <w:ind w:left="284" w:hanging="284"/>
      </w:pPr>
      <w:r>
        <w:rPr>
          <w:rStyle w:val="FootnoteReference"/>
        </w:rPr>
        <w:footnoteRef/>
      </w:r>
      <w:r>
        <w:t xml:space="preserve"> </w:t>
      </w:r>
      <w:r>
        <w:tab/>
      </w:r>
      <w:r w:rsidRPr="00DD07E1">
        <w:t xml:space="preserve">This </w:t>
      </w:r>
      <w:r w:rsidRPr="0043786E">
        <w:t>refers</w:t>
      </w:r>
      <w:r w:rsidRPr="00DD07E1">
        <w:t xml:space="preserve"> </w:t>
      </w:r>
      <w:r w:rsidRPr="0043786E">
        <w:t>to</w:t>
      </w:r>
      <w:r w:rsidRPr="00DD07E1">
        <w:t xml:space="preserve"> administration of justice </w:t>
      </w:r>
      <w:r w:rsidRPr="0043786E">
        <w:t>in</w:t>
      </w:r>
      <w:r w:rsidRPr="00DD07E1">
        <w:t xml:space="preserve"> </w:t>
      </w:r>
      <w:r w:rsidRPr="0043786E">
        <w:t>a</w:t>
      </w:r>
      <w:r w:rsidRPr="00DD07E1">
        <w:t xml:space="preserve"> </w:t>
      </w:r>
      <w:r w:rsidRPr="0043786E">
        <w:t>more</w:t>
      </w:r>
      <w:r w:rsidRPr="00DD07E1">
        <w:t xml:space="preserve"> </w:t>
      </w:r>
      <w:r w:rsidRPr="0043786E">
        <w:t>general</w:t>
      </w:r>
      <w:r w:rsidRPr="00DD07E1">
        <w:t xml:space="preserve"> sense. </w:t>
      </w:r>
      <w:r w:rsidRPr="0043786E">
        <w:t>Access</w:t>
      </w:r>
      <w:r w:rsidRPr="00DD07E1">
        <w:t xml:space="preserve"> </w:t>
      </w:r>
      <w:r w:rsidRPr="0043786E">
        <w:t>to</w:t>
      </w:r>
      <w:r w:rsidRPr="00DD07E1">
        <w:t xml:space="preserve"> </w:t>
      </w:r>
      <w:r w:rsidRPr="0043786E">
        <w:t>documents</w:t>
      </w:r>
      <w:r w:rsidRPr="00DD07E1">
        <w:t xml:space="preserve"> </w:t>
      </w:r>
      <w:r w:rsidRPr="0043786E">
        <w:t>through</w:t>
      </w:r>
      <w:r w:rsidRPr="00DD07E1">
        <w:t xml:space="preserve"> FOI </w:t>
      </w:r>
      <w:r w:rsidRPr="0043786E">
        <w:t>is</w:t>
      </w:r>
      <w:r w:rsidRPr="00DD07E1">
        <w:t xml:space="preserve"> </w:t>
      </w:r>
      <w:r w:rsidRPr="0043786E">
        <w:t>not</w:t>
      </w:r>
      <w:r w:rsidRPr="00DD07E1">
        <w:rPr>
          <w:w w:val="99"/>
        </w:rPr>
        <w:t xml:space="preserve"> </w:t>
      </w:r>
      <w:r w:rsidRPr="00DD07E1">
        <w:t xml:space="preserve">intended </w:t>
      </w:r>
      <w:r w:rsidRPr="0043786E">
        <w:t>to</w:t>
      </w:r>
      <w:r w:rsidRPr="00DD07E1">
        <w:t xml:space="preserve"> replace </w:t>
      </w:r>
      <w:r w:rsidRPr="0043786E">
        <w:t>the</w:t>
      </w:r>
      <w:r w:rsidRPr="00DD07E1">
        <w:t xml:space="preserve"> discovery </w:t>
      </w:r>
      <w:r w:rsidRPr="0043786E">
        <w:t>process</w:t>
      </w:r>
      <w:r w:rsidRPr="00DD07E1">
        <w:t xml:space="preserve"> </w:t>
      </w:r>
      <w:r w:rsidRPr="0043786E">
        <w:t>in</w:t>
      </w:r>
      <w:r w:rsidRPr="00DD07E1">
        <w:t xml:space="preserve"> </w:t>
      </w:r>
      <w:r w:rsidRPr="0043786E">
        <w:t>particular</w:t>
      </w:r>
      <w:r w:rsidRPr="00DD07E1">
        <w:t xml:space="preserve"> </w:t>
      </w:r>
      <w:r w:rsidRPr="0043786E">
        <w:t>proceedings</w:t>
      </w:r>
      <w:r w:rsidRPr="00DD07E1">
        <w:t xml:space="preserve"> </w:t>
      </w:r>
      <w:r w:rsidRPr="0043786E">
        <w:t>in</w:t>
      </w:r>
      <w:r w:rsidRPr="00DD07E1">
        <w:t xml:space="preserve"> </w:t>
      </w:r>
      <w:r w:rsidRPr="0043786E">
        <w:t>courts</w:t>
      </w:r>
      <w:r w:rsidRPr="00DD07E1">
        <w:t xml:space="preserve"> </w:t>
      </w:r>
      <w:r w:rsidRPr="0043786E">
        <w:t>and</w:t>
      </w:r>
      <w:r w:rsidRPr="00DD07E1">
        <w:t xml:space="preserve"> tribunals, </w:t>
      </w:r>
      <w:r w:rsidRPr="0043786E">
        <w:t>which</w:t>
      </w:r>
      <w:r w:rsidRPr="00DD07E1">
        <w:rPr>
          <w:w w:val="99"/>
        </w:rPr>
        <w:t xml:space="preserve"> </w:t>
      </w:r>
      <w:r w:rsidRPr="00DD07E1">
        <w:t xml:space="preserve">supervise </w:t>
      </w:r>
      <w:r w:rsidRPr="0043786E">
        <w:t>the</w:t>
      </w:r>
      <w:r w:rsidRPr="00DD07E1">
        <w:t xml:space="preserve"> </w:t>
      </w:r>
      <w:r w:rsidRPr="0043786E">
        <w:t>provision</w:t>
      </w:r>
      <w:r w:rsidRPr="00DD07E1">
        <w:t xml:space="preserve"> </w:t>
      </w:r>
      <w:r w:rsidRPr="0043786E">
        <w:t>of</w:t>
      </w:r>
      <w:r w:rsidRPr="00DD07E1">
        <w:t xml:space="preserve"> documents </w:t>
      </w:r>
      <w:r w:rsidRPr="0043786E">
        <w:t>to</w:t>
      </w:r>
      <w:r w:rsidRPr="00DD07E1">
        <w:t xml:space="preserve"> </w:t>
      </w:r>
      <w:r w:rsidRPr="0043786E">
        <w:t>parties</w:t>
      </w:r>
      <w:r w:rsidRPr="00DD07E1">
        <w:t xml:space="preserve"> </w:t>
      </w:r>
      <w:r w:rsidRPr="0043786E">
        <w:t>in</w:t>
      </w:r>
      <w:r w:rsidRPr="00DD07E1">
        <w:t xml:space="preserve"> </w:t>
      </w:r>
      <w:r w:rsidRPr="0043786E">
        <w:t>matters</w:t>
      </w:r>
      <w:r w:rsidRPr="00DD07E1">
        <w:t xml:space="preserve"> before them: </w:t>
      </w:r>
      <w:bookmarkStart w:id="295" w:name="_Hlk50113272"/>
      <w:r w:rsidRPr="0043786E">
        <w:rPr>
          <w:i/>
        </w:rPr>
        <w:t>‘Q’</w:t>
      </w:r>
      <w:r w:rsidRPr="00DD07E1">
        <w:rPr>
          <w:i/>
        </w:rPr>
        <w:t xml:space="preserve"> </w:t>
      </w:r>
      <w:r w:rsidRPr="0043786E">
        <w:rPr>
          <w:i/>
        </w:rPr>
        <w:t>and</w:t>
      </w:r>
      <w:r w:rsidRPr="00DD07E1">
        <w:rPr>
          <w:i/>
        </w:rPr>
        <w:t xml:space="preserve"> </w:t>
      </w:r>
      <w:r w:rsidRPr="0043786E">
        <w:rPr>
          <w:i/>
        </w:rPr>
        <w:t>Department</w:t>
      </w:r>
      <w:r w:rsidRPr="00DD07E1">
        <w:rPr>
          <w:i/>
        </w:rPr>
        <w:t xml:space="preserve"> </w:t>
      </w:r>
      <w:r w:rsidRPr="0043786E">
        <w:rPr>
          <w:i/>
        </w:rPr>
        <w:t>of</w:t>
      </w:r>
      <w:r w:rsidRPr="00DD07E1">
        <w:rPr>
          <w:i/>
        </w:rPr>
        <w:t xml:space="preserve"> </w:t>
      </w:r>
      <w:r w:rsidRPr="0043786E">
        <w:rPr>
          <w:i/>
        </w:rPr>
        <w:t>Human</w:t>
      </w:r>
      <w:r w:rsidRPr="00DD07E1">
        <w:rPr>
          <w:i/>
          <w:w w:val="99"/>
        </w:rPr>
        <w:t xml:space="preserve"> </w:t>
      </w:r>
      <w:r w:rsidRPr="00DD07E1">
        <w:rPr>
          <w:i/>
        </w:rPr>
        <w:t xml:space="preserve">Services </w:t>
      </w:r>
      <w:hyperlink r:id="rId238" w:history="1">
        <w:r w:rsidRPr="004D048A">
          <w:rPr>
            <w:rStyle w:val="Hyperlink"/>
            <w:color w:val="007BAB" w:themeColor="text2" w:themeTint="BF"/>
          </w:rPr>
          <w:t>[2012] AICmr 30</w:t>
        </w:r>
      </w:hyperlink>
      <w:r w:rsidRPr="00DD07E1">
        <w:t xml:space="preserve"> </w:t>
      </w:r>
      <w:r w:rsidRPr="0043786E">
        <w:t>[17].</w:t>
      </w:r>
      <w:bookmarkEnd w:id="295"/>
    </w:p>
  </w:footnote>
  <w:footnote w:id="190">
    <w:p w14:paraId="5BD7D620" w14:textId="4F7DE2CE" w:rsidR="00BF60AF" w:rsidRDefault="00BF60AF" w:rsidP="00BF60AF">
      <w:pPr>
        <w:pStyle w:val="FootnoteText"/>
        <w:tabs>
          <w:tab w:val="left" w:pos="284"/>
        </w:tabs>
        <w:ind w:left="284" w:hanging="284"/>
      </w:pPr>
      <w:r>
        <w:rPr>
          <w:rStyle w:val="FootnoteReference"/>
        </w:rPr>
        <w:footnoteRef/>
      </w:r>
      <w:r>
        <w:t xml:space="preserve"> </w:t>
      </w:r>
      <w:r>
        <w:tab/>
      </w:r>
      <w:r>
        <w:rPr>
          <w:rFonts w:ascii="Source Sans Pro" w:hAnsi="Source Sans Pro"/>
          <w:i/>
          <w:iCs/>
          <w:color w:val="333333"/>
          <w:shd w:val="clear" w:color="auto" w:fill="FFFFFF"/>
        </w:rPr>
        <w:t xml:space="preserve">‘PX’ and Australian Federal Police (Freedom of Information) </w:t>
      </w:r>
      <w:hyperlink r:id="rId239" w:tooltip="View Case" w:history="1">
        <w:r w:rsidRPr="004D048A">
          <w:rPr>
            <w:rStyle w:val="Hyperlink"/>
            <w:rFonts w:ascii="Source Sans Pro" w:hAnsi="Source Sans Pro"/>
            <w:color w:val="007BAB" w:themeColor="text2" w:themeTint="BF"/>
            <w:shd w:val="clear" w:color="auto" w:fill="FFFFFF"/>
          </w:rPr>
          <w:t>[2019] AICmr 8</w:t>
        </w:r>
      </w:hyperlink>
      <w:r>
        <w:rPr>
          <w:rFonts w:ascii="Source Sans Pro" w:hAnsi="Source Sans Pro"/>
          <w:color w:val="333333"/>
          <w:shd w:val="clear" w:color="auto" w:fill="FFFFFF"/>
        </w:rPr>
        <w:t xml:space="preserve"> [119]–[120]; </w:t>
      </w:r>
      <w:r>
        <w:rPr>
          <w:rFonts w:ascii="Source Sans Pro" w:hAnsi="Source Sans Pro"/>
          <w:i/>
          <w:iCs/>
          <w:color w:val="333333"/>
          <w:shd w:val="clear" w:color="auto" w:fill="FFFFFF"/>
        </w:rPr>
        <w:t>Paul Farrell and Department of Home Affairs (Freedom of information)</w:t>
      </w:r>
      <w:r>
        <w:rPr>
          <w:rFonts w:ascii="Source Sans Pro" w:hAnsi="Source Sans Pro"/>
          <w:color w:val="333333"/>
          <w:shd w:val="clear" w:color="auto" w:fill="FFFFFF"/>
        </w:rPr>
        <w:t> </w:t>
      </w:r>
      <w:hyperlink r:id="rId240" w:tooltip="View Case" w:history="1">
        <w:r>
          <w:rPr>
            <w:rStyle w:val="Hyperlink"/>
            <w:rFonts w:ascii="Source Sans Pro" w:hAnsi="Source Sans Pro"/>
            <w:color w:val="3796CC"/>
            <w:shd w:val="clear" w:color="auto" w:fill="FFFFFF"/>
          </w:rPr>
          <w:t>[2023] AICmr 31</w:t>
        </w:r>
      </w:hyperlink>
      <w:r>
        <w:rPr>
          <w:rFonts w:ascii="Source Sans Pro" w:hAnsi="Source Sans Pro"/>
          <w:color w:val="333333"/>
          <w:shd w:val="clear" w:color="auto" w:fill="FFFFFF"/>
        </w:rPr>
        <w:t> (28 April 2023) [41]–[46].</w:t>
      </w:r>
    </w:p>
  </w:footnote>
  <w:footnote w:id="191">
    <w:p w14:paraId="023E61D2" w14:textId="77777777" w:rsidR="00BF60AF" w:rsidRPr="00DD07E1" w:rsidRDefault="00BF60AF" w:rsidP="00BF60AF">
      <w:pPr>
        <w:pStyle w:val="FootnoteText"/>
        <w:tabs>
          <w:tab w:val="left" w:pos="284"/>
        </w:tabs>
        <w:ind w:left="284" w:hanging="284"/>
      </w:pPr>
      <w:r w:rsidRPr="0043786E">
        <w:rPr>
          <w:rStyle w:val="FootnoteReference"/>
        </w:rPr>
        <w:footnoteRef/>
      </w:r>
      <w:r w:rsidRPr="0043786E">
        <w:t xml:space="preserve"> </w:t>
      </w:r>
      <w:r>
        <w:tab/>
      </w:r>
      <w:r w:rsidRPr="0043786E">
        <w:t xml:space="preserve">See </w:t>
      </w:r>
      <w:r w:rsidRPr="006E22F6">
        <w:rPr>
          <w:i/>
          <w:iCs/>
        </w:rPr>
        <w:t>‘GC’ and Australian Federal Police</w:t>
      </w:r>
      <w:r w:rsidRPr="0043786E">
        <w:t xml:space="preserve"> </w:t>
      </w:r>
      <w:hyperlink r:id="rId241" w:history="1">
        <w:r w:rsidRPr="004D048A">
          <w:rPr>
            <w:rStyle w:val="Hyperlink"/>
            <w:color w:val="007BAB" w:themeColor="text2" w:themeTint="BF"/>
          </w:rPr>
          <w:t>[2015] AICmr 44</w:t>
        </w:r>
      </w:hyperlink>
      <w:r w:rsidRPr="0043786E">
        <w:t xml:space="preserve">, </w:t>
      </w:r>
      <w:r w:rsidRPr="006E22F6">
        <w:rPr>
          <w:i/>
          <w:iCs/>
        </w:rPr>
        <w:t>Paul Cleary and Special Broadcasting Service</w:t>
      </w:r>
      <w:r w:rsidRPr="0043786E">
        <w:t xml:space="preserve"> </w:t>
      </w:r>
      <w:hyperlink r:id="rId242" w:history="1">
        <w:r w:rsidRPr="004D048A">
          <w:rPr>
            <w:rStyle w:val="Hyperlink"/>
            <w:color w:val="007BAB" w:themeColor="text2" w:themeTint="BF"/>
          </w:rPr>
          <w:t>[2016] AICmr 2</w:t>
        </w:r>
      </w:hyperlink>
      <w:r w:rsidRPr="0043786E">
        <w:t>.</w:t>
      </w:r>
    </w:p>
  </w:footnote>
  <w:footnote w:id="192">
    <w:p w14:paraId="2E3B60C0" w14:textId="77777777" w:rsidR="00BF60AF" w:rsidRPr="00946CA3" w:rsidRDefault="00BF60AF" w:rsidP="00BF60AF">
      <w:pPr>
        <w:pStyle w:val="FootnoteText"/>
        <w:tabs>
          <w:tab w:val="left" w:pos="284"/>
        </w:tabs>
        <w:ind w:left="284" w:hanging="284"/>
        <w:rPr>
          <w:sz w:val="20"/>
          <w:szCs w:val="26"/>
        </w:rPr>
      </w:pPr>
      <w:r>
        <w:rPr>
          <w:rStyle w:val="FootnoteReference"/>
        </w:rPr>
        <w:footnoteRef/>
      </w:r>
      <w:r>
        <w:t xml:space="preserve"> </w:t>
      </w:r>
      <w:r>
        <w:tab/>
        <w:t xml:space="preserve">For example, </w:t>
      </w:r>
      <w:r w:rsidRPr="00BA0058">
        <w:rPr>
          <w:rFonts w:ascii="Source Sans Pro" w:hAnsi="Source Sans Pro"/>
          <w:i/>
          <w:iCs/>
          <w:color w:val="333333"/>
          <w:shd w:val="clear" w:color="auto" w:fill="FFFFFF"/>
        </w:rPr>
        <w:t>Bradford and Australian Federal Police (Freedom of information)</w:t>
      </w:r>
      <w:r>
        <w:rPr>
          <w:rFonts w:ascii="Source Sans Pro" w:hAnsi="Source Sans Pro"/>
          <w:color w:val="333333"/>
          <w:shd w:val="clear" w:color="auto" w:fill="FFFFFF"/>
        </w:rPr>
        <w:t xml:space="preserve"> </w:t>
      </w:r>
      <w:hyperlink r:id="rId243" w:tooltip="View Case" w:history="1">
        <w:r w:rsidRPr="00946CA3">
          <w:rPr>
            <w:rStyle w:val="Hyperlink"/>
            <w:rFonts w:ascii="Source Sans Pro" w:hAnsi="Source Sans Pro"/>
            <w:color w:val="3796CC"/>
          </w:rPr>
          <w:t>[2021] AATA 3984</w:t>
        </w:r>
      </w:hyperlink>
      <w:r w:rsidRPr="00946CA3">
        <w:rPr>
          <w:rFonts w:ascii="Source Sans Pro" w:hAnsi="Source Sans Pro"/>
          <w:color w:val="333333"/>
          <w:shd w:val="clear" w:color="auto" w:fill="FFFFFF"/>
        </w:rPr>
        <w:t xml:space="preserve"> [202]–[203</w:t>
      </w:r>
      <w:r w:rsidRPr="00946CA3">
        <w:rPr>
          <w:rFonts w:ascii="Source Sans Pro" w:hAnsi="Source Sans Pro"/>
          <w:color w:val="333333"/>
          <w:sz w:val="20"/>
          <w:szCs w:val="26"/>
          <w:shd w:val="clear" w:color="auto" w:fill="FFFFFF"/>
        </w:rPr>
        <w:t>].</w:t>
      </w:r>
    </w:p>
  </w:footnote>
  <w:footnote w:id="193">
    <w:p w14:paraId="36FB66B7" w14:textId="77777777" w:rsidR="00BF60AF" w:rsidRPr="00015E8C" w:rsidRDefault="00BF60AF" w:rsidP="00274C7E">
      <w:pPr>
        <w:pStyle w:val="FootnoteText"/>
        <w:tabs>
          <w:tab w:val="left" w:pos="284"/>
        </w:tabs>
        <w:ind w:left="284" w:hanging="284"/>
      </w:pPr>
      <w:r>
        <w:rPr>
          <w:rStyle w:val="FootnoteReference"/>
        </w:rPr>
        <w:footnoteRef/>
      </w:r>
      <w:r>
        <w:t xml:space="preserve"> </w:t>
      </w:r>
      <w:r>
        <w:tab/>
      </w:r>
      <w:r w:rsidRPr="00274C7E">
        <w:rPr>
          <w:rFonts w:ascii="Source Sans Pro" w:hAnsi="Source Sans Pro"/>
          <w:i/>
          <w:iCs/>
          <w:color w:val="333333"/>
          <w:shd w:val="clear" w:color="auto" w:fill="FFFFFF"/>
        </w:rPr>
        <w:t>Australian Broadcasting Corporation and Secretary, Department of Industry, Science, Energy and Resources (Freedom of information)</w:t>
      </w:r>
      <w:r w:rsidRPr="00274C7E">
        <w:rPr>
          <w:rFonts w:ascii="Source Sans Pro" w:hAnsi="Source Sans Pro"/>
          <w:color w:val="333333"/>
          <w:shd w:val="clear" w:color="auto" w:fill="FFFFFF"/>
        </w:rPr>
        <w:t> </w:t>
      </w:r>
      <w:hyperlink r:id="rId244" w:tooltip="View Case" w:history="1">
        <w:r w:rsidRPr="00274C7E">
          <w:rPr>
            <w:rStyle w:val="Hyperlink"/>
            <w:rFonts w:ascii="Source Sans Pro" w:hAnsi="Source Sans Pro"/>
            <w:color w:val="007BAB" w:themeColor="text2" w:themeTint="BF"/>
          </w:rPr>
          <w:t>[2022] AATA 1451</w:t>
        </w:r>
      </w:hyperlink>
      <w:r w:rsidRPr="00274C7E">
        <w:rPr>
          <w:rFonts w:ascii="Source Sans Pro" w:hAnsi="Source Sans Pro"/>
          <w:color w:val="333333"/>
          <w:shd w:val="clear" w:color="auto" w:fill="FFFFFF"/>
        </w:rPr>
        <w:t> [101].</w:t>
      </w:r>
    </w:p>
  </w:footnote>
  <w:footnote w:id="194">
    <w:p w14:paraId="65A05777" w14:textId="77777777" w:rsidR="00BF60AF" w:rsidRPr="00695241" w:rsidRDefault="00BF60AF" w:rsidP="00BF60AF">
      <w:pPr>
        <w:pStyle w:val="FootnoteText"/>
        <w:tabs>
          <w:tab w:val="left" w:pos="284"/>
        </w:tabs>
        <w:ind w:left="284" w:hanging="284"/>
      </w:pPr>
      <w:r>
        <w:rPr>
          <w:rStyle w:val="FootnoteReference"/>
        </w:rPr>
        <w:footnoteRef/>
      </w:r>
      <w:r>
        <w:t xml:space="preserve"> </w:t>
      </w:r>
      <w:r>
        <w:tab/>
      </w:r>
      <w:r>
        <w:rPr>
          <w:rFonts w:ascii="Source Sans Pro" w:hAnsi="Source Sans Pro"/>
          <w:i/>
          <w:iCs/>
          <w:color w:val="333333"/>
          <w:shd w:val="clear" w:color="auto" w:fill="FFFFFF"/>
        </w:rPr>
        <w:t>Outside the Square Solutions and Australian Skills Quality Authority (Freedom of information)</w:t>
      </w:r>
      <w:r>
        <w:rPr>
          <w:rFonts w:ascii="Source Sans Pro" w:hAnsi="Source Sans Pro"/>
          <w:color w:val="333333"/>
          <w:shd w:val="clear" w:color="auto" w:fill="FFFFFF"/>
        </w:rPr>
        <w:t> </w:t>
      </w:r>
      <w:hyperlink r:id="rId245" w:tooltip="View Case" w:history="1">
        <w:r>
          <w:rPr>
            <w:rStyle w:val="Hyperlink"/>
            <w:rFonts w:ascii="Source Sans Pro" w:hAnsi="Source Sans Pro"/>
            <w:color w:val="3796CC"/>
            <w:shd w:val="clear" w:color="auto" w:fill="FFFFFF"/>
          </w:rPr>
          <w:t>[2019] AICmr 33</w:t>
        </w:r>
      </w:hyperlink>
      <w:r>
        <w:rPr>
          <w:rFonts w:ascii="Source Sans Pro" w:hAnsi="Source Sans Pro"/>
          <w:color w:val="333333"/>
          <w:shd w:val="clear" w:color="auto" w:fill="FFFFFF"/>
        </w:rPr>
        <w:t xml:space="preserve"> [24]–[28]; </w:t>
      </w:r>
      <w:r>
        <w:rPr>
          <w:rFonts w:ascii="Source Sans Pro" w:hAnsi="Source Sans Pro"/>
          <w:i/>
          <w:iCs/>
          <w:color w:val="333333"/>
          <w:shd w:val="clear" w:color="auto" w:fill="FFFFFF"/>
        </w:rPr>
        <w:t>‘PX’ and Australian Federal Police (Freedom of Information)</w:t>
      </w:r>
      <w:r>
        <w:rPr>
          <w:rFonts w:ascii="Source Sans Pro" w:hAnsi="Source Sans Pro"/>
          <w:color w:val="333333"/>
          <w:shd w:val="clear" w:color="auto" w:fill="FFFFFF"/>
        </w:rPr>
        <w:t> </w:t>
      </w:r>
      <w:hyperlink r:id="rId246" w:tooltip="View Case" w:history="1">
        <w:r>
          <w:rPr>
            <w:rStyle w:val="Hyperlink"/>
            <w:rFonts w:ascii="Source Sans Pro" w:hAnsi="Source Sans Pro"/>
            <w:color w:val="3796CC"/>
            <w:shd w:val="clear" w:color="auto" w:fill="FFFFFF"/>
          </w:rPr>
          <w:t>[2019] AICmr 8</w:t>
        </w:r>
      </w:hyperlink>
      <w:r>
        <w:rPr>
          <w:rFonts w:ascii="Source Sans Pro" w:hAnsi="Source Sans Pro"/>
          <w:color w:val="333333"/>
          <w:shd w:val="clear" w:color="auto" w:fill="FFFFFF"/>
        </w:rPr>
        <w:t xml:space="preserve"> [119]–[120</w:t>
      </w:r>
      <w:r w:rsidRPr="00695241">
        <w:rPr>
          <w:rFonts w:ascii="Source Sans Pro" w:hAnsi="Source Sans Pro"/>
          <w:color w:val="333333"/>
          <w:shd w:val="clear" w:color="auto" w:fill="FFFFFF"/>
        </w:rPr>
        <w:t xml:space="preserve">]; </w:t>
      </w:r>
      <w:r w:rsidRPr="00BA0058">
        <w:rPr>
          <w:rFonts w:ascii="Source Sans Pro" w:hAnsi="Source Sans Pro"/>
          <w:i/>
          <w:iCs/>
          <w:color w:val="333333"/>
          <w:shd w:val="clear" w:color="auto" w:fill="FFFFFF"/>
        </w:rPr>
        <w:t>Wilson AM and Office of the Australian Information Commissioner (Freedom of Information)</w:t>
      </w:r>
      <w:r w:rsidRPr="00BA0058">
        <w:rPr>
          <w:rFonts w:ascii="Source Sans Pro" w:hAnsi="Source Sans Pro"/>
          <w:color w:val="333333"/>
          <w:shd w:val="clear" w:color="auto" w:fill="FFFFFF"/>
        </w:rPr>
        <w:t xml:space="preserve"> </w:t>
      </w:r>
      <w:hyperlink r:id="rId247" w:history="1">
        <w:r w:rsidRPr="00BA0058">
          <w:rPr>
            <w:rStyle w:val="Hyperlink"/>
            <w:rFonts w:ascii="Source Sans Pro" w:hAnsi="Source Sans Pro"/>
            <w:shd w:val="clear" w:color="auto" w:fill="FFFFFF"/>
          </w:rPr>
          <w:t>[2023] AATA 458</w:t>
        </w:r>
      </w:hyperlink>
      <w:r w:rsidRPr="00BA0058">
        <w:rPr>
          <w:rFonts w:ascii="Source Sans Pro" w:hAnsi="Source Sans Pro"/>
          <w:color w:val="333333"/>
          <w:shd w:val="clear" w:color="auto" w:fill="FFFFFF"/>
        </w:rPr>
        <w:t xml:space="preserve"> [66].</w:t>
      </w:r>
    </w:p>
  </w:footnote>
  <w:footnote w:id="195">
    <w:p w14:paraId="53485A07" w14:textId="77777777" w:rsidR="00BF60AF" w:rsidRDefault="00BF60AF" w:rsidP="00BF60AF">
      <w:pPr>
        <w:pStyle w:val="FootnoteText"/>
        <w:tabs>
          <w:tab w:val="left" w:pos="284"/>
        </w:tabs>
        <w:ind w:left="284" w:hanging="284"/>
      </w:pPr>
      <w:r>
        <w:rPr>
          <w:rStyle w:val="FootnoteReference"/>
        </w:rPr>
        <w:footnoteRef/>
      </w:r>
      <w:r>
        <w:t xml:space="preserve"> </w:t>
      </w:r>
      <w:r>
        <w:tab/>
      </w:r>
      <w:r>
        <w:rPr>
          <w:rFonts w:ascii="Source Sans Pro" w:hAnsi="Source Sans Pro"/>
          <w:i/>
          <w:iCs/>
          <w:color w:val="333333"/>
          <w:shd w:val="clear" w:color="auto" w:fill="FFFFFF"/>
        </w:rPr>
        <w:t>Outside the Square Solutions and Australian Skills Quality Authority (Freedom of information)</w:t>
      </w:r>
      <w:r>
        <w:rPr>
          <w:rFonts w:ascii="Source Sans Pro" w:hAnsi="Source Sans Pro"/>
          <w:color w:val="333333"/>
          <w:shd w:val="clear" w:color="auto" w:fill="FFFFFF"/>
        </w:rPr>
        <w:t> </w:t>
      </w:r>
      <w:hyperlink r:id="rId248" w:tooltip="View Case" w:history="1">
        <w:r>
          <w:rPr>
            <w:rStyle w:val="Hyperlink"/>
            <w:rFonts w:ascii="Source Sans Pro" w:hAnsi="Source Sans Pro"/>
            <w:color w:val="3796CC"/>
            <w:shd w:val="clear" w:color="auto" w:fill="FFFFFF"/>
          </w:rPr>
          <w:t>[2019] AICmr 33</w:t>
        </w:r>
      </w:hyperlink>
      <w:r>
        <w:rPr>
          <w:rFonts w:ascii="Source Sans Pro" w:hAnsi="Source Sans Pro"/>
          <w:color w:val="333333"/>
          <w:shd w:val="clear" w:color="auto" w:fill="FFFFFF"/>
        </w:rPr>
        <w:t xml:space="preserve"> [24]–[28]; </w:t>
      </w:r>
      <w:r>
        <w:rPr>
          <w:rFonts w:ascii="Source Sans Pro" w:hAnsi="Source Sans Pro"/>
          <w:i/>
          <w:iCs/>
          <w:color w:val="333333"/>
          <w:shd w:val="clear" w:color="auto" w:fill="FFFFFF"/>
        </w:rPr>
        <w:t>‘PX’ and Australian Federal Police (Freedom of Information)</w:t>
      </w:r>
      <w:r>
        <w:rPr>
          <w:rFonts w:ascii="Source Sans Pro" w:hAnsi="Source Sans Pro"/>
          <w:color w:val="333333"/>
          <w:shd w:val="clear" w:color="auto" w:fill="FFFFFF"/>
        </w:rPr>
        <w:t> </w:t>
      </w:r>
      <w:hyperlink r:id="rId249" w:tooltip="View Case" w:history="1">
        <w:r>
          <w:rPr>
            <w:rStyle w:val="Hyperlink"/>
            <w:rFonts w:ascii="Source Sans Pro" w:hAnsi="Source Sans Pro"/>
            <w:color w:val="3796CC"/>
            <w:shd w:val="clear" w:color="auto" w:fill="FFFFFF"/>
          </w:rPr>
          <w:t>[2019] AICmr 8</w:t>
        </w:r>
      </w:hyperlink>
      <w:r>
        <w:rPr>
          <w:rFonts w:ascii="Source Sans Pro" w:hAnsi="Source Sans Pro"/>
          <w:color w:val="333333"/>
          <w:shd w:val="clear" w:color="auto" w:fill="FFFFFF"/>
        </w:rPr>
        <w:t xml:space="preserve"> [119]–[120].</w:t>
      </w:r>
    </w:p>
  </w:footnote>
  <w:footnote w:id="196">
    <w:p w14:paraId="19B2AAAB" w14:textId="77777777" w:rsidR="00BF60AF" w:rsidRDefault="00BF60AF" w:rsidP="00BF60AF">
      <w:pPr>
        <w:pStyle w:val="FootnoteText"/>
        <w:tabs>
          <w:tab w:val="left" w:pos="284"/>
        </w:tabs>
        <w:ind w:left="284" w:hanging="284"/>
      </w:pPr>
      <w:r>
        <w:rPr>
          <w:rStyle w:val="FootnoteReference"/>
        </w:rPr>
        <w:footnoteRef/>
      </w:r>
      <w:r>
        <w:t xml:space="preserve"> </w:t>
      </w:r>
      <w:r>
        <w:tab/>
      </w:r>
      <w:r w:rsidRPr="00E121B2">
        <w:rPr>
          <w:rFonts w:ascii="Source Sans Pro" w:hAnsi="Source Sans Pro"/>
          <w:i/>
          <w:iCs/>
          <w:color w:val="333333"/>
          <w:shd w:val="clear" w:color="auto" w:fill="FFFFFF"/>
        </w:rPr>
        <w:t>Wilson AM and Office of the Australian Information Commissioner (Freedom of Information)</w:t>
      </w:r>
      <w:r w:rsidRPr="00E121B2">
        <w:rPr>
          <w:rFonts w:ascii="Source Sans Pro" w:hAnsi="Source Sans Pro"/>
          <w:color w:val="333333"/>
          <w:shd w:val="clear" w:color="auto" w:fill="FFFFFF"/>
        </w:rPr>
        <w:t xml:space="preserve"> </w:t>
      </w:r>
      <w:hyperlink r:id="rId250" w:history="1">
        <w:r w:rsidRPr="00BA0058">
          <w:rPr>
            <w:rStyle w:val="Hyperlink"/>
            <w:rFonts w:ascii="Source Sans Pro" w:hAnsi="Source Sans Pro"/>
            <w:color w:val="007BAB" w:themeColor="text2" w:themeTint="BF"/>
            <w:shd w:val="clear" w:color="auto" w:fill="FFFFFF"/>
          </w:rPr>
          <w:t>[2023] AATA 458</w:t>
        </w:r>
      </w:hyperlink>
      <w:r w:rsidRPr="00E121B2">
        <w:rPr>
          <w:rFonts w:ascii="Source Sans Pro" w:hAnsi="Source Sans Pro"/>
          <w:color w:val="333333"/>
          <w:shd w:val="clear" w:color="auto" w:fill="FFFFFF"/>
        </w:rPr>
        <w:t xml:space="preserve"> [66].</w:t>
      </w:r>
    </w:p>
  </w:footnote>
  <w:footnote w:id="197">
    <w:p w14:paraId="078562EF" w14:textId="7F3DEECA" w:rsidR="00F7301B" w:rsidRDefault="00F7301B" w:rsidP="00C563BD">
      <w:pPr>
        <w:pStyle w:val="FootnoteText"/>
        <w:tabs>
          <w:tab w:val="left" w:pos="284"/>
        </w:tabs>
        <w:ind w:left="284" w:hanging="284"/>
      </w:pPr>
      <w:r>
        <w:rPr>
          <w:rStyle w:val="FootnoteReference"/>
        </w:rPr>
        <w:footnoteRef/>
      </w:r>
      <w:r>
        <w:t xml:space="preserve"> </w:t>
      </w:r>
      <w:r w:rsidRPr="00F7301B">
        <w:tab/>
      </w:r>
      <w:r w:rsidRPr="00C563BD">
        <w:rPr>
          <w:rStyle w:val="cf01"/>
          <w:rFonts w:asciiTheme="minorHAnsi" w:hAnsiTheme="minorHAnsi"/>
          <w:i/>
          <w:iCs/>
        </w:rPr>
        <w:t>MacTiernan and Secretary, Department of Infrastructure and Regional Development (Freedom of Information)</w:t>
      </w:r>
      <w:r w:rsidRPr="00C563BD">
        <w:rPr>
          <w:rStyle w:val="cf01"/>
          <w:rFonts w:asciiTheme="minorHAnsi" w:hAnsiTheme="minorHAnsi"/>
        </w:rPr>
        <w:t xml:space="preserve"> </w:t>
      </w:r>
      <w:hyperlink r:id="rId251" w:history="1">
        <w:r w:rsidRPr="00C563BD">
          <w:rPr>
            <w:rStyle w:val="Hyperlink"/>
            <w:rFonts w:cs="Segoe UI"/>
            <w:color w:val="007BAB" w:themeColor="text2" w:themeTint="BF"/>
            <w:szCs w:val="18"/>
            <w:shd w:val="clear" w:color="auto" w:fill="FFFFFF"/>
          </w:rPr>
          <w:t>[2016] AATA 506</w:t>
        </w:r>
      </w:hyperlink>
      <w:r w:rsidRPr="00C563BD">
        <w:rPr>
          <w:rStyle w:val="cf01"/>
          <w:rFonts w:asciiTheme="minorHAnsi" w:hAnsiTheme="minorHAnsi"/>
        </w:rPr>
        <w:t xml:space="preserve"> [134] and [142]</w:t>
      </w:r>
    </w:p>
  </w:footnote>
  <w:footnote w:id="198">
    <w:p w14:paraId="764A19B7" w14:textId="1BFDFF69" w:rsidR="00BF60AF" w:rsidRDefault="00BF60AF" w:rsidP="00BF60AF">
      <w:pPr>
        <w:pStyle w:val="FootnoteText"/>
        <w:ind w:left="284" w:hanging="284"/>
      </w:pPr>
      <w:r>
        <w:rPr>
          <w:rStyle w:val="FootnoteReference"/>
        </w:rPr>
        <w:footnoteRef/>
      </w:r>
      <w:r>
        <w:t xml:space="preserve"> </w:t>
      </w:r>
      <w:r>
        <w:tab/>
      </w:r>
      <w:r w:rsidRPr="00BA0058">
        <w:rPr>
          <w:rFonts w:ascii="Source Sans Pro" w:hAnsi="Source Sans Pro"/>
          <w:i/>
          <w:iCs/>
          <w:color w:val="333333"/>
          <w:shd w:val="clear" w:color="auto" w:fill="FFFFFF"/>
        </w:rPr>
        <w:t>Washington and Australian Prudential Regulation Authority</w:t>
      </w:r>
      <w:r w:rsidRPr="00BA0058">
        <w:rPr>
          <w:rFonts w:ascii="Source Sans Pro" w:hAnsi="Source Sans Pro"/>
          <w:color w:val="333333"/>
          <w:shd w:val="clear" w:color="auto" w:fill="FFFFFF"/>
        </w:rPr>
        <w:t> </w:t>
      </w:r>
      <w:hyperlink r:id="rId252" w:tooltip="View Case" w:history="1">
        <w:r w:rsidRPr="00BA0058">
          <w:rPr>
            <w:rStyle w:val="Hyperlink"/>
            <w:rFonts w:ascii="Source Sans Pro" w:hAnsi="Source Sans Pro"/>
            <w:color w:val="007BAB" w:themeColor="text2" w:themeTint="BF"/>
          </w:rPr>
          <w:t>[2011] AICmr 11</w:t>
        </w:r>
      </w:hyperlink>
      <w:r w:rsidRPr="00BA0058">
        <w:rPr>
          <w:rFonts w:ascii="Source Sans Pro" w:hAnsi="Source Sans Pro"/>
          <w:color w:val="333333"/>
          <w:shd w:val="clear" w:color="auto" w:fill="FFFFFF"/>
        </w:rPr>
        <w:t xml:space="preserve"> [27]–[29]</w:t>
      </w:r>
      <w:r w:rsidR="00274C7E">
        <w:rPr>
          <w:rFonts w:ascii="Source Sans Pro" w:hAnsi="Source Sans Pro"/>
          <w:color w:val="333333"/>
          <w:shd w:val="clear" w:color="auto" w:fill="FFFFFF"/>
        </w:rPr>
        <w:t xml:space="preserve">; </w:t>
      </w:r>
      <w:r w:rsidR="00274C7E">
        <w:rPr>
          <w:rFonts w:ascii="Source Sans Pro" w:hAnsi="Source Sans Pro"/>
          <w:i/>
          <w:iCs/>
          <w:color w:val="333333"/>
          <w:shd w:val="clear" w:color="auto" w:fill="FFFFFF"/>
        </w:rPr>
        <w:t>Paul Farrell and Department of Home Affairs (Freedom of information)</w:t>
      </w:r>
      <w:r w:rsidR="00274C7E">
        <w:rPr>
          <w:rFonts w:ascii="Source Sans Pro" w:hAnsi="Source Sans Pro"/>
          <w:color w:val="333333"/>
          <w:shd w:val="clear" w:color="auto" w:fill="FFFFFF"/>
        </w:rPr>
        <w:t> </w:t>
      </w:r>
      <w:hyperlink r:id="rId253" w:tooltip="View Case" w:history="1">
        <w:r w:rsidR="00274C7E" w:rsidRPr="00274C7E">
          <w:rPr>
            <w:rStyle w:val="Hyperlink"/>
            <w:rFonts w:ascii="Source Sans Pro" w:hAnsi="Source Sans Pro"/>
            <w:color w:val="007BAB" w:themeColor="text2" w:themeTint="BF"/>
            <w:shd w:val="clear" w:color="auto" w:fill="FFFFFF"/>
          </w:rPr>
          <w:t>[2023] AICmr 37</w:t>
        </w:r>
      </w:hyperlink>
      <w:r w:rsidR="00274C7E">
        <w:t xml:space="preserve"> [93].</w:t>
      </w:r>
    </w:p>
  </w:footnote>
  <w:footnote w:id="199">
    <w:p w14:paraId="13C97925" w14:textId="77777777" w:rsidR="00BF60AF" w:rsidRPr="00DD07E1" w:rsidRDefault="00BF60AF" w:rsidP="00BF60AF">
      <w:pPr>
        <w:pStyle w:val="FootnoteText"/>
        <w:tabs>
          <w:tab w:val="left" w:pos="284"/>
        </w:tabs>
        <w:ind w:left="284" w:hanging="284"/>
      </w:pPr>
      <w:r w:rsidRPr="0043786E">
        <w:rPr>
          <w:rStyle w:val="FootnoteReference"/>
        </w:rPr>
        <w:footnoteRef/>
      </w:r>
      <w:r w:rsidRPr="0043786E">
        <w:t xml:space="preserve"> </w:t>
      </w:r>
      <w:r>
        <w:tab/>
      </w:r>
      <w:r w:rsidRPr="006773C5">
        <w:t xml:space="preserve">See </w:t>
      </w:r>
      <w:r w:rsidRPr="006773C5">
        <w:rPr>
          <w:i/>
          <w:iCs/>
        </w:rPr>
        <w:t>Australian Broadcasting Corporation and Commonwealth Ombudsman</w:t>
      </w:r>
      <w:r w:rsidRPr="006773C5">
        <w:t xml:space="preserve"> </w:t>
      </w:r>
      <w:hyperlink r:id="rId254" w:history="1">
        <w:r w:rsidRPr="005C4B27">
          <w:rPr>
            <w:rStyle w:val="Hyperlink"/>
            <w:color w:val="007BAB" w:themeColor="text2" w:themeTint="BF"/>
          </w:rPr>
          <w:t>[2012] AICmr 11</w:t>
        </w:r>
      </w:hyperlink>
      <w:r w:rsidRPr="005C4B27">
        <w:rPr>
          <w:rStyle w:val="Hyperlink"/>
          <w:color w:val="auto"/>
        </w:rPr>
        <w:t xml:space="preserve"> [33]</w:t>
      </w:r>
      <w:r w:rsidRPr="006773C5">
        <w:t>.</w:t>
      </w:r>
    </w:p>
  </w:footnote>
  <w:footnote w:id="200">
    <w:p w14:paraId="33393711" w14:textId="77777777" w:rsidR="00BF60AF" w:rsidRPr="00DD07E1" w:rsidRDefault="00BF60AF" w:rsidP="00BF60AF">
      <w:pPr>
        <w:pStyle w:val="FootnoteText"/>
        <w:tabs>
          <w:tab w:val="left" w:pos="284"/>
        </w:tabs>
        <w:ind w:left="284" w:hanging="284"/>
      </w:pPr>
      <w:r w:rsidRPr="0043786E">
        <w:rPr>
          <w:rStyle w:val="FootnoteReference"/>
        </w:rPr>
        <w:footnoteRef/>
      </w:r>
      <w:r w:rsidRPr="0043786E">
        <w:t xml:space="preserve"> </w:t>
      </w:r>
      <w:r>
        <w:tab/>
      </w:r>
      <w:r w:rsidRPr="006773C5">
        <w:t xml:space="preserve">See </w:t>
      </w:r>
      <w:r w:rsidRPr="006773C5">
        <w:rPr>
          <w:i/>
          <w:iCs/>
        </w:rPr>
        <w:t>‘FG’ and National Archives of Australia</w:t>
      </w:r>
      <w:r w:rsidRPr="006773C5">
        <w:t xml:space="preserve"> </w:t>
      </w:r>
      <w:hyperlink r:id="rId255" w:tooltip="View Case" w:history="1">
        <w:r w:rsidRPr="004D048A">
          <w:rPr>
            <w:color w:val="007BAB" w:themeColor="text2" w:themeTint="BF"/>
            <w:u w:val="single"/>
          </w:rPr>
          <w:t>[2015] AICmr 26</w:t>
        </w:r>
      </w:hyperlink>
      <w:r w:rsidRPr="006773C5">
        <w:t>.</w:t>
      </w:r>
    </w:p>
  </w:footnote>
  <w:footnote w:id="201">
    <w:p w14:paraId="4F0956A7" w14:textId="7916C7C2" w:rsidR="000E7765" w:rsidRDefault="000E7765" w:rsidP="005B013A">
      <w:pPr>
        <w:pStyle w:val="FootnoteText"/>
        <w:tabs>
          <w:tab w:val="left" w:pos="284"/>
        </w:tabs>
      </w:pPr>
      <w:r>
        <w:rPr>
          <w:rStyle w:val="FootnoteReference"/>
        </w:rPr>
        <w:footnoteRef/>
      </w:r>
      <w:r>
        <w:t xml:space="preserve"> </w:t>
      </w:r>
      <w:r>
        <w:tab/>
      </w:r>
      <w:r>
        <w:rPr>
          <w:rFonts w:ascii="Source Sans Pro" w:hAnsi="Source Sans Pro"/>
          <w:i/>
          <w:iCs/>
          <w:color w:val="333333"/>
          <w:shd w:val="clear" w:color="auto" w:fill="FFFFFF"/>
        </w:rPr>
        <w:t>Paul Farrell and Department of Home Affairs (Freedom of information)</w:t>
      </w:r>
      <w:r>
        <w:rPr>
          <w:rFonts w:ascii="Source Sans Pro" w:hAnsi="Source Sans Pro"/>
          <w:color w:val="333333"/>
          <w:shd w:val="clear" w:color="auto" w:fill="FFFFFF"/>
        </w:rPr>
        <w:t> </w:t>
      </w:r>
      <w:hyperlink r:id="rId256" w:tooltip="View Case" w:history="1">
        <w:r w:rsidRPr="005B013A">
          <w:rPr>
            <w:rStyle w:val="Hyperlink"/>
            <w:rFonts w:ascii="Source Sans Pro" w:hAnsi="Source Sans Pro"/>
            <w:color w:val="007BAB" w:themeColor="text2" w:themeTint="BF"/>
            <w:shd w:val="clear" w:color="auto" w:fill="FFFFFF"/>
          </w:rPr>
          <w:t>[2023] AICmr 37</w:t>
        </w:r>
      </w:hyperlink>
      <w:r>
        <w:t xml:space="preserve"> [</w:t>
      </w:r>
      <w:r w:rsidR="005B013A">
        <w:t>93].</w:t>
      </w:r>
    </w:p>
  </w:footnote>
  <w:footnote w:id="202">
    <w:p w14:paraId="35024A9D" w14:textId="77777777" w:rsidR="00BF60AF" w:rsidRPr="005C4B27" w:rsidRDefault="00BF60AF" w:rsidP="00BF60AF">
      <w:pPr>
        <w:pStyle w:val="Heading1"/>
        <w:shd w:val="clear" w:color="auto" w:fill="FFFFFF"/>
        <w:tabs>
          <w:tab w:val="left" w:pos="284"/>
        </w:tabs>
        <w:spacing w:before="0" w:after="60"/>
        <w:rPr>
          <w:sz w:val="18"/>
          <w:szCs w:val="18"/>
        </w:rPr>
      </w:pPr>
      <w:r w:rsidRPr="005C4B27">
        <w:rPr>
          <w:rStyle w:val="FootnoteReference"/>
          <w:sz w:val="18"/>
          <w:szCs w:val="18"/>
        </w:rPr>
        <w:footnoteRef/>
      </w:r>
      <w:r w:rsidRPr="005C4B27">
        <w:rPr>
          <w:sz w:val="18"/>
          <w:szCs w:val="18"/>
        </w:rPr>
        <w:t xml:space="preserve"> </w:t>
      </w:r>
      <w:r w:rsidRPr="005C4B27">
        <w:rPr>
          <w:sz w:val="18"/>
          <w:szCs w:val="18"/>
        </w:rPr>
        <w:tab/>
      </w:r>
      <w:r w:rsidRPr="005C4B27">
        <w:rPr>
          <w:i/>
          <w:iCs/>
          <w:color w:val="333333"/>
          <w:spacing w:val="-5"/>
          <w:sz w:val="18"/>
          <w:szCs w:val="18"/>
        </w:rPr>
        <w:t>Rovere and Secretary, Department of Education and Training</w:t>
      </w:r>
      <w:r w:rsidRPr="005C4B27">
        <w:rPr>
          <w:color w:val="333333"/>
          <w:spacing w:val="-5"/>
          <w:sz w:val="18"/>
          <w:szCs w:val="18"/>
        </w:rPr>
        <w:t xml:space="preserve"> </w:t>
      </w:r>
      <w:hyperlink r:id="rId257" w:history="1">
        <w:r w:rsidRPr="005C4B27">
          <w:rPr>
            <w:rStyle w:val="Hyperlink"/>
            <w:color w:val="007BAB" w:themeColor="text2" w:themeTint="BF"/>
            <w:spacing w:val="-5"/>
            <w:sz w:val="18"/>
            <w:szCs w:val="18"/>
          </w:rPr>
          <w:t>[2015] AATA 462</w:t>
        </w:r>
      </w:hyperlink>
      <w:r w:rsidRPr="007953AD">
        <w:rPr>
          <w:sz w:val="18"/>
          <w:szCs w:val="18"/>
        </w:rPr>
        <w:t xml:space="preserve"> [67].</w:t>
      </w:r>
    </w:p>
  </w:footnote>
  <w:footnote w:id="203">
    <w:p w14:paraId="33F52ECB" w14:textId="77777777" w:rsidR="00BF60AF" w:rsidRDefault="00BF60AF" w:rsidP="00AC1B79">
      <w:pPr>
        <w:pStyle w:val="FootnoteText"/>
        <w:tabs>
          <w:tab w:val="left" w:pos="284"/>
        </w:tabs>
      </w:pPr>
      <w:r>
        <w:rPr>
          <w:rStyle w:val="FootnoteReference"/>
        </w:rPr>
        <w:footnoteRef/>
      </w:r>
      <w:r>
        <w:t xml:space="preserve"> </w:t>
      </w:r>
      <w:r>
        <w:tab/>
        <w:t xml:space="preserve">See </w:t>
      </w:r>
      <w:r w:rsidRPr="005C4B27">
        <w:rPr>
          <w:rFonts w:ascii="Source Sans Pro" w:hAnsi="Source Sans Pro"/>
          <w:i/>
          <w:iCs/>
          <w:color w:val="333333"/>
          <w:shd w:val="clear" w:color="auto" w:fill="FFFFFF"/>
        </w:rPr>
        <w:t>Wood; Secretary, Department of Prime Minister and Cabinet and (Freedom of information)</w:t>
      </w:r>
      <w:r w:rsidRPr="005C4B27">
        <w:rPr>
          <w:rFonts w:ascii="Source Sans Pro" w:hAnsi="Source Sans Pro"/>
          <w:color w:val="333333"/>
          <w:shd w:val="clear" w:color="auto" w:fill="FFFFFF"/>
        </w:rPr>
        <w:t> </w:t>
      </w:r>
      <w:hyperlink r:id="rId258" w:tooltip="View Case" w:history="1">
        <w:r w:rsidRPr="005C4B27">
          <w:rPr>
            <w:rStyle w:val="Hyperlink"/>
            <w:rFonts w:ascii="Source Sans Pro" w:hAnsi="Source Sans Pro"/>
            <w:color w:val="007BAB" w:themeColor="text2" w:themeTint="BF"/>
          </w:rPr>
          <w:t>[2015] AATA 945</w:t>
        </w:r>
      </w:hyperlink>
      <w:r w:rsidRPr="005C4B27">
        <w:rPr>
          <w:rFonts w:ascii="Source Sans Pro" w:hAnsi="Source Sans Pro"/>
          <w:color w:val="333333"/>
          <w:shd w:val="clear" w:color="auto" w:fill="FFFFFF"/>
        </w:rPr>
        <w:t xml:space="preserve"> [78]–[79]; </w:t>
      </w:r>
      <w:r w:rsidRPr="00FE5B1A">
        <w:rPr>
          <w:rFonts w:ascii="Source Sans Pro" w:hAnsi="Source Sans Pro"/>
          <w:i/>
          <w:iCs/>
          <w:color w:val="333333"/>
          <w:shd w:val="clear" w:color="auto" w:fill="FFFFFF"/>
        </w:rPr>
        <w:t>R</w:t>
      </w:r>
      <w:r>
        <w:rPr>
          <w:rFonts w:ascii="Source Sans Pro" w:hAnsi="Source Sans Pro"/>
          <w:i/>
          <w:iCs/>
          <w:color w:val="333333"/>
          <w:shd w:val="clear" w:color="auto" w:fill="FFFFFF"/>
        </w:rPr>
        <w:t>aymond Williams and Department of Defence (Freedom of information)</w:t>
      </w:r>
      <w:r>
        <w:rPr>
          <w:rFonts w:ascii="Source Sans Pro" w:hAnsi="Source Sans Pro"/>
          <w:color w:val="333333"/>
          <w:shd w:val="clear" w:color="auto" w:fill="FFFFFF"/>
        </w:rPr>
        <w:t> </w:t>
      </w:r>
      <w:hyperlink r:id="rId259" w:tooltip="View Case" w:history="1">
        <w:r w:rsidRPr="005C4B27">
          <w:rPr>
            <w:rStyle w:val="Hyperlink"/>
            <w:rFonts w:ascii="Source Sans Pro" w:hAnsi="Source Sans Pro"/>
            <w:color w:val="007BAB" w:themeColor="text2" w:themeTint="BF"/>
            <w:shd w:val="clear" w:color="auto" w:fill="FFFFFF"/>
          </w:rPr>
          <w:t>[2023] AICmr 26</w:t>
        </w:r>
      </w:hyperlink>
      <w:r>
        <w:rPr>
          <w:rFonts w:ascii="Source Sans Pro" w:hAnsi="Source Sans Pro"/>
          <w:color w:val="333333"/>
          <w:shd w:val="clear" w:color="auto" w:fill="FFFFFF"/>
        </w:rPr>
        <w:t xml:space="preserve"> [61]–[64].</w:t>
      </w:r>
    </w:p>
  </w:footnote>
  <w:footnote w:id="204">
    <w:p w14:paraId="072E940E" w14:textId="77777777" w:rsidR="00BF60AF" w:rsidRDefault="00BF60AF" w:rsidP="00BF60AF">
      <w:pPr>
        <w:pStyle w:val="FootnoteText"/>
        <w:tabs>
          <w:tab w:val="left" w:pos="284"/>
        </w:tabs>
        <w:ind w:left="284" w:hanging="284"/>
      </w:pPr>
      <w:r>
        <w:rPr>
          <w:rStyle w:val="FootnoteReference"/>
        </w:rPr>
        <w:footnoteRef/>
      </w:r>
      <w:r>
        <w:t xml:space="preserve"> </w:t>
      </w:r>
      <w:r>
        <w:tab/>
      </w:r>
      <w:r>
        <w:rPr>
          <w:rFonts w:ascii="Source Sans Pro" w:hAnsi="Source Sans Pro"/>
          <w:i/>
          <w:iCs/>
          <w:color w:val="333333"/>
          <w:shd w:val="clear" w:color="auto" w:fill="FFFFFF"/>
        </w:rPr>
        <w:t>‘PM’ and Department of Industry, Innovation and Science (Freedom of information)</w:t>
      </w:r>
      <w:r>
        <w:rPr>
          <w:rFonts w:ascii="Source Sans Pro" w:hAnsi="Source Sans Pro"/>
          <w:color w:val="333333"/>
          <w:shd w:val="clear" w:color="auto" w:fill="FFFFFF"/>
        </w:rPr>
        <w:t> </w:t>
      </w:r>
      <w:hyperlink r:id="rId260" w:tooltip="View Case" w:history="1">
        <w:r w:rsidRPr="005C4B27">
          <w:rPr>
            <w:rStyle w:val="Hyperlink"/>
            <w:rFonts w:ascii="Source Sans Pro" w:hAnsi="Source Sans Pro"/>
            <w:color w:val="007BAB" w:themeColor="text2" w:themeTint="BF"/>
            <w:shd w:val="clear" w:color="auto" w:fill="FFFFFF"/>
          </w:rPr>
          <w:t>[2018] AICmr 70</w:t>
        </w:r>
      </w:hyperlink>
      <w:r>
        <w:rPr>
          <w:rFonts w:ascii="Source Sans Pro" w:hAnsi="Source Sans Pro"/>
          <w:color w:val="333333"/>
          <w:shd w:val="clear" w:color="auto" w:fill="FFFFFF"/>
        </w:rPr>
        <w:t xml:space="preserve"> [35].</w:t>
      </w:r>
    </w:p>
  </w:footnote>
  <w:footnote w:id="205">
    <w:p w14:paraId="20F293A3" w14:textId="77777777" w:rsidR="00BF60AF" w:rsidRDefault="00BF60AF" w:rsidP="00BF60AF">
      <w:pPr>
        <w:pStyle w:val="FootnoteText"/>
        <w:tabs>
          <w:tab w:val="left" w:pos="284"/>
        </w:tabs>
      </w:pPr>
      <w:r>
        <w:rPr>
          <w:rStyle w:val="FootnoteReference"/>
        </w:rPr>
        <w:footnoteRef/>
      </w:r>
      <w:r w:rsidRPr="00C844CE">
        <w:rPr>
          <w:i/>
          <w:iCs/>
        </w:rPr>
        <w:t xml:space="preserve"> </w:t>
      </w:r>
      <w:r>
        <w:rPr>
          <w:i/>
          <w:iCs/>
        </w:rPr>
        <w:tab/>
        <w:t>J</w:t>
      </w:r>
      <w:r>
        <w:rPr>
          <w:rFonts w:ascii="Source Sans Pro" w:hAnsi="Source Sans Pro"/>
          <w:i/>
          <w:iCs/>
          <w:color w:val="333333"/>
          <w:shd w:val="clear" w:color="auto" w:fill="FFFFFF"/>
        </w:rPr>
        <w:t>onathan Sequeira and Australian Broadcasting Corporation (No. 3) (Freedom of information)</w:t>
      </w:r>
      <w:r>
        <w:rPr>
          <w:rFonts w:ascii="Source Sans Pro" w:hAnsi="Source Sans Pro"/>
          <w:color w:val="333333"/>
          <w:shd w:val="clear" w:color="auto" w:fill="FFFFFF"/>
        </w:rPr>
        <w:t> </w:t>
      </w:r>
      <w:hyperlink r:id="rId261" w:tooltip="View Case" w:history="1">
        <w:r>
          <w:rPr>
            <w:rStyle w:val="Hyperlink"/>
            <w:rFonts w:ascii="Source Sans Pro" w:hAnsi="Source Sans Pro"/>
            <w:color w:val="3796CC"/>
            <w:shd w:val="clear" w:color="auto" w:fill="FFFFFF"/>
          </w:rPr>
          <w:t>[2023] AICmr 30</w:t>
        </w:r>
      </w:hyperlink>
      <w:r>
        <w:t xml:space="preserve"> [90].</w:t>
      </w:r>
    </w:p>
  </w:footnote>
  <w:footnote w:id="206">
    <w:p w14:paraId="266FB341" w14:textId="2E359AF9" w:rsidR="00C95A6C" w:rsidRDefault="00C95A6C" w:rsidP="00BA1702">
      <w:pPr>
        <w:pStyle w:val="FootnoteText"/>
        <w:tabs>
          <w:tab w:val="left" w:pos="284"/>
        </w:tabs>
        <w:ind w:left="284" w:hanging="284"/>
      </w:pPr>
      <w:r>
        <w:rPr>
          <w:rStyle w:val="FootnoteReference"/>
        </w:rPr>
        <w:footnoteRef/>
      </w:r>
      <w:r>
        <w:t xml:space="preserve"> </w:t>
      </w:r>
      <w:r w:rsidR="00E27AE0">
        <w:tab/>
      </w:r>
      <w:r w:rsidR="00E27AE0" w:rsidRPr="00BA1702">
        <w:rPr>
          <w:rFonts w:ascii="Source Sans Pro" w:hAnsi="Source Sans Pro"/>
          <w:i/>
          <w:iCs/>
          <w:color w:val="333333"/>
          <w:shd w:val="clear" w:color="auto" w:fill="FFFFFF"/>
        </w:rPr>
        <w:t>Patrick and Secretary, Department of Prime Minister and Cabinet (Freedom of Information)</w:t>
      </w:r>
      <w:r w:rsidR="00E27AE0">
        <w:rPr>
          <w:rFonts w:ascii="Source Sans Pro" w:hAnsi="Source Sans Pro"/>
          <w:color w:val="333333"/>
          <w:shd w:val="clear" w:color="auto" w:fill="FFFFFF"/>
        </w:rPr>
        <w:t xml:space="preserve"> </w:t>
      </w:r>
      <w:hyperlink r:id="rId262" w:tooltip="View Case" w:history="1">
        <w:r w:rsidR="00E27AE0" w:rsidRPr="00BA1702">
          <w:rPr>
            <w:rStyle w:val="Hyperlink"/>
            <w:rFonts w:ascii="Source Sans Pro" w:hAnsi="Source Sans Pro"/>
            <w:color w:val="256A91"/>
          </w:rPr>
          <w:t>[2021] AATA 2719</w:t>
        </w:r>
      </w:hyperlink>
      <w:r w:rsidR="00E27AE0" w:rsidRPr="00BA1702">
        <w:rPr>
          <w:rFonts w:ascii="Source Sans Pro" w:hAnsi="Source Sans Pro"/>
          <w:color w:val="333333"/>
          <w:shd w:val="clear" w:color="auto" w:fill="FFFFFF"/>
        </w:rPr>
        <w:t xml:space="preserve"> [224].</w:t>
      </w:r>
    </w:p>
  </w:footnote>
  <w:footnote w:id="207">
    <w:p w14:paraId="2F5CB00D" w14:textId="77777777" w:rsidR="008B0923" w:rsidRPr="00DD07E1" w:rsidRDefault="008B0923" w:rsidP="008B0923">
      <w:pPr>
        <w:pStyle w:val="FootnoteText"/>
        <w:tabs>
          <w:tab w:val="left" w:pos="284"/>
        </w:tabs>
        <w:ind w:left="284" w:hanging="284"/>
      </w:pPr>
      <w:r w:rsidRPr="0043786E">
        <w:rPr>
          <w:rStyle w:val="FootnoteReference"/>
        </w:rPr>
        <w:footnoteRef/>
      </w:r>
      <w:r w:rsidRPr="0043786E">
        <w:t xml:space="preserve"> </w:t>
      </w:r>
      <w:r>
        <w:tab/>
      </w:r>
      <w:r w:rsidRPr="00DD07E1">
        <w:t>I</w:t>
      </w:r>
      <w:r w:rsidRPr="00E77F1E">
        <w:t xml:space="preserve">n particular, </w:t>
      </w:r>
      <w:r w:rsidRPr="00E77F1E">
        <w:rPr>
          <w:i/>
          <w:iCs/>
        </w:rPr>
        <w:t>Rovere and Secretary, Department of Education and Training</w:t>
      </w:r>
      <w:r w:rsidRPr="00E77F1E">
        <w:t xml:space="preserve"> </w:t>
      </w:r>
      <w:hyperlink r:id="rId263" w:history="1">
        <w:r w:rsidRPr="00946CA3">
          <w:rPr>
            <w:rStyle w:val="Hyperlink"/>
            <w:color w:val="007BAB" w:themeColor="text2" w:themeTint="BF"/>
          </w:rPr>
          <w:t>[2015] AATA 462</w:t>
        </w:r>
      </w:hyperlink>
      <w:r>
        <w:t>;</w:t>
      </w:r>
      <w:r w:rsidRPr="00E77F1E">
        <w:t xml:space="preserve"> </w:t>
      </w:r>
      <w:r w:rsidRPr="00E77F1E">
        <w:rPr>
          <w:i/>
          <w:iCs/>
        </w:rPr>
        <w:t>‘GI’ and Department of the Prime Minister and Cabinet</w:t>
      </w:r>
      <w:r w:rsidRPr="00E77F1E">
        <w:t xml:space="preserve"> </w:t>
      </w:r>
      <w:hyperlink r:id="rId264" w:history="1">
        <w:r w:rsidRPr="00946CA3">
          <w:rPr>
            <w:rStyle w:val="Hyperlink"/>
            <w:color w:val="007BAB" w:themeColor="text2" w:themeTint="BF"/>
          </w:rPr>
          <w:t>[2015] AICmr 51</w:t>
        </w:r>
      </w:hyperlink>
      <w:r>
        <w:t>;</w:t>
      </w:r>
      <w:r w:rsidRPr="00E77F1E">
        <w:t xml:space="preserve"> </w:t>
      </w:r>
      <w:r w:rsidRPr="00E77F1E">
        <w:rPr>
          <w:i/>
          <w:iCs/>
        </w:rPr>
        <w:t>Wood; Secretary, Department of Prime Minister and Cabinet and (Freedom of Information)</w:t>
      </w:r>
      <w:r w:rsidRPr="00E77F1E">
        <w:t xml:space="preserve"> </w:t>
      </w:r>
      <w:hyperlink r:id="rId265" w:history="1">
        <w:r w:rsidRPr="00946CA3">
          <w:rPr>
            <w:rStyle w:val="Hyperlink"/>
            <w:color w:val="007BAB" w:themeColor="text2" w:themeTint="BF"/>
          </w:rPr>
          <w:t>[2015] AATA 945</w:t>
        </w:r>
      </w:hyperlink>
      <w:r w:rsidRPr="00E77F1E">
        <w:t xml:space="preserve"> and </w:t>
      </w:r>
      <w:r w:rsidRPr="00E77F1E">
        <w:rPr>
          <w:i/>
          <w:iCs/>
        </w:rPr>
        <w:t>Dreyfus and Secretary Attorney-General’s Department (Freedom of information)</w:t>
      </w:r>
      <w:r w:rsidRPr="00E77F1E">
        <w:t xml:space="preserve"> </w:t>
      </w:r>
      <w:hyperlink r:id="rId266" w:history="1">
        <w:r w:rsidRPr="00946CA3">
          <w:rPr>
            <w:rStyle w:val="Hyperlink"/>
            <w:color w:val="007BAB" w:themeColor="text2" w:themeTint="BF"/>
          </w:rPr>
          <w:t>[2015] AATA 962</w:t>
        </w:r>
      </w:hyperlink>
      <w:r w:rsidRPr="00E77F1E">
        <w:t>.</w:t>
      </w:r>
      <w:r w:rsidRPr="0043786E">
        <w:t xml:space="preserve"> </w:t>
      </w:r>
    </w:p>
  </w:footnote>
  <w:footnote w:id="208">
    <w:p w14:paraId="22CDB1AA" w14:textId="77777777" w:rsidR="000C54D5" w:rsidRDefault="000C54D5" w:rsidP="000C54D5">
      <w:pPr>
        <w:pStyle w:val="FootnoteText"/>
        <w:tabs>
          <w:tab w:val="left" w:pos="284"/>
        </w:tabs>
      </w:pPr>
      <w:r>
        <w:rPr>
          <w:rStyle w:val="FootnoteReference"/>
        </w:rPr>
        <w:footnoteRef/>
      </w:r>
      <w:r>
        <w:t xml:space="preserve"> </w:t>
      </w:r>
      <w:r>
        <w:tab/>
      </w:r>
      <w:r>
        <w:rPr>
          <w:rFonts w:ascii="Source Sans Pro" w:hAnsi="Source Sans Pro"/>
          <w:i/>
          <w:iCs/>
          <w:color w:val="333333"/>
          <w:shd w:val="clear" w:color="auto" w:fill="FFFFFF"/>
        </w:rPr>
        <w:t>‘GI’ and Department of the Prime Minister and Cabinet </w:t>
      </w:r>
      <w:hyperlink r:id="rId267" w:tooltip="View Case" w:history="1">
        <w:r w:rsidRPr="005C4B27">
          <w:rPr>
            <w:rStyle w:val="Hyperlink"/>
            <w:rFonts w:ascii="Source Sans Pro" w:hAnsi="Source Sans Pro"/>
            <w:color w:val="007BAB" w:themeColor="text2" w:themeTint="BF"/>
            <w:shd w:val="clear" w:color="auto" w:fill="FFFFFF"/>
          </w:rPr>
          <w:t>[2015] AICmr 51</w:t>
        </w:r>
      </w:hyperlink>
      <w:r>
        <w:t xml:space="preserve"> </w:t>
      </w:r>
      <w:r>
        <w:rPr>
          <w:rFonts w:ascii="Source Sans Pro" w:hAnsi="Source Sans Pro"/>
          <w:color w:val="333333"/>
          <w:shd w:val="clear" w:color="auto" w:fill="FFFFFF"/>
        </w:rPr>
        <w:t>[20].</w:t>
      </w:r>
    </w:p>
  </w:footnote>
  <w:footnote w:id="209">
    <w:p w14:paraId="01DB65E7" w14:textId="77777777" w:rsidR="001133F7" w:rsidRPr="00E77F1E" w:rsidRDefault="001133F7" w:rsidP="001133F7">
      <w:pPr>
        <w:pStyle w:val="FootnoteText"/>
        <w:tabs>
          <w:tab w:val="left" w:pos="284"/>
        </w:tabs>
        <w:ind w:left="284" w:hanging="284"/>
      </w:pPr>
      <w:r w:rsidRPr="0043786E">
        <w:rPr>
          <w:rStyle w:val="FootnoteReference"/>
        </w:rPr>
        <w:footnoteRef/>
      </w:r>
      <w:r w:rsidRPr="0043786E">
        <w:t xml:space="preserve"> </w:t>
      </w:r>
      <w:r>
        <w:tab/>
      </w:r>
      <w:r w:rsidRPr="00E77F1E">
        <w:t xml:space="preserve">As per Popple SM in </w:t>
      </w:r>
      <w:r w:rsidRPr="00DB1B5C">
        <w:rPr>
          <w:i/>
          <w:iCs/>
        </w:rPr>
        <w:t>Rovere and Secretary, Department of Education and Training</w:t>
      </w:r>
      <w:r w:rsidRPr="00E77F1E">
        <w:t xml:space="preserve"> </w:t>
      </w:r>
      <w:hyperlink r:id="rId268" w:history="1">
        <w:r w:rsidRPr="002521C0">
          <w:rPr>
            <w:rStyle w:val="Hyperlink"/>
            <w:color w:val="007BAB" w:themeColor="text2" w:themeTint="BF"/>
          </w:rPr>
          <w:t>[2015] AATA 462</w:t>
        </w:r>
      </w:hyperlink>
      <w:r w:rsidRPr="00E77F1E">
        <w:t xml:space="preserve"> [42] and [48]</w:t>
      </w:r>
      <w:r>
        <w:t>–</w:t>
      </w:r>
      <w:r w:rsidRPr="00E77F1E">
        <w:t xml:space="preserve">[53]. In </w:t>
      </w:r>
      <w:r w:rsidRPr="00DB1B5C">
        <w:rPr>
          <w:i/>
          <w:iCs/>
        </w:rPr>
        <w:t>Dreyfus and Secretary Attorney-General’s Department (Freedom of information)</w:t>
      </w:r>
      <w:r w:rsidRPr="00E77F1E">
        <w:t xml:space="preserve"> </w:t>
      </w:r>
      <w:hyperlink r:id="rId269" w:history="1">
        <w:r w:rsidRPr="00946CA3">
          <w:rPr>
            <w:rStyle w:val="Hyperlink"/>
            <w:color w:val="007BAB" w:themeColor="text2" w:themeTint="BF"/>
          </w:rPr>
          <w:t>[2015] AATA 962</w:t>
        </w:r>
      </w:hyperlink>
      <w:r>
        <w:t xml:space="preserve"> </w:t>
      </w:r>
      <w:r w:rsidRPr="00E77F1E">
        <w:t xml:space="preserve">[100] Bennett J appears to give her approval to the position taken by Popple SM in </w:t>
      </w:r>
      <w:r w:rsidRPr="00946CA3">
        <w:rPr>
          <w:i/>
          <w:iCs/>
        </w:rPr>
        <w:t>Rovere</w:t>
      </w:r>
      <w:r w:rsidRPr="00E77F1E">
        <w:t>.</w:t>
      </w:r>
    </w:p>
  </w:footnote>
  <w:footnote w:id="210">
    <w:p w14:paraId="58E10DA2" w14:textId="77777777" w:rsidR="001133F7" w:rsidRPr="00E77F1E" w:rsidRDefault="001133F7" w:rsidP="001133F7">
      <w:pPr>
        <w:pStyle w:val="FootnoteText"/>
        <w:tabs>
          <w:tab w:val="left" w:pos="284"/>
        </w:tabs>
        <w:ind w:left="284" w:hanging="284"/>
      </w:pPr>
      <w:r w:rsidRPr="0043786E">
        <w:rPr>
          <w:rStyle w:val="FootnoteReference"/>
        </w:rPr>
        <w:footnoteRef/>
      </w:r>
      <w:r w:rsidRPr="0043786E">
        <w:t xml:space="preserve"> </w:t>
      </w:r>
      <w:r>
        <w:tab/>
      </w:r>
      <w:r w:rsidRPr="00DB1B5C">
        <w:rPr>
          <w:i/>
          <w:iCs/>
        </w:rPr>
        <w:t>‘GI’ and Department of the Prime Minister and Cabinet</w:t>
      </w:r>
      <w:r w:rsidRPr="00E77F1E">
        <w:t xml:space="preserve"> </w:t>
      </w:r>
      <w:hyperlink r:id="rId270" w:history="1">
        <w:r w:rsidRPr="00946CA3">
          <w:rPr>
            <w:rStyle w:val="Hyperlink"/>
            <w:color w:val="007BAB" w:themeColor="text2" w:themeTint="BF"/>
          </w:rPr>
          <w:t>[2015] AICmr 51</w:t>
        </w:r>
      </w:hyperlink>
      <w:r w:rsidRPr="00E77F1E">
        <w:t xml:space="preserve"> [20].</w:t>
      </w:r>
    </w:p>
  </w:footnote>
  <w:footnote w:id="211">
    <w:p w14:paraId="5CB4BD59" w14:textId="14D33574" w:rsidR="0008321A" w:rsidRDefault="0008321A" w:rsidP="00AC1B79">
      <w:pPr>
        <w:pStyle w:val="FootnoteText"/>
        <w:ind w:left="284" w:hanging="284"/>
      </w:pPr>
      <w:r>
        <w:rPr>
          <w:rStyle w:val="FootnoteReference"/>
        </w:rPr>
        <w:footnoteRef/>
      </w:r>
      <w:r>
        <w:t xml:space="preserve"> </w:t>
      </w:r>
      <w:r w:rsidR="0094599A">
        <w:tab/>
      </w:r>
      <w:r w:rsidR="009419DD">
        <w:rPr>
          <w:rFonts w:ascii="Source Sans Pro" w:hAnsi="Source Sans Pro"/>
          <w:i/>
          <w:iCs/>
          <w:color w:val="333333"/>
          <w:shd w:val="clear" w:color="auto" w:fill="FFFFFF"/>
        </w:rPr>
        <w:t>Raymond Williams and Department of Defence (Freedom of information)</w:t>
      </w:r>
      <w:r w:rsidR="009419DD">
        <w:rPr>
          <w:rFonts w:ascii="Source Sans Pro" w:hAnsi="Source Sans Pro"/>
          <w:color w:val="333333"/>
          <w:shd w:val="clear" w:color="auto" w:fill="FFFFFF"/>
        </w:rPr>
        <w:t> </w:t>
      </w:r>
      <w:hyperlink r:id="rId271" w:tooltip="View Case" w:history="1">
        <w:r w:rsidR="009419DD">
          <w:rPr>
            <w:rStyle w:val="Hyperlink"/>
            <w:rFonts w:ascii="Source Sans Pro" w:hAnsi="Source Sans Pro"/>
            <w:color w:val="3796CC"/>
            <w:shd w:val="clear" w:color="auto" w:fill="FFFFFF"/>
          </w:rPr>
          <w:t>[2023] AICmr 26</w:t>
        </w:r>
      </w:hyperlink>
      <w:r w:rsidR="009419DD">
        <w:t xml:space="preserve"> [65]–</w:t>
      </w:r>
      <w:r w:rsidR="00AE1471">
        <w:t>[</w:t>
      </w:r>
      <w:r w:rsidR="009419DD">
        <w:t>76</w:t>
      </w:r>
      <w:r w:rsidR="00AE1471">
        <w:t>]</w:t>
      </w:r>
      <w:r w:rsidR="009419DD">
        <w:t xml:space="preserve">; </w:t>
      </w:r>
      <w:r w:rsidR="00AE1471">
        <w:rPr>
          <w:rFonts w:ascii="Source Sans Pro" w:hAnsi="Source Sans Pro"/>
          <w:i/>
          <w:iCs/>
          <w:color w:val="333333"/>
          <w:shd w:val="clear" w:color="auto" w:fill="FFFFFF"/>
        </w:rPr>
        <w:t>Justin Warren and Services Australia (Freedom of information)</w:t>
      </w:r>
      <w:r w:rsidR="00AE1471">
        <w:rPr>
          <w:rFonts w:ascii="Source Sans Pro" w:hAnsi="Source Sans Pro"/>
          <w:color w:val="333333"/>
          <w:shd w:val="clear" w:color="auto" w:fill="FFFFFF"/>
        </w:rPr>
        <w:t> </w:t>
      </w:r>
      <w:hyperlink r:id="rId272" w:tooltip="View Case" w:history="1">
        <w:r w:rsidR="00AE1471">
          <w:rPr>
            <w:rStyle w:val="Hyperlink"/>
            <w:rFonts w:ascii="Source Sans Pro" w:hAnsi="Source Sans Pro"/>
            <w:color w:val="3796CC"/>
            <w:shd w:val="clear" w:color="auto" w:fill="FFFFFF"/>
          </w:rPr>
          <w:t>[2023] AICmr 13</w:t>
        </w:r>
      </w:hyperlink>
      <w:r w:rsidR="00F66EFF">
        <w:t xml:space="preserve"> [66]–[71].</w:t>
      </w:r>
    </w:p>
  </w:footnote>
  <w:footnote w:id="212">
    <w:p w14:paraId="1E2B9C3E" w14:textId="77777777" w:rsidR="00781D07" w:rsidRPr="00E77F1E" w:rsidRDefault="00781D07" w:rsidP="00781D07">
      <w:pPr>
        <w:pStyle w:val="FootnoteText"/>
        <w:tabs>
          <w:tab w:val="left" w:pos="284"/>
        </w:tabs>
        <w:ind w:left="284" w:hanging="284"/>
      </w:pPr>
      <w:r w:rsidRPr="0043786E">
        <w:rPr>
          <w:rStyle w:val="FootnoteReference"/>
        </w:rPr>
        <w:footnoteRef/>
      </w:r>
      <w:r w:rsidRPr="0043786E">
        <w:t xml:space="preserve"> </w:t>
      </w:r>
      <w:r>
        <w:tab/>
      </w:r>
      <w:r w:rsidRPr="00E77F1E">
        <w:t xml:space="preserve">As per Forgie DP in </w:t>
      </w:r>
      <w:r w:rsidRPr="00DB1B5C">
        <w:rPr>
          <w:i/>
          <w:iCs/>
        </w:rPr>
        <w:t xml:space="preserve">Wood; Secretary, Department of Prime Minister and Cabinet and (Freedom of Information) </w:t>
      </w:r>
      <w:hyperlink r:id="rId273" w:history="1">
        <w:r w:rsidRPr="00946CA3">
          <w:rPr>
            <w:rStyle w:val="Hyperlink"/>
            <w:color w:val="007BAB" w:themeColor="text2" w:themeTint="BF"/>
          </w:rPr>
          <w:t>[2015] AATA 945</w:t>
        </w:r>
      </w:hyperlink>
      <w:r w:rsidRPr="00E77F1E">
        <w:t xml:space="preserve"> [69].</w:t>
      </w:r>
    </w:p>
  </w:footnote>
  <w:footnote w:id="213">
    <w:p w14:paraId="39923094" w14:textId="77777777" w:rsidR="00682719" w:rsidRDefault="00682719" w:rsidP="00682719">
      <w:pPr>
        <w:pStyle w:val="FootnoteText"/>
        <w:tabs>
          <w:tab w:val="left" w:pos="284"/>
        </w:tabs>
      </w:pPr>
      <w:r>
        <w:rPr>
          <w:rStyle w:val="FootnoteReference"/>
        </w:rPr>
        <w:footnoteRef/>
      </w:r>
      <w:r>
        <w:t xml:space="preserve"> </w:t>
      </w:r>
      <w:r>
        <w:tab/>
      </w:r>
      <w:r>
        <w:rPr>
          <w:rFonts w:ascii="Source Sans Pro" w:hAnsi="Source Sans Pro"/>
          <w:i/>
          <w:iCs/>
          <w:color w:val="333333"/>
          <w:shd w:val="clear" w:color="auto" w:fill="FFFFFF"/>
        </w:rPr>
        <w:t>Crowe and Department of the Treasury </w:t>
      </w:r>
      <w:hyperlink r:id="rId274" w:tooltip="View Case" w:history="1">
        <w:r>
          <w:rPr>
            <w:rStyle w:val="Hyperlink"/>
            <w:rFonts w:ascii="Source Sans Pro" w:hAnsi="Source Sans Pro"/>
            <w:color w:val="3796CC"/>
            <w:shd w:val="clear" w:color="auto" w:fill="FFFFFF"/>
          </w:rPr>
          <w:t>[2013] AICmr 69</w:t>
        </w:r>
      </w:hyperlink>
      <w:r>
        <w:rPr>
          <w:rFonts w:ascii="Source Sans Pro" w:hAnsi="Source Sans Pro"/>
          <w:color w:val="333333"/>
          <w:shd w:val="clear" w:color="auto" w:fill="FFFFFF"/>
        </w:rPr>
        <w:t> [40].</w:t>
      </w:r>
    </w:p>
  </w:footnote>
  <w:footnote w:id="214">
    <w:p w14:paraId="799B8161" w14:textId="458B492F" w:rsidR="005C5086" w:rsidRDefault="005C5086" w:rsidP="00BA1702">
      <w:pPr>
        <w:pStyle w:val="NumberedParagraphs"/>
        <w:numPr>
          <w:ilvl w:val="0"/>
          <w:numId w:val="0"/>
        </w:numPr>
        <w:tabs>
          <w:tab w:val="left" w:pos="284"/>
        </w:tabs>
        <w:spacing w:after="60"/>
      </w:pPr>
      <w:r>
        <w:rPr>
          <w:rStyle w:val="FootnoteReference"/>
        </w:rPr>
        <w:footnoteRef/>
      </w:r>
      <w:r>
        <w:t xml:space="preserve"> </w:t>
      </w:r>
      <w:r w:rsidR="00041527">
        <w:tab/>
      </w:r>
      <w:r w:rsidRPr="003958EE">
        <w:rPr>
          <w:rFonts w:ascii="Source Sans Pro" w:hAnsi="Source Sans Pro"/>
          <w:i/>
          <w:iCs/>
          <w:color w:val="333333"/>
          <w:sz w:val="18"/>
          <w:szCs w:val="18"/>
          <w:shd w:val="clear" w:color="auto" w:fill="FFFFFF"/>
        </w:rPr>
        <w:t>Parnell &amp; Dreyfus and Attorney-General’s Department</w:t>
      </w:r>
      <w:r w:rsidRPr="003958EE">
        <w:rPr>
          <w:rFonts w:ascii="Source Sans Pro" w:hAnsi="Source Sans Pro"/>
          <w:color w:val="333333"/>
          <w:sz w:val="18"/>
          <w:szCs w:val="18"/>
          <w:shd w:val="clear" w:color="auto" w:fill="FFFFFF"/>
        </w:rPr>
        <w:t> </w:t>
      </w:r>
      <w:hyperlink r:id="rId275" w:tooltip="View Case" w:history="1">
        <w:r w:rsidRPr="003958EE">
          <w:rPr>
            <w:rStyle w:val="Hyperlink"/>
            <w:rFonts w:ascii="Source Sans Pro" w:hAnsi="Source Sans Pro"/>
            <w:color w:val="3796CC"/>
            <w:sz w:val="18"/>
            <w:szCs w:val="18"/>
          </w:rPr>
          <w:t>[2014] AICmr 71</w:t>
        </w:r>
      </w:hyperlink>
      <w:r w:rsidRPr="003958EE">
        <w:rPr>
          <w:rFonts w:ascii="Source Sans Pro" w:hAnsi="Source Sans Pro"/>
          <w:color w:val="333333"/>
          <w:sz w:val="18"/>
          <w:szCs w:val="18"/>
          <w:shd w:val="clear" w:color="auto" w:fill="FFFFFF"/>
        </w:rPr>
        <w:t> [82].</w:t>
      </w:r>
    </w:p>
  </w:footnote>
  <w:footnote w:id="215">
    <w:p w14:paraId="385E63E6" w14:textId="77777777" w:rsidR="00682719" w:rsidRPr="00510C93" w:rsidRDefault="00682719" w:rsidP="00682719">
      <w:pPr>
        <w:pStyle w:val="FootnoteText"/>
        <w:tabs>
          <w:tab w:val="left" w:pos="284"/>
        </w:tabs>
      </w:pPr>
      <w:r>
        <w:rPr>
          <w:rStyle w:val="FootnoteReference"/>
        </w:rPr>
        <w:footnoteRef/>
      </w:r>
      <w:r>
        <w:t xml:space="preserve"> </w:t>
      </w:r>
      <w:r>
        <w:tab/>
      </w:r>
      <w:r w:rsidRPr="00F441FA">
        <w:rPr>
          <w:rFonts w:ascii="Source Sans Pro" w:hAnsi="Source Sans Pro"/>
          <w:i/>
          <w:iCs/>
          <w:color w:val="333333"/>
          <w:shd w:val="clear" w:color="auto" w:fill="FFFFFF"/>
        </w:rPr>
        <w:t>Crowe and Department of the Treasury </w:t>
      </w:r>
      <w:hyperlink r:id="rId276" w:tooltip="View Case" w:history="1">
        <w:r w:rsidRPr="00F441FA">
          <w:rPr>
            <w:rStyle w:val="Hyperlink"/>
            <w:rFonts w:ascii="Source Sans Pro" w:hAnsi="Source Sans Pro"/>
            <w:color w:val="3796CC"/>
          </w:rPr>
          <w:t>[2013] AICmr 69</w:t>
        </w:r>
      </w:hyperlink>
      <w:r w:rsidRPr="00F441FA">
        <w:rPr>
          <w:rFonts w:ascii="Source Sans Pro" w:hAnsi="Source Sans Pro"/>
          <w:color w:val="333333"/>
          <w:shd w:val="clear" w:color="auto" w:fill="FFFFFF"/>
        </w:rPr>
        <w:t xml:space="preserve"> [91].</w:t>
      </w:r>
    </w:p>
  </w:footnote>
  <w:footnote w:id="216">
    <w:p w14:paraId="3FF994D1" w14:textId="0241407E" w:rsidR="00533AEF" w:rsidRDefault="00533AEF">
      <w:pPr>
        <w:pStyle w:val="FootnoteText"/>
      </w:pPr>
      <w:r>
        <w:rPr>
          <w:rStyle w:val="FootnoteReference"/>
        </w:rPr>
        <w:footnoteRef/>
      </w:r>
      <w:r>
        <w:t xml:space="preserve"> </w:t>
      </w:r>
      <w:r w:rsidRPr="00F441FA">
        <w:rPr>
          <w:rFonts w:ascii="Source Sans Pro" w:hAnsi="Source Sans Pro"/>
          <w:i/>
          <w:iCs/>
          <w:color w:val="333333"/>
          <w:shd w:val="clear" w:color="auto" w:fill="FFFFFF"/>
        </w:rPr>
        <w:t>Crowe and Department of the Treasury </w:t>
      </w:r>
      <w:hyperlink r:id="rId277" w:tooltip="View Case" w:history="1">
        <w:r w:rsidRPr="00F441FA">
          <w:rPr>
            <w:rStyle w:val="Hyperlink"/>
            <w:rFonts w:ascii="Source Sans Pro" w:hAnsi="Source Sans Pro"/>
            <w:color w:val="3796CC"/>
          </w:rPr>
          <w:t>[2013] AICmr 69</w:t>
        </w:r>
      </w:hyperlink>
      <w:r w:rsidRPr="00F441FA">
        <w:rPr>
          <w:rFonts w:ascii="Source Sans Pro" w:hAnsi="Source Sans Pro"/>
          <w:color w:val="333333"/>
          <w:shd w:val="clear" w:color="auto" w:fill="FFFFFF"/>
        </w:rPr>
        <w:t xml:space="preserve"> [</w:t>
      </w:r>
      <w:r>
        <w:rPr>
          <w:rFonts w:ascii="Source Sans Pro" w:hAnsi="Source Sans Pro"/>
          <w:color w:val="333333"/>
          <w:shd w:val="clear" w:color="auto" w:fill="FFFFFF"/>
        </w:rPr>
        <w:t>85].</w:t>
      </w:r>
    </w:p>
  </w:footnote>
  <w:footnote w:id="217">
    <w:p w14:paraId="182B48FF" w14:textId="77777777" w:rsidR="00682719" w:rsidRDefault="00682719" w:rsidP="00682719">
      <w:pPr>
        <w:pStyle w:val="FootnoteText"/>
        <w:tabs>
          <w:tab w:val="left" w:pos="284"/>
        </w:tabs>
      </w:pPr>
      <w:r>
        <w:rPr>
          <w:rStyle w:val="FootnoteReference"/>
        </w:rPr>
        <w:footnoteRef/>
      </w:r>
      <w:r>
        <w:t xml:space="preserve"> </w:t>
      </w:r>
      <w:r>
        <w:tab/>
      </w:r>
      <w:r w:rsidRPr="00F441FA">
        <w:rPr>
          <w:rFonts w:ascii="Source Sans Pro" w:hAnsi="Source Sans Pro"/>
          <w:i/>
          <w:iCs/>
          <w:color w:val="333333"/>
          <w:shd w:val="clear" w:color="auto" w:fill="FFFFFF"/>
        </w:rPr>
        <w:t>Crowe and Department of the Treasury </w:t>
      </w:r>
      <w:hyperlink r:id="rId278" w:tooltip="View Case" w:history="1">
        <w:r w:rsidRPr="00F441FA">
          <w:rPr>
            <w:rStyle w:val="Hyperlink"/>
            <w:rFonts w:ascii="Source Sans Pro" w:hAnsi="Source Sans Pro"/>
            <w:color w:val="3796CC"/>
          </w:rPr>
          <w:t>[2013] AICmr 69</w:t>
        </w:r>
      </w:hyperlink>
      <w:r>
        <w:t xml:space="preserve"> [91]–[92}.</w:t>
      </w:r>
    </w:p>
  </w:footnote>
  <w:footnote w:id="218">
    <w:p w14:paraId="156D615E" w14:textId="77777777" w:rsidR="005C5086" w:rsidRPr="00A007D0" w:rsidRDefault="005C5086" w:rsidP="005C5086">
      <w:pPr>
        <w:pStyle w:val="FootnoteText"/>
        <w:tabs>
          <w:tab w:val="left" w:pos="284"/>
        </w:tabs>
      </w:pPr>
      <w:r>
        <w:rPr>
          <w:rStyle w:val="FootnoteReference"/>
        </w:rPr>
        <w:footnoteRef/>
      </w:r>
      <w:r>
        <w:t xml:space="preserve"> </w:t>
      </w:r>
      <w:r>
        <w:tab/>
      </w:r>
      <w:r w:rsidRPr="00F441FA">
        <w:rPr>
          <w:rFonts w:ascii="Source Sans Pro" w:hAnsi="Source Sans Pro"/>
          <w:i/>
          <w:iCs/>
          <w:color w:val="333333"/>
          <w:shd w:val="clear" w:color="auto" w:fill="FFFFFF"/>
        </w:rPr>
        <w:t>Dan Conifer and Department of the Prime Minister and Cabinet (No. 2) (Freedom of information)</w:t>
      </w:r>
      <w:r w:rsidRPr="00F441FA">
        <w:rPr>
          <w:rFonts w:ascii="Source Sans Pro" w:hAnsi="Source Sans Pro"/>
          <w:color w:val="333333"/>
          <w:shd w:val="clear" w:color="auto" w:fill="FFFFFF"/>
        </w:rPr>
        <w:t> </w:t>
      </w:r>
      <w:hyperlink r:id="rId279" w:tooltip="View Case" w:history="1">
        <w:r w:rsidRPr="00F441FA">
          <w:rPr>
            <w:rStyle w:val="Hyperlink"/>
            <w:rFonts w:ascii="Source Sans Pro" w:hAnsi="Source Sans Pro"/>
            <w:color w:val="3796CC"/>
          </w:rPr>
          <w:t>[2017] AICmr 117</w:t>
        </w:r>
      </w:hyperlink>
      <w:r w:rsidRPr="00F441FA">
        <w:rPr>
          <w:rFonts w:ascii="Source Sans Pro" w:hAnsi="Source Sans Pro"/>
          <w:color w:val="333333"/>
          <w:shd w:val="clear" w:color="auto" w:fill="FFFFFF"/>
        </w:rPr>
        <w:t xml:space="preserve">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070"/>
    </w:tblGrid>
    <w:tr w:rsidR="00F85EF4" w14:paraId="364BFBD2" w14:textId="77777777" w:rsidTr="00156E08">
      <w:trPr>
        <w:trHeight w:hRule="exact" w:val="539"/>
        <w:tblHeader/>
      </w:trPr>
      <w:tc>
        <w:tcPr>
          <w:tcW w:w="9354" w:type="dxa"/>
          <w:vAlign w:val="center"/>
        </w:tcPr>
        <w:p w14:paraId="0AAD52BE" w14:textId="30F9BD1B" w:rsidR="00F85EF4" w:rsidRDefault="00141654" w:rsidP="00EE51CF">
          <w:pPr>
            <w:pStyle w:val="HeaderTitle"/>
          </w:pPr>
          <w:fldSimple w:instr=" STYLEREF  &quot;Heading 1&quot; ">
            <w:r w:rsidR="00A721BB">
              <w:rPr>
                <w:noProof/>
              </w:rPr>
              <w:t>The public interest test</w:t>
            </w:r>
          </w:fldSimple>
          <w:r w:rsidR="00F85EF4" w:rsidRPr="00916546">
            <w:t xml:space="preserve">, </w:t>
          </w:r>
          <w:r w:rsidR="00F85EF4">
            <w:fldChar w:fldCharType="begin"/>
          </w:r>
          <w:r w:rsidR="00F85EF4">
            <w:instrText xml:space="preserve"> STYLEREF  "Cover Date" </w:instrText>
          </w:r>
          <w:r w:rsidR="00F85EF4">
            <w:fldChar w:fldCharType="separate"/>
          </w:r>
          <w:r w:rsidR="00A721BB">
            <w:rPr>
              <w:b w:val="0"/>
              <w:bCs/>
              <w:noProof/>
              <w:lang w:val="en-US"/>
            </w:rPr>
            <w:t>Error! No text of specified style in document.</w:t>
          </w:r>
          <w:r w:rsidR="00F85EF4">
            <w:rPr>
              <w:noProof/>
            </w:rPr>
            <w:fldChar w:fldCharType="end"/>
          </w:r>
        </w:p>
      </w:tc>
    </w:tr>
  </w:tbl>
  <w:p w14:paraId="1C0874FE" w14:textId="08C84565" w:rsidR="00F85EF4" w:rsidRDefault="00000000" w:rsidP="00EE51CF">
    <w:pPr>
      <w:pStyle w:val="Header"/>
    </w:pPr>
    <w:r>
      <w:rPr>
        <w:noProof/>
      </w:rPr>
      <w:pict w14:anchorId="055E2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688" o:spid="_x0000_s1026" type="#_x0000_t136" style="position:absolute;left:0;text-align:left;margin-left:0;margin-top:0;width:532.8pt;height:106.55pt;rotation:315;z-index:-251645952;mso-position-horizontal:center;mso-position-horizontal-relative:margin;mso-position-vertical:center;mso-position-vertical-relative:margin" o:allowincell="f" fillcolor="silver" stroked="f">
          <v:fill opacity=".5"/>
          <v:textpath style="font-family:&quot;Source Sans Pro&quot;;font-size:1pt" string="Consultation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C865" w14:textId="3E2BFE45" w:rsidR="00F85EF4" w:rsidRPr="00EB4F37" w:rsidRDefault="00000000" w:rsidP="00EB4F37">
    <w:pPr>
      <w:pStyle w:val="HeaderTitle"/>
      <w:ind w:left="0"/>
      <w:jc w:val="left"/>
      <w:rPr>
        <w:b w:val="0"/>
        <w:sz w:val="16"/>
        <w:szCs w:val="16"/>
      </w:rPr>
    </w:pPr>
    <w:r>
      <w:rPr>
        <w:noProof/>
      </w:rPr>
      <w:pict w14:anchorId="16290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689" o:spid="_x0000_s1027" type="#_x0000_t136" style="position:absolute;margin-left:0;margin-top:0;width:532.8pt;height:106.55pt;rotation:315;z-index:-251643904;mso-position-horizontal:center;mso-position-horizontal-relative:margin;mso-position-vertical:center;mso-position-vertical-relative:margin" o:allowincell="f" fillcolor="silver" stroked="f">
          <v:fill opacity=".5"/>
          <v:textpath style="font-family:&quot;Source Sans Pro&quot;;font-size:1pt" string="Consultation Copy"/>
          <w10:wrap anchorx="margin" anchory="margin"/>
        </v:shape>
      </w:pict>
    </w:r>
    <w:r w:rsidR="00F85EF4">
      <w:rPr>
        <w:rFonts w:ascii="Source Sans Pro SemiBold" w:hAnsi="Source Sans Pro SemiBold"/>
        <w:b w:val="0"/>
        <w:bCs/>
        <w:sz w:val="16"/>
        <w:szCs w:val="16"/>
      </w:rPr>
      <w:t xml:space="preserve">Part 6 </w:t>
    </w:r>
    <w:r w:rsidR="00F85EF4" w:rsidRPr="00C50D73">
      <w:rPr>
        <w:rFonts w:ascii="Source Sans Pro SemiBold" w:hAnsi="Source Sans Pro SemiBold"/>
        <w:b w:val="0"/>
        <w:bCs/>
        <w:sz w:val="16"/>
        <w:szCs w:val="16"/>
      </w:rPr>
      <w:t>—</w:t>
    </w:r>
    <w:r w:rsidR="00F85EF4" w:rsidRPr="00EB4F37">
      <w:rPr>
        <w:rFonts w:ascii="Source Sans Pro SemiBold" w:hAnsi="Source Sans Pro SemiBold"/>
        <w:b w:val="0"/>
        <w:bCs/>
        <w:sz w:val="16"/>
        <w:szCs w:val="16"/>
      </w:rPr>
      <w:t xml:space="preserve"> </w:t>
    </w:r>
    <w:r w:rsidR="00F85EF4">
      <w:rPr>
        <w:rFonts w:ascii="Source Sans Pro SemiBold" w:hAnsi="Source Sans Pro SemiBold"/>
        <w:b w:val="0"/>
        <w:bCs/>
        <w:sz w:val="16"/>
        <w:szCs w:val="16"/>
      </w:rPr>
      <w:t>Conditional exemption</w:t>
    </w:r>
    <w:r w:rsidR="00F85EF4" w:rsidRPr="00A527ED">
      <w:rPr>
        <w:rFonts w:ascii="Source Sans Pro SemiBold" w:hAnsi="Source Sans Pro SemiBold"/>
        <w:b w:val="0"/>
        <w:bCs/>
        <w:sz w:val="16"/>
        <w:szCs w:val="16"/>
      </w:rPr>
      <w:t>s</w:t>
    </w:r>
    <w:r w:rsidR="00F85EF4">
      <w:rPr>
        <w:rFonts w:ascii="Source Sans Pro SemiBold" w:hAnsi="Source Sans Pro SemiBold"/>
        <w:b w:val="0"/>
        <w:bCs/>
        <w:sz w:val="16"/>
        <w:szCs w:val="16"/>
      </w:rPr>
      <w:tab/>
    </w:r>
    <w:r w:rsidR="00F85EF4">
      <w:rPr>
        <w:rFonts w:ascii="Source Sans Pro SemiBold" w:hAnsi="Source Sans Pro SemiBold"/>
        <w:b w:val="0"/>
        <w:bCs/>
        <w:sz w:val="16"/>
        <w:szCs w:val="16"/>
      </w:rPr>
      <w:tab/>
    </w:r>
    <w:r w:rsidR="00F85EF4" w:rsidRPr="00EB4F37">
      <w:rPr>
        <w:b w:val="0"/>
        <w:sz w:val="16"/>
        <w:szCs w:val="16"/>
      </w:rPr>
      <w:t>Version 1.</w:t>
    </w:r>
    <w:r w:rsidR="00F85EF4">
      <w:rPr>
        <w:b w:val="0"/>
        <w:sz w:val="16"/>
        <w:szCs w:val="16"/>
      </w:rPr>
      <w:t>4</w:t>
    </w:r>
    <w:r w:rsidR="00F85EF4" w:rsidRPr="00EB4F37">
      <w:rPr>
        <w:b w:val="0"/>
        <w:sz w:val="16"/>
        <w:szCs w:val="16"/>
      </w:rPr>
      <w:t xml:space="preserve">, </w:t>
    </w:r>
    <w:r w:rsidR="00F85EF4">
      <w:rPr>
        <w:b w:val="0"/>
        <w:sz w:val="16"/>
        <w:szCs w:val="16"/>
      </w:rPr>
      <w:t>DATE 202</w:t>
    </w:r>
    <w:r w:rsidR="00FA68D0">
      <w:rPr>
        <w:b w:val="0"/>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D2A1" w14:textId="51B1BCE6" w:rsidR="00F85EF4" w:rsidRDefault="00000000">
    <w:pPr>
      <w:pStyle w:val="Header"/>
    </w:pPr>
    <w:r>
      <w:rPr>
        <w:noProof/>
      </w:rPr>
      <w:pict w14:anchorId="03E3B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687" o:spid="_x0000_s1025" type="#_x0000_t136" style="position:absolute;left:0;text-align:left;margin-left:0;margin-top:0;width:532.8pt;height:106.55pt;rotation:315;z-index:-251648000;mso-position-horizontal:center;mso-position-horizontal-relative:margin;mso-position-vertical:center;mso-position-vertical-relative:margin" o:allowincell="f" fillcolor="silver" stroked="f">
          <v:fill opacity=".5"/>
          <v:textpath style="font-family:&quot;Source Sans Pro&quot;;font-size:1pt" string="Consultation Copy"/>
          <w10:wrap anchorx="margin" anchory="margin"/>
        </v:shape>
      </w:pict>
    </w:r>
    <w:r w:rsidR="00F85EF4">
      <w:rPr>
        <w:noProof/>
      </w:rPr>
      <w:drawing>
        <wp:anchor distT="0" distB="0" distL="114300" distR="114300" simplePos="0" relativeHeight="251663360" behindDoc="0" locked="0" layoutInCell="1" allowOverlap="1" wp14:anchorId="3389E0A3" wp14:editId="000820F5">
          <wp:simplePos x="0" y="0"/>
          <wp:positionH relativeFrom="column">
            <wp:posOffset>-895350</wp:posOffset>
          </wp:positionH>
          <wp:positionV relativeFrom="paragraph">
            <wp:posOffset>-361950</wp:posOffset>
          </wp:positionV>
          <wp:extent cx="7559675" cy="106914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stretch>
                    <a:fillRect/>
                  </a:stretch>
                </pic:blipFill>
                <pic:spPr>
                  <a:xfrm>
                    <a:off x="0" y="0"/>
                    <a:ext cx="7559675" cy="10691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6CB1A2"/>
    <w:lvl w:ilvl="0">
      <w:start w:val="1"/>
      <w:numFmt w:val="decimal"/>
      <w:pStyle w:val="121paras"/>
      <w:lvlText w:val="%1."/>
      <w:lvlJc w:val="left"/>
      <w:pPr>
        <w:tabs>
          <w:tab w:val="num" w:pos="1209"/>
        </w:tabs>
        <w:ind w:left="1209" w:hanging="360"/>
      </w:pPr>
    </w:lvl>
  </w:abstractNum>
  <w:abstractNum w:abstractNumId="1" w15:restartNumberingAfterBreak="0">
    <w:nsid w:val="010C52D7"/>
    <w:multiLevelType w:val="multilevel"/>
    <w:tmpl w:val="B0508D28"/>
    <w:lvl w:ilvl="0">
      <w:start w:val="1"/>
      <w:numFmt w:val="bullet"/>
      <w:lvlText w:val=""/>
      <w:lvlJc w:val="left"/>
      <w:pPr>
        <w:ind w:left="1097" w:hanging="360"/>
      </w:pPr>
      <w:rPr>
        <w:rFonts w:ascii="Symbol" w:hAnsi="Symbol" w:hint="default"/>
      </w:rPr>
    </w:lvl>
    <w:lvl w:ilvl="1">
      <w:start w:val="1"/>
      <w:numFmt w:val="lowerRoman"/>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2" w15:restartNumberingAfterBreak="0">
    <w:nsid w:val="013A3379"/>
    <w:multiLevelType w:val="hybridMultilevel"/>
    <w:tmpl w:val="C11CD7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4" w15:restartNumberingAfterBreak="0">
    <w:nsid w:val="08612297"/>
    <w:multiLevelType w:val="multilevel"/>
    <w:tmpl w:val="FA7C2A1C"/>
    <w:styleLink w:val="IndentNumbersOAIC"/>
    <w:lvl w:ilvl="0">
      <w:start w:val="1"/>
      <w:numFmt w:val="lowerLetter"/>
      <w:lvlText w:val="%1)"/>
      <w:lvlJc w:val="left"/>
      <w:pPr>
        <w:ind w:left="1097" w:hanging="360"/>
      </w:pPr>
      <w:rPr>
        <w:rFonts w:hint="default"/>
      </w:rPr>
    </w:lvl>
    <w:lvl w:ilvl="1">
      <w:start w:val="1"/>
      <w:numFmt w:val="lowerRoman"/>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5"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B795515"/>
    <w:multiLevelType w:val="hybridMultilevel"/>
    <w:tmpl w:val="9EDE11E0"/>
    <w:lvl w:ilvl="0" w:tplc="31D088C2">
      <w:start w:val="1"/>
      <w:numFmt w:val="decimal"/>
      <w:lvlText w:val="%1."/>
      <w:lvlJc w:val="left"/>
      <w:pPr>
        <w:ind w:left="1440" w:hanging="360"/>
      </w:pPr>
    </w:lvl>
    <w:lvl w:ilvl="1" w:tplc="1DA82438">
      <w:start w:val="1"/>
      <w:numFmt w:val="decimal"/>
      <w:lvlText w:val="%2."/>
      <w:lvlJc w:val="left"/>
      <w:pPr>
        <w:ind w:left="1440" w:hanging="360"/>
      </w:pPr>
    </w:lvl>
    <w:lvl w:ilvl="2" w:tplc="CB8EB2A4">
      <w:start w:val="1"/>
      <w:numFmt w:val="decimal"/>
      <w:lvlText w:val="%3."/>
      <w:lvlJc w:val="left"/>
      <w:pPr>
        <w:ind w:left="1440" w:hanging="360"/>
      </w:pPr>
    </w:lvl>
    <w:lvl w:ilvl="3" w:tplc="C26060DC">
      <w:start w:val="1"/>
      <w:numFmt w:val="decimal"/>
      <w:lvlText w:val="%4."/>
      <w:lvlJc w:val="left"/>
      <w:pPr>
        <w:ind w:left="1440" w:hanging="360"/>
      </w:pPr>
    </w:lvl>
    <w:lvl w:ilvl="4" w:tplc="4A3EA0D4">
      <w:start w:val="1"/>
      <w:numFmt w:val="decimal"/>
      <w:lvlText w:val="%5."/>
      <w:lvlJc w:val="left"/>
      <w:pPr>
        <w:ind w:left="1440" w:hanging="360"/>
      </w:pPr>
    </w:lvl>
    <w:lvl w:ilvl="5" w:tplc="5D9A38D4">
      <w:start w:val="1"/>
      <w:numFmt w:val="decimal"/>
      <w:lvlText w:val="%6."/>
      <w:lvlJc w:val="left"/>
      <w:pPr>
        <w:ind w:left="1440" w:hanging="360"/>
      </w:pPr>
    </w:lvl>
    <w:lvl w:ilvl="6" w:tplc="99860F02">
      <w:start w:val="1"/>
      <w:numFmt w:val="decimal"/>
      <w:lvlText w:val="%7."/>
      <w:lvlJc w:val="left"/>
      <w:pPr>
        <w:ind w:left="1440" w:hanging="360"/>
      </w:pPr>
    </w:lvl>
    <w:lvl w:ilvl="7" w:tplc="42FACC2C">
      <w:start w:val="1"/>
      <w:numFmt w:val="decimal"/>
      <w:lvlText w:val="%8."/>
      <w:lvlJc w:val="left"/>
      <w:pPr>
        <w:ind w:left="1440" w:hanging="360"/>
      </w:pPr>
    </w:lvl>
    <w:lvl w:ilvl="8" w:tplc="59069D20">
      <w:start w:val="1"/>
      <w:numFmt w:val="decimal"/>
      <w:lvlText w:val="%9."/>
      <w:lvlJc w:val="left"/>
      <w:pPr>
        <w:ind w:left="1440" w:hanging="360"/>
      </w:pPr>
    </w:lvl>
  </w:abstractNum>
  <w:abstractNum w:abstractNumId="7" w15:restartNumberingAfterBreak="0">
    <w:nsid w:val="0CF65BD3"/>
    <w:multiLevelType w:val="multilevel"/>
    <w:tmpl w:val="677EED32"/>
    <w:numStyleLink w:val="NumbersOAIC"/>
  </w:abstractNum>
  <w:abstractNum w:abstractNumId="8"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3227FF"/>
    <w:multiLevelType w:val="multilevel"/>
    <w:tmpl w:val="FC1439A8"/>
    <w:lvl w:ilvl="0">
      <w:start w:val="1"/>
      <w:numFmt w:val="decimal"/>
      <w:lvlText w:val="%1"/>
      <w:lvlJc w:val="left"/>
      <w:pPr>
        <w:ind w:left="360" w:hanging="360"/>
      </w:pPr>
      <w:rPr>
        <w:rFonts w:hint="default"/>
      </w:rPr>
    </w:lvl>
    <w:lvl w:ilvl="1">
      <w:start w:val="1"/>
      <w:numFmt w:val="decimal"/>
      <w:pStyle w:val="CA"/>
      <w:lvlText w:val="%1.%2"/>
      <w:lvlJc w:val="left"/>
      <w:pPr>
        <w:ind w:left="502"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0217AEB"/>
    <w:multiLevelType w:val="hybridMultilevel"/>
    <w:tmpl w:val="EFD68D5A"/>
    <w:lvl w:ilvl="0" w:tplc="53985B1A">
      <w:numFmt w:val="bullet"/>
      <w:lvlText w:val="-"/>
      <w:lvlJc w:val="left"/>
      <w:pPr>
        <w:ind w:left="1691" w:hanging="360"/>
      </w:pPr>
      <w:rPr>
        <w:rFonts w:ascii="Source Sans Pro" w:eastAsiaTheme="minorEastAsia" w:hAnsi="Source Sans Pro" w:cs="Times New Roman" w:hint="default"/>
      </w:rPr>
    </w:lvl>
    <w:lvl w:ilvl="1" w:tplc="0C090003" w:tentative="1">
      <w:start w:val="1"/>
      <w:numFmt w:val="bullet"/>
      <w:lvlText w:val="o"/>
      <w:lvlJc w:val="left"/>
      <w:pPr>
        <w:ind w:left="2411" w:hanging="360"/>
      </w:pPr>
      <w:rPr>
        <w:rFonts w:ascii="Courier New" w:hAnsi="Courier New" w:cs="Courier New" w:hint="default"/>
      </w:rPr>
    </w:lvl>
    <w:lvl w:ilvl="2" w:tplc="0C090005" w:tentative="1">
      <w:start w:val="1"/>
      <w:numFmt w:val="bullet"/>
      <w:lvlText w:val=""/>
      <w:lvlJc w:val="left"/>
      <w:pPr>
        <w:ind w:left="3131" w:hanging="360"/>
      </w:pPr>
      <w:rPr>
        <w:rFonts w:ascii="Wingdings" w:hAnsi="Wingdings" w:hint="default"/>
      </w:rPr>
    </w:lvl>
    <w:lvl w:ilvl="3" w:tplc="0C090001" w:tentative="1">
      <w:start w:val="1"/>
      <w:numFmt w:val="bullet"/>
      <w:lvlText w:val=""/>
      <w:lvlJc w:val="left"/>
      <w:pPr>
        <w:ind w:left="3851" w:hanging="360"/>
      </w:pPr>
      <w:rPr>
        <w:rFonts w:ascii="Symbol" w:hAnsi="Symbol" w:hint="default"/>
      </w:rPr>
    </w:lvl>
    <w:lvl w:ilvl="4" w:tplc="0C090003" w:tentative="1">
      <w:start w:val="1"/>
      <w:numFmt w:val="bullet"/>
      <w:lvlText w:val="o"/>
      <w:lvlJc w:val="left"/>
      <w:pPr>
        <w:ind w:left="4571" w:hanging="360"/>
      </w:pPr>
      <w:rPr>
        <w:rFonts w:ascii="Courier New" w:hAnsi="Courier New" w:cs="Courier New" w:hint="default"/>
      </w:rPr>
    </w:lvl>
    <w:lvl w:ilvl="5" w:tplc="0C090005" w:tentative="1">
      <w:start w:val="1"/>
      <w:numFmt w:val="bullet"/>
      <w:lvlText w:val=""/>
      <w:lvlJc w:val="left"/>
      <w:pPr>
        <w:ind w:left="5291" w:hanging="360"/>
      </w:pPr>
      <w:rPr>
        <w:rFonts w:ascii="Wingdings" w:hAnsi="Wingdings" w:hint="default"/>
      </w:rPr>
    </w:lvl>
    <w:lvl w:ilvl="6" w:tplc="0C090001" w:tentative="1">
      <w:start w:val="1"/>
      <w:numFmt w:val="bullet"/>
      <w:lvlText w:val=""/>
      <w:lvlJc w:val="left"/>
      <w:pPr>
        <w:ind w:left="6011" w:hanging="360"/>
      </w:pPr>
      <w:rPr>
        <w:rFonts w:ascii="Symbol" w:hAnsi="Symbol" w:hint="default"/>
      </w:rPr>
    </w:lvl>
    <w:lvl w:ilvl="7" w:tplc="0C090003" w:tentative="1">
      <w:start w:val="1"/>
      <w:numFmt w:val="bullet"/>
      <w:lvlText w:val="o"/>
      <w:lvlJc w:val="left"/>
      <w:pPr>
        <w:ind w:left="6731" w:hanging="360"/>
      </w:pPr>
      <w:rPr>
        <w:rFonts w:ascii="Courier New" w:hAnsi="Courier New" w:cs="Courier New" w:hint="default"/>
      </w:rPr>
    </w:lvl>
    <w:lvl w:ilvl="8" w:tplc="0C090005" w:tentative="1">
      <w:start w:val="1"/>
      <w:numFmt w:val="bullet"/>
      <w:lvlText w:val=""/>
      <w:lvlJc w:val="left"/>
      <w:pPr>
        <w:ind w:left="7451" w:hanging="360"/>
      </w:pPr>
      <w:rPr>
        <w:rFonts w:ascii="Wingdings" w:hAnsi="Wingdings" w:hint="default"/>
      </w:rPr>
    </w:lvl>
  </w:abstractNum>
  <w:abstractNum w:abstractNumId="11" w15:restartNumberingAfterBreak="0">
    <w:nsid w:val="10512E49"/>
    <w:multiLevelType w:val="hybridMultilevel"/>
    <w:tmpl w:val="B0CAB2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08746F2"/>
    <w:multiLevelType w:val="hybridMultilevel"/>
    <w:tmpl w:val="09F65F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11D43C8"/>
    <w:multiLevelType w:val="multilevel"/>
    <w:tmpl w:val="465C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5" w15:restartNumberingAfterBreak="0">
    <w:nsid w:val="13100CEA"/>
    <w:multiLevelType w:val="multilevel"/>
    <w:tmpl w:val="9C3E9D44"/>
    <w:lvl w:ilvl="0">
      <w:start w:val="1"/>
      <w:numFmt w:val="decimal"/>
      <w:lvlText w:val="%1"/>
      <w:lvlJc w:val="left"/>
      <w:pPr>
        <w:ind w:left="140" w:hanging="708"/>
      </w:pPr>
      <w:rPr>
        <w:rFonts w:hint="default"/>
      </w:rPr>
    </w:lvl>
    <w:lvl w:ilvl="1">
      <w:start w:val="1"/>
      <w:numFmt w:val="decimal"/>
      <w:pStyle w:val="PARAZ"/>
      <w:lvlText w:val="%1.%2"/>
      <w:lvlJc w:val="left"/>
      <w:pPr>
        <w:ind w:left="2977" w:hanging="708"/>
      </w:pPr>
      <w:rPr>
        <w:rFonts w:ascii="Calibri" w:eastAsia="Calibri" w:hAnsi="Calibri" w:hint="default"/>
        <w:i w:val="0"/>
        <w:w w:val="99"/>
        <w:sz w:val="24"/>
        <w:szCs w:val="24"/>
      </w:rPr>
    </w:lvl>
    <w:lvl w:ilvl="2">
      <w:start w:val="1"/>
      <w:numFmt w:val="bullet"/>
      <w:pStyle w:val="abulet"/>
      <w:lvlText w:val=""/>
      <w:lvlJc w:val="left"/>
      <w:pPr>
        <w:ind w:left="1701" w:hanging="425"/>
      </w:pPr>
      <w:rPr>
        <w:rFonts w:ascii="Symbol" w:eastAsia="Symbol" w:hAnsi="Symbol" w:hint="default"/>
        <w:sz w:val="24"/>
        <w:szCs w:val="24"/>
      </w:rPr>
    </w:lvl>
    <w:lvl w:ilvl="3">
      <w:start w:val="1"/>
      <w:numFmt w:val="bullet"/>
      <w:lvlText w:val="•"/>
      <w:lvlJc w:val="left"/>
      <w:pPr>
        <w:ind w:left="706" w:hanging="425"/>
      </w:pPr>
      <w:rPr>
        <w:rFonts w:hint="default"/>
      </w:rPr>
    </w:lvl>
    <w:lvl w:ilvl="4">
      <w:start w:val="1"/>
      <w:numFmt w:val="bullet"/>
      <w:lvlText w:val="•"/>
      <w:lvlJc w:val="left"/>
      <w:pPr>
        <w:ind w:left="706" w:hanging="425"/>
      </w:pPr>
      <w:rPr>
        <w:rFonts w:hint="default"/>
      </w:rPr>
    </w:lvl>
    <w:lvl w:ilvl="5">
      <w:start w:val="1"/>
      <w:numFmt w:val="bullet"/>
      <w:lvlText w:val="•"/>
      <w:lvlJc w:val="left"/>
      <w:pPr>
        <w:ind w:left="2139" w:hanging="425"/>
      </w:pPr>
      <w:rPr>
        <w:rFonts w:hint="default"/>
      </w:rPr>
    </w:lvl>
    <w:lvl w:ilvl="6">
      <w:start w:val="1"/>
      <w:numFmt w:val="bullet"/>
      <w:lvlText w:val="•"/>
      <w:lvlJc w:val="left"/>
      <w:pPr>
        <w:ind w:left="3573" w:hanging="425"/>
      </w:pPr>
      <w:rPr>
        <w:rFonts w:hint="default"/>
      </w:rPr>
    </w:lvl>
    <w:lvl w:ilvl="7">
      <w:start w:val="1"/>
      <w:numFmt w:val="bullet"/>
      <w:lvlText w:val="•"/>
      <w:lvlJc w:val="left"/>
      <w:pPr>
        <w:ind w:left="5006" w:hanging="425"/>
      </w:pPr>
      <w:rPr>
        <w:rFonts w:hint="default"/>
      </w:rPr>
    </w:lvl>
    <w:lvl w:ilvl="8">
      <w:start w:val="1"/>
      <w:numFmt w:val="bullet"/>
      <w:lvlText w:val="•"/>
      <w:lvlJc w:val="left"/>
      <w:pPr>
        <w:ind w:left="6439" w:hanging="425"/>
      </w:pPr>
      <w:rPr>
        <w:rFonts w:hint="default"/>
      </w:rPr>
    </w:lvl>
  </w:abstractNum>
  <w:abstractNum w:abstractNumId="16" w15:restartNumberingAfterBreak="0">
    <w:nsid w:val="133B777C"/>
    <w:multiLevelType w:val="hybridMultilevel"/>
    <w:tmpl w:val="46BE6502"/>
    <w:lvl w:ilvl="0" w:tplc="5508956A">
      <w:start w:val="1"/>
      <w:numFmt w:val="bullet"/>
      <w:lvlText w:val=""/>
      <w:lvlJc w:val="left"/>
      <w:pPr>
        <w:ind w:left="720" w:hanging="360"/>
      </w:pPr>
      <w:rPr>
        <w:rFonts w:ascii="Symbol" w:hAnsi="Symbol"/>
      </w:rPr>
    </w:lvl>
    <w:lvl w:ilvl="1" w:tplc="8B0845F0">
      <w:start w:val="1"/>
      <w:numFmt w:val="bullet"/>
      <w:lvlText w:val=""/>
      <w:lvlJc w:val="left"/>
      <w:pPr>
        <w:ind w:left="720" w:hanging="360"/>
      </w:pPr>
      <w:rPr>
        <w:rFonts w:ascii="Symbol" w:hAnsi="Symbol"/>
      </w:rPr>
    </w:lvl>
    <w:lvl w:ilvl="2" w:tplc="689C8698">
      <w:start w:val="1"/>
      <w:numFmt w:val="bullet"/>
      <w:lvlText w:val=""/>
      <w:lvlJc w:val="left"/>
      <w:pPr>
        <w:ind w:left="720" w:hanging="360"/>
      </w:pPr>
      <w:rPr>
        <w:rFonts w:ascii="Symbol" w:hAnsi="Symbol"/>
      </w:rPr>
    </w:lvl>
    <w:lvl w:ilvl="3" w:tplc="01A8E836">
      <w:start w:val="1"/>
      <w:numFmt w:val="bullet"/>
      <w:lvlText w:val=""/>
      <w:lvlJc w:val="left"/>
      <w:pPr>
        <w:ind w:left="720" w:hanging="360"/>
      </w:pPr>
      <w:rPr>
        <w:rFonts w:ascii="Symbol" w:hAnsi="Symbol"/>
      </w:rPr>
    </w:lvl>
    <w:lvl w:ilvl="4" w:tplc="11623724">
      <w:start w:val="1"/>
      <w:numFmt w:val="bullet"/>
      <w:lvlText w:val=""/>
      <w:lvlJc w:val="left"/>
      <w:pPr>
        <w:ind w:left="720" w:hanging="360"/>
      </w:pPr>
      <w:rPr>
        <w:rFonts w:ascii="Symbol" w:hAnsi="Symbol"/>
      </w:rPr>
    </w:lvl>
    <w:lvl w:ilvl="5" w:tplc="CA9AF06C">
      <w:start w:val="1"/>
      <w:numFmt w:val="bullet"/>
      <w:lvlText w:val=""/>
      <w:lvlJc w:val="left"/>
      <w:pPr>
        <w:ind w:left="720" w:hanging="360"/>
      </w:pPr>
      <w:rPr>
        <w:rFonts w:ascii="Symbol" w:hAnsi="Symbol"/>
      </w:rPr>
    </w:lvl>
    <w:lvl w:ilvl="6" w:tplc="1D34CEAE">
      <w:start w:val="1"/>
      <w:numFmt w:val="bullet"/>
      <w:lvlText w:val=""/>
      <w:lvlJc w:val="left"/>
      <w:pPr>
        <w:ind w:left="720" w:hanging="360"/>
      </w:pPr>
      <w:rPr>
        <w:rFonts w:ascii="Symbol" w:hAnsi="Symbol"/>
      </w:rPr>
    </w:lvl>
    <w:lvl w:ilvl="7" w:tplc="7828FF86">
      <w:start w:val="1"/>
      <w:numFmt w:val="bullet"/>
      <w:lvlText w:val=""/>
      <w:lvlJc w:val="left"/>
      <w:pPr>
        <w:ind w:left="720" w:hanging="360"/>
      </w:pPr>
      <w:rPr>
        <w:rFonts w:ascii="Symbol" w:hAnsi="Symbol"/>
      </w:rPr>
    </w:lvl>
    <w:lvl w:ilvl="8" w:tplc="40321110">
      <w:start w:val="1"/>
      <w:numFmt w:val="bullet"/>
      <w:lvlText w:val=""/>
      <w:lvlJc w:val="left"/>
      <w:pPr>
        <w:ind w:left="720" w:hanging="360"/>
      </w:pPr>
      <w:rPr>
        <w:rFonts w:ascii="Symbol" w:hAnsi="Symbol"/>
      </w:rPr>
    </w:lvl>
  </w:abstractNum>
  <w:abstractNum w:abstractNumId="17" w15:restartNumberingAfterBreak="0">
    <w:nsid w:val="159E766F"/>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8" w15:restartNumberingAfterBreak="0">
    <w:nsid w:val="1814797A"/>
    <w:multiLevelType w:val="hybridMultilevel"/>
    <w:tmpl w:val="23F48F6C"/>
    <w:lvl w:ilvl="0" w:tplc="29D08948">
      <w:start w:val="1"/>
      <w:numFmt w:val="decimal"/>
      <w:pStyle w:val="Numberpara13"/>
      <w:lvlText w:val="B.%1"/>
      <w:lvlJc w:val="left"/>
      <w:pPr>
        <w:ind w:left="2629" w:hanging="360"/>
      </w:pPr>
      <w:rPr>
        <w:rFonts w:ascii="Calibri" w:hAnsi="Calibri" w:hint="default"/>
        <w:b w:val="0"/>
        <w:i w:val="0"/>
        <w:sz w:val="24"/>
        <w:szCs w:val="24"/>
      </w:rPr>
    </w:lvl>
    <w:lvl w:ilvl="1" w:tplc="0C090019">
      <w:start w:val="1"/>
      <w:numFmt w:val="lowerLetter"/>
      <w:lvlText w:val="%2."/>
      <w:lvlJc w:val="left"/>
      <w:pPr>
        <w:ind w:left="3709" w:hanging="360"/>
      </w:pPr>
    </w:lvl>
    <w:lvl w:ilvl="2" w:tplc="AA864CF6">
      <w:start w:val="1"/>
      <w:numFmt w:val="lowerLetter"/>
      <w:lvlText w:val="(%3)"/>
      <w:lvlJc w:val="left"/>
      <w:pPr>
        <w:ind w:left="4624" w:hanging="375"/>
      </w:pPr>
      <w:rPr>
        <w:rFonts w:hint="default"/>
      </w:r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19" w15:restartNumberingAfterBreak="0">
    <w:nsid w:val="1AC244BB"/>
    <w:multiLevelType w:val="hybridMultilevel"/>
    <w:tmpl w:val="D59C3F86"/>
    <w:lvl w:ilvl="0" w:tplc="6ED66C8A">
      <w:start w:val="1"/>
      <w:numFmt w:val="decimal"/>
      <w:pStyle w:val="numberedpara1"/>
      <w:lvlText w:val="1.%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1B0666D3"/>
    <w:multiLevelType w:val="hybridMultilevel"/>
    <w:tmpl w:val="003087A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BBD5E04"/>
    <w:multiLevelType w:val="hybridMultilevel"/>
    <w:tmpl w:val="14986E9C"/>
    <w:lvl w:ilvl="0" w:tplc="C58054DE">
      <w:start w:val="1"/>
      <w:numFmt w:val="decimal"/>
      <w:pStyle w:val="51numbers"/>
      <w:lvlText w:val="5.%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1EC932C0"/>
    <w:multiLevelType w:val="multilevel"/>
    <w:tmpl w:val="503A2D98"/>
    <w:lvl w:ilvl="0">
      <w:start w:val="1"/>
      <w:numFmt w:val="bullet"/>
      <w:lvlText w:val=""/>
      <w:lvlJc w:val="left"/>
      <w:pPr>
        <w:ind w:left="567" w:hanging="283"/>
      </w:pPr>
      <w:rPr>
        <w:rFonts w:ascii="Symbol" w:hAnsi="Symbol" w:cs="Courier New"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882202"/>
    <w:multiLevelType w:val="hybridMultilevel"/>
    <w:tmpl w:val="057EF090"/>
    <w:lvl w:ilvl="0" w:tplc="04090017">
      <w:start w:val="1"/>
      <w:numFmt w:val="lowerRoman"/>
      <w:lvlText w:val="%1)"/>
      <w:lvlJc w:val="left"/>
      <w:pPr>
        <w:ind w:left="1551" w:hanging="360"/>
      </w:pPr>
      <w:rPr>
        <w:rFonts w:hint="default"/>
        <w:sz w:val="22"/>
        <w:szCs w:val="22"/>
      </w:rPr>
    </w:lvl>
    <w:lvl w:ilvl="1" w:tplc="0C090019" w:tentative="1">
      <w:start w:val="1"/>
      <w:numFmt w:val="lowerLetter"/>
      <w:lvlText w:val="%2."/>
      <w:lvlJc w:val="left"/>
      <w:pPr>
        <w:ind w:left="2271" w:hanging="360"/>
      </w:pPr>
    </w:lvl>
    <w:lvl w:ilvl="2" w:tplc="0C09001B">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4"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5" w15:restartNumberingAfterBreak="0">
    <w:nsid w:val="232E4F6E"/>
    <w:multiLevelType w:val="hybridMultilevel"/>
    <w:tmpl w:val="D526B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7847F4"/>
    <w:multiLevelType w:val="multilevel"/>
    <w:tmpl w:val="6546B7EE"/>
    <w:lvl w:ilvl="0">
      <w:start w:val="4"/>
      <w:numFmt w:val="decimal"/>
      <w:lvlText w:val="%1"/>
      <w:lvlJc w:val="left"/>
      <w:pPr>
        <w:ind w:left="140" w:hanging="708"/>
      </w:pPr>
      <w:rPr>
        <w:rFonts w:hint="default"/>
      </w:rPr>
    </w:lvl>
    <w:lvl w:ilvl="1">
      <w:start w:val="1"/>
      <w:numFmt w:val="decimal"/>
      <w:pStyle w:val="Paragraphnumberkc"/>
      <w:lvlText w:val="%1.%2"/>
      <w:lvlJc w:val="left"/>
      <w:pPr>
        <w:ind w:left="140" w:hanging="708"/>
        <w:jc w:val="right"/>
      </w:pPr>
      <w:rPr>
        <w:rFonts w:ascii="Calibri" w:eastAsia="Calibri" w:hAnsi="Calibri" w:hint="default"/>
        <w:w w:val="99"/>
        <w:sz w:val="24"/>
        <w:szCs w:val="24"/>
      </w:rPr>
    </w:lvl>
    <w:lvl w:ilvl="2">
      <w:start w:val="1"/>
      <w:numFmt w:val="bullet"/>
      <w:lvlText w:val=""/>
      <w:lvlJc w:val="left"/>
      <w:pPr>
        <w:ind w:left="706" w:hanging="425"/>
      </w:pPr>
      <w:rPr>
        <w:rFonts w:ascii="Symbol" w:eastAsia="Symbol" w:hAnsi="Symbol" w:hint="default"/>
        <w:sz w:val="24"/>
        <w:szCs w:val="24"/>
      </w:rPr>
    </w:lvl>
    <w:lvl w:ilvl="3">
      <w:start w:val="1"/>
      <w:numFmt w:val="bullet"/>
      <w:lvlText w:val="•"/>
      <w:lvlJc w:val="left"/>
      <w:pPr>
        <w:ind w:left="706" w:hanging="425"/>
      </w:pPr>
      <w:rPr>
        <w:rFonts w:hint="default"/>
      </w:rPr>
    </w:lvl>
    <w:lvl w:ilvl="4">
      <w:start w:val="1"/>
      <w:numFmt w:val="bullet"/>
      <w:lvlText w:val="•"/>
      <w:lvlJc w:val="left"/>
      <w:pPr>
        <w:ind w:left="706" w:hanging="425"/>
      </w:pPr>
      <w:rPr>
        <w:rFonts w:hint="default"/>
      </w:rPr>
    </w:lvl>
    <w:lvl w:ilvl="5">
      <w:start w:val="1"/>
      <w:numFmt w:val="bullet"/>
      <w:lvlText w:val="•"/>
      <w:lvlJc w:val="left"/>
      <w:pPr>
        <w:ind w:left="706" w:hanging="425"/>
      </w:pPr>
      <w:rPr>
        <w:rFonts w:hint="default"/>
      </w:rPr>
    </w:lvl>
    <w:lvl w:ilvl="6">
      <w:start w:val="1"/>
      <w:numFmt w:val="bullet"/>
      <w:lvlText w:val="•"/>
      <w:lvlJc w:val="left"/>
      <w:pPr>
        <w:ind w:left="706" w:hanging="425"/>
      </w:pPr>
      <w:rPr>
        <w:rFonts w:hint="default"/>
      </w:rPr>
    </w:lvl>
    <w:lvl w:ilvl="7">
      <w:start w:val="1"/>
      <w:numFmt w:val="bullet"/>
      <w:lvlText w:val="•"/>
      <w:lvlJc w:val="left"/>
      <w:pPr>
        <w:ind w:left="706" w:hanging="425"/>
      </w:pPr>
      <w:rPr>
        <w:rFonts w:hint="default"/>
      </w:rPr>
    </w:lvl>
    <w:lvl w:ilvl="8">
      <w:start w:val="1"/>
      <w:numFmt w:val="bullet"/>
      <w:lvlText w:val="•"/>
      <w:lvlJc w:val="left"/>
      <w:pPr>
        <w:ind w:left="786" w:hanging="425"/>
      </w:pPr>
      <w:rPr>
        <w:rFonts w:hint="default"/>
      </w:rPr>
    </w:lvl>
  </w:abstractNum>
  <w:abstractNum w:abstractNumId="27" w15:restartNumberingAfterBreak="0">
    <w:nsid w:val="25126EF5"/>
    <w:multiLevelType w:val="hybridMultilevel"/>
    <w:tmpl w:val="72FCA07C"/>
    <w:lvl w:ilvl="0" w:tplc="64686112">
      <w:start w:val="1"/>
      <w:numFmt w:val="decimal"/>
      <w:lvlText w:val="%1."/>
      <w:lvlJc w:val="left"/>
      <w:pPr>
        <w:ind w:left="720" w:hanging="360"/>
      </w:pPr>
      <w:rPr>
        <w:rFonts w:ascii="Source Sans Pro" w:hAnsi="Source Sans Pro" w:hint="default"/>
        <w:color w:val="333333"/>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DC4F38"/>
    <w:multiLevelType w:val="hybridMultilevel"/>
    <w:tmpl w:val="F61C2D2E"/>
    <w:lvl w:ilvl="0" w:tplc="BBAAF042">
      <w:start w:val="1"/>
      <w:numFmt w:val="decimal"/>
      <w:pStyle w:val="Numberedparagraph"/>
      <w:lvlText w:val="12.%1"/>
      <w:lvlJc w:val="left"/>
      <w:pPr>
        <w:ind w:left="1353"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285157B1"/>
    <w:multiLevelType w:val="hybridMultilevel"/>
    <w:tmpl w:val="67442A98"/>
    <w:lvl w:ilvl="0" w:tplc="808605E4">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7967F3"/>
    <w:multiLevelType w:val="multilevel"/>
    <w:tmpl w:val="496C3EF2"/>
    <w:lvl w:ilvl="0">
      <w:start w:val="1"/>
      <w:numFmt w:val="lowerRoman"/>
      <w:lvlText w:val="%1."/>
      <w:lvlJc w:val="right"/>
      <w:pPr>
        <w:ind w:left="1097" w:hanging="360"/>
      </w:pPr>
      <w:rPr>
        <w:rFonts w:hint="default"/>
      </w:rPr>
    </w:lvl>
    <w:lvl w:ilvl="1">
      <w:start w:val="1"/>
      <w:numFmt w:val="lowerRoman"/>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1" w15:restartNumberingAfterBreak="0">
    <w:nsid w:val="2A3F67E2"/>
    <w:multiLevelType w:val="multilevel"/>
    <w:tmpl w:val="50F4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0225F4"/>
    <w:multiLevelType w:val="hybridMultilevel"/>
    <w:tmpl w:val="AA18016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2BE1028E"/>
    <w:multiLevelType w:val="hybridMultilevel"/>
    <w:tmpl w:val="6986C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7D77D2"/>
    <w:multiLevelType w:val="hybridMultilevel"/>
    <w:tmpl w:val="6EB231F4"/>
    <w:lvl w:ilvl="0" w:tplc="04090017">
      <w:start w:val="1"/>
      <w:numFmt w:val="lowerRoman"/>
      <w:lvlText w:val="%1)"/>
      <w:lvlJc w:val="left"/>
      <w:pPr>
        <w:ind w:left="1551" w:hanging="360"/>
      </w:pPr>
      <w:rPr>
        <w:rFonts w:hint="default"/>
        <w:sz w:val="22"/>
        <w:szCs w:val="22"/>
      </w:rPr>
    </w:lvl>
    <w:lvl w:ilvl="1" w:tplc="E7EC0598">
      <w:start w:val="1"/>
      <w:numFmt w:val="lowerLetter"/>
      <w:lvlText w:val="%2)"/>
      <w:lvlJc w:val="left"/>
      <w:pPr>
        <w:ind w:left="2271" w:hanging="360"/>
      </w:pPr>
      <w:rPr>
        <w:rFonts w:hint="default"/>
      </w:rPr>
    </w:lvl>
    <w:lvl w:ilvl="2" w:tplc="0C090001">
      <w:start w:val="1"/>
      <w:numFmt w:val="bullet"/>
      <w:lvlText w:val=""/>
      <w:lvlJc w:val="left"/>
      <w:pPr>
        <w:ind w:left="2991" w:hanging="180"/>
      </w:pPr>
      <w:rPr>
        <w:rFonts w:ascii="Symbol" w:hAnsi="Symbol" w:hint="default"/>
      </w:r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5" w15:restartNumberingAfterBreak="0">
    <w:nsid w:val="30641B3E"/>
    <w:multiLevelType w:val="multilevel"/>
    <w:tmpl w:val="4E0A37FE"/>
    <w:numStyleLink w:val="Notes"/>
  </w:abstractNum>
  <w:abstractNum w:abstractNumId="36" w15:restartNumberingAfterBreak="0">
    <w:nsid w:val="33161289"/>
    <w:multiLevelType w:val="hybridMultilevel"/>
    <w:tmpl w:val="84B0D860"/>
    <w:lvl w:ilvl="0" w:tplc="79CC0FAA">
      <w:start w:val="1"/>
      <w:numFmt w:val="bullet"/>
      <w:lvlText w:val=""/>
      <w:lvlJc w:val="left"/>
      <w:pPr>
        <w:ind w:left="1100" w:hanging="360"/>
      </w:pPr>
      <w:rPr>
        <w:rFonts w:ascii="Symbol" w:hAnsi="Symbol"/>
      </w:rPr>
    </w:lvl>
    <w:lvl w:ilvl="1" w:tplc="4F4A232E">
      <w:start w:val="1"/>
      <w:numFmt w:val="bullet"/>
      <w:lvlText w:val=""/>
      <w:lvlJc w:val="left"/>
      <w:pPr>
        <w:ind w:left="1100" w:hanging="360"/>
      </w:pPr>
      <w:rPr>
        <w:rFonts w:ascii="Symbol" w:hAnsi="Symbol"/>
      </w:rPr>
    </w:lvl>
    <w:lvl w:ilvl="2" w:tplc="085629CE">
      <w:start w:val="1"/>
      <w:numFmt w:val="bullet"/>
      <w:lvlText w:val=""/>
      <w:lvlJc w:val="left"/>
      <w:pPr>
        <w:ind w:left="1100" w:hanging="360"/>
      </w:pPr>
      <w:rPr>
        <w:rFonts w:ascii="Symbol" w:hAnsi="Symbol"/>
      </w:rPr>
    </w:lvl>
    <w:lvl w:ilvl="3" w:tplc="1546801C">
      <w:start w:val="1"/>
      <w:numFmt w:val="bullet"/>
      <w:lvlText w:val=""/>
      <w:lvlJc w:val="left"/>
      <w:pPr>
        <w:ind w:left="1100" w:hanging="360"/>
      </w:pPr>
      <w:rPr>
        <w:rFonts w:ascii="Symbol" w:hAnsi="Symbol"/>
      </w:rPr>
    </w:lvl>
    <w:lvl w:ilvl="4" w:tplc="5B565BF0">
      <w:start w:val="1"/>
      <w:numFmt w:val="bullet"/>
      <w:lvlText w:val=""/>
      <w:lvlJc w:val="left"/>
      <w:pPr>
        <w:ind w:left="1100" w:hanging="360"/>
      </w:pPr>
      <w:rPr>
        <w:rFonts w:ascii="Symbol" w:hAnsi="Symbol"/>
      </w:rPr>
    </w:lvl>
    <w:lvl w:ilvl="5" w:tplc="7EE45824">
      <w:start w:val="1"/>
      <w:numFmt w:val="bullet"/>
      <w:lvlText w:val=""/>
      <w:lvlJc w:val="left"/>
      <w:pPr>
        <w:ind w:left="1100" w:hanging="360"/>
      </w:pPr>
      <w:rPr>
        <w:rFonts w:ascii="Symbol" w:hAnsi="Symbol"/>
      </w:rPr>
    </w:lvl>
    <w:lvl w:ilvl="6" w:tplc="E17AB2DC">
      <w:start w:val="1"/>
      <w:numFmt w:val="bullet"/>
      <w:lvlText w:val=""/>
      <w:lvlJc w:val="left"/>
      <w:pPr>
        <w:ind w:left="1100" w:hanging="360"/>
      </w:pPr>
      <w:rPr>
        <w:rFonts w:ascii="Symbol" w:hAnsi="Symbol"/>
      </w:rPr>
    </w:lvl>
    <w:lvl w:ilvl="7" w:tplc="41943846">
      <w:start w:val="1"/>
      <w:numFmt w:val="bullet"/>
      <w:lvlText w:val=""/>
      <w:lvlJc w:val="left"/>
      <w:pPr>
        <w:ind w:left="1100" w:hanging="360"/>
      </w:pPr>
      <w:rPr>
        <w:rFonts w:ascii="Symbol" w:hAnsi="Symbol"/>
      </w:rPr>
    </w:lvl>
    <w:lvl w:ilvl="8" w:tplc="2D92A6DC">
      <w:start w:val="1"/>
      <w:numFmt w:val="bullet"/>
      <w:lvlText w:val=""/>
      <w:lvlJc w:val="left"/>
      <w:pPr>
        <w:ind w:left="1100" w:hanging="360"/>
      </w:pPr>
      <w:rPr>
        <w:rFonts w:ascii="Symbol" w:hAnsi="Symbol"/>
      </w:rPr>
    </w:lvl>
  </w:abstractNum>
  <w:abstractNum w:abstractNumId="37" w15:restartNumberingAfterBreak="0">
    <w:nsid w:val="34420DA6"/>
    <w:multiLevelType w:val="hybridMultilevel"/>
    <w:tmpl w:val="8632AE2E"/>
    <w:lvl w:ilvl="0" w:tplc="C3C884B8">
      <w:start w:val="1"/>
      <w:numFmt w:val="bullet"/>
      <w:lvlText w:val=""/>
      <w:lvlJc w:val="left"/>
      <w:pPr>
        <w:ind w:left="1100" w:hanging="360"/>
      </w:pPr>
      <w:rPr>
        <w:rFonts w:ascii="Symbol" w:hAnsi="Symbol"/>
      </w:rPr>
    </w:lvl>
    <w:lvl w:ilvl="1" w:tplc="1D96462C">
      <w:start w:val="1"/>
      <w:numFmt w:val="bullet"/>
      <w:lvlText w:val=""/>
      <w:lvlJc w:val="left"/>
      <w:pPr>
        <w:ind w:left="1100" w:hanging="360"/>
      </w:pPr>
      <w:rPr>
        <w:rFonts w:ascii="Symbol" w:hAnsi="Symbol"/>
      </w:rPr>
    </w:lvl>
    <w:lvl w:ilvl="2" w:tplc="76FC2900">
      <w:start w:val="1"/>
      <w:numFmt w:val="bullet"/>
      <w:lvlText w:val=""/>
      <w:lvlJc w:val="left"/>
      <w:pPr>
        <w:ind w:left="1100" w:hanging="360"/>
      </w:pPr>
      <w:rPr>
        <w:rFonts w:ascii="Symbol" w:hAnsi="Symbol"/>
      </w:rPr>
    </w:lvl>
    <w:lvl w:ilvl="3" w:tplc="2E98EDA0">
      <w:start w:val="1"/>
      <w:numFmt w:val="bullet"/>
      <w:lvlText w:val=""/>
      <w:lvlJc w:val="left"/>
      <w:pPr>
        <w:ind w:left="1100" w:hanging="360"/>
      </w:pPr>
      <w:rPr>
        <w:rFonts w:ascii="Symbol" w:hAnsi="Symbol"/>
      </w:rPr>
    </w:lvl>
    <w:lvl w:ilvl="4" w:tplc="B7EA19EE">
      <w:start w:val="1"/>
      <w:numFmt w:val="bullet"/>
      <w:lvlText w:val=""/>
      <w:lvlJc w:val="left"/>
      <w:pPr>
        <w:ind w:left="1100" w:hanging="360"/>
      </w:pPr>
      <w:rPr>
        <w:rFonts w:ascii="Symbol" w:hAnsi="Symbol"/>
      </w:rPr>
    </w:lvl>
    <w:lvl w:ilvl="5" w:tplc="41328AA6">
      <w:start w:val="1"/>
      <w:numFmt w:val="bullet"/>
      <w:lvlText w:val=""/>
      <w:lvlJc w:val="left"/>
      <w:pPr>
        <w:ind w:left="1100" w:hanging="360"/>
      </w:pPr>
      <w:rPr>
        <w:rFonts w:ascii="Symbol" w:hAnsi="Symbol"/>
      </w:rPr>
    </w:lvl>
    <w:lvl w:ilvl="6" w:tplc="9EEA164E">
      <w:start w:val="1"/>
      <w:numFmt w:val="bullet"/>
      <w:lvlText w:val=""/>
      <w:lvlJc w:val="left"/>
      <w:pPr>
        <w:ind w:left="1100" w:hanging="360"/>
      </w:pPr>
      <w:rPr>
        <w:rFonts w:ascii="Symbol" w:hAnsi="Symbol"/>
      </w:rPr>
    </w:lvl>
    <w:lvl w:ilvl="7" w:tplc="11762AC0">
      <w:start w:val="1"/>
      <w:numFmt w:val="bullet"/>
      <w:lvlText w:val=""/>
      <w:lvlJc w:val="left"/>
      <w:pPr>
        <w:ind w:left="1100" w:hanging="360"/>
      </w:pPr>
      <w:rPr>
        <w:rFonts w:ascii="Symbol" w:hAnsi="Symbol"/>
      </w:rPr>
    </w:lvl>
    <w:lvl w:ilvl="8" w:tplc="8C0C2AEA">
      <w:start w:val="1"/>
      <w:numFmt w:val="bullet"/>
      <w:lvlText w:val=""/>
      <w:lvlJc w:val="left"/>
      <w:pPr>
        <w:ind w:left="1100" w:hanging="360"/>
      </w:pPr>
      <w:rPr>
        <w:rFonts w:ascii="Symbol" w:hAnsi="Symbol"/>
      </w:rPr>
    </w:lvl>
  </w:abstractNum>
  <w:abstractNum w:abstractNumId="38" w15:restartNumberingAfterBreak="0">
    <w:nsid w:val="34D57C5A"/>
    <w:multiLevelType w:val="multilevel"/>
    <w:tmpl w:val="EF3A09D4"/>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9" w15:restartNumberingAfterBreak="0">
    <w:nsid w:val="379D43CB"/>
    <w:multiLevelType w:val="hybridMultilevel"/>
    <w:tmpl w:val="1884C066"/>
    <w:lvl w:ilvl="0" w:tplc="04090017">
      <w:start w:val="1"/>
      <w:numFmt w:val="lowerLetter"/>
      <w:lvlText w:val="%1)"/>
      <w:lvlJc w:val="left"/>
      <w:pPr>
        <w:ind w:left="1551" w:hanging="360"/>
      </w:pPr>
      <w:rPr>
        <w:rFonts w:hint="default"/>
        <w:sz w:val="22"/>
        <w:szCs w:val="22"/>
      </w:rPr>
    </w:lvl>
    <w:lvl w:ilvl="1" w:tplc="0C090019" w:tentative="1">
      <w:start w:val="1"/>
      <w:numFmt w:val="lowerLetter"/>
      <w:lvlText w:val="%2."/>
      <w:lvlJc w:val="left"/>
      <w:pPr>
        <w:ind w:left="2271" w:hanging="360"/>
      </w:pPr>
    </w:lvl>
    <w:lvl w:ilvl="2" w:tplc="0C09001B">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40" w15:restartNumberingAfterBreak="0">
    <w:nsid w:val="3862445C"/>
    <w:multiLevelType w:val="hybridMultilevel"/>
    <w:tmpl w:val="58DC64D2"/>
    <w:lvl w:ilvl="0" w:tplc="C8FE3F4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388A4C04"/>
    <w:multiLevelType w:val="multilevel"/>
    <w:tmpl w:val="FA7C2A1C"/>
    <w:lvl w:ilvl="0">
      <w:start w:val="1"/>
      <w:numFmt w:val="lowerLetter"/>
      <w:lvlText w:val="%1)"/>
      <w:lvlJc w:val="left"/>
      <w:pPr>
        <w:ind w:left="1097" w:hanging="360"/>
      </w:pPr>
      <w:rPr>
        <w:rFonts w:hint="default"/>
      </w:rPr>
    </w:lvl>
    <w:lvl w:ilvl="1">
      <w:start w:val="1"/>
      <w:numFmt w:val="lowerRoman"/>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42" w15:restartNumberingAfterBreak="0">
    <w:nsid w:val="394970DF"/>
    <w:multiLevelType w:val="hybridMultilevel"/>
    <w:tmpl w:val="AFCA5430"/>
    <w:lvl w:ilvl="0" w:tplc="179AE1C0">
      <w:start w:val="1"/>
      <w:numFmt w:val="bullet"/>
      <w:lvlText w:val=""/>
      <w:lvlJc w:val="left"/>
      <w:pPr>
        <w:ind w:left="940" w:hanging="363"/>
      </w:pPr>
      <w:rPr>
        <w:rFonts w:ascii="Symbol" w:eastAsia="Symbol" w:hAnsi="Symbol" w:hint="default"/>
        <w:sz w:val="24"/>
        <w:szCs w:val="24"/>
      </w:rPr>
    </w:lvl>
    <w:lvl w:ilvl="1" w:tplc="3FC4B912">
      <w:start w:val="1"/>
      <w:numFmt w:val="bullet"/>
      <w:lvlText w:val="•"/>
      <w:lvlJc w:val="left"/>
      <w:pPr>
        <w:ind w:left="1793" w:hanging="363"/>
      </w:pPr>
      <w:rPr>
        <w:rFonts w:hint="default"/>
      </w:rPr>
    </w:lvl>
    <w:lvl w:ilvl="2" w:tplc="5C603AB6">
      <w:start w:val="1"/>
      <w:numFmt w:val="bullet"/>
      <w:lvlText w:val="•"/>
      <w:lvlJc w:val="left"/>
      <w:pPr>
        <w:ind w:left="2645" w:hanging="363"/>
      </w:pPr>
      <w:rPr>
        <w:rFonts w:hint="default"/>
      </w:rPr>
    </w:lvl>
    <w:lvl w:ilvl="3" w:tplc="A43405F4">
      <w:start w:val="1"/>
      <w:numFmt w:val="bullet"/>
      <w:lvlText w:val="•"/>
      <w:lvlJc w:val="left"/>
      <w:pPr>
        <w:ind w:left="3498" w:hanging="363"/>
      </w:pPr>
      <w:rPr>
        <w:rFonts w:hint="default"/>
      </w:rPr>
    </w:lvl>
    <w:lvl w:ilvl="4" w:tplc="BDC82B70">
      <w:start w:val="1"/>
      <w:numFmt w:val="bullet"/>
      <w:lvlText w:val="•"/>
      <w:lvlJc w:val="left"/>
      <w:pPr>
        <w:ind w:left="4350" w:hanging="363"/>
      </w:pPr>
      <w:rPr>
        <w:rFonts w:hint="default"/>
      </w:rPr>
    </w:lvl>
    <w:lvl w:ilvl="5" w:tplc="E94A47C8">
      <w:start w:val="1"/>
      <w:numFmt w:val="bullet"/>
      <w:lvlText w:val="•"/>
      <w:lvlJc w:val="left"/>
      <w:pPr>
        <w:ind w:left="5203" w:hanging="363"/>
      </w:pPr>
      <w:rPr>
        <w:rFonts w:hint="default"/>
      </w:rPr>
    </w:lvl>
    <w:lvl w:ilvl="6" w:tplc="530EB752">
      <w:start w:val="1"/>
      <w:numFmt w:val="bullet"/>
      <w:lvlText w:val="•"/>
      <w:lvlJc w:val="left"/>
      <w:pPr>
        <w:ind w:left="6056" w:hanging="363"/>
      </w:pPr>
      <w:rPr>
        <w:rFonts w:hint="default"/>
      </w:rPr>
    </w:lvl>
    <w:lvl w:ilvl="7" w:tplc="493AAD94">
      <w:start w:val="1"/>
      <w:numFmt w:val="bullet"/>
      <w:lvlText w:val="•"/>
      <w:lvlJc w:val="left"/>
      <w:pPr>
        <w:ind w:left="6908" w:hanging="363"/>
      </w:pPr>
      <w:rPr>
        <w:rFonts w:hint="default"/>
      </w:rPr>
    </w:lvl>
    <w:lvl w:ilvl="8" w:tplc="A3649B32">
      <w:start w:val="1"/>
      <w:numFmt w:val="bullet"/>
      <w:lvlText w:val="•"/>
      <w:lvlJc w:val="left"/>
      <w:pPr>
        <w:ind w:left="7761" w:hanging="363"/>
      </w:pPr>
      <w:rPr>
        <w:rFonts w:hint="default"/>
      </w:rPr>
    </w:lvl>
  </w:abstractNum>
  <w:abstractNum w:abstractNumId="43" w15:restartNumberingAfterBreak="0">
    <w:nsid w:val="3AAF78E5"/>
    <w:multiLevelType w:val="multilevel"/>
    <w:tmpl w:val="33A228F4"/>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B4A4CA6"/>
    <w:multiLevelType w:val="multilevel"/>
    <w:tmpl w:val="6702427A"/>
    <w:lvl w:ilvl="0">
      <w:start w:val="6"/>
      <w:numFmt w:val="decimal"/>
      <w:suff w:val="space"/>
      <w:lvlText w:val="Part %1:"/>
      <w:lvlJc w:val="left"/>
      <w:pPr>
        <w:ind w:left="0" w:firstLine="0"/>
      </w:pPr>
      <w:rPr>
        <w:rFonts w:hint="default"/>
      </w:rPr>
    </w:lvl>
    <w:lvl w:ilvl="1">
      <w:start w:val="1"/>
      <w:numFmt w:val="decimal"/>
      <w:pStyle w:val="NumberedParagraphs"/>
      <w:lvlText w:val="%1.%2"/>
      <w:lvlJc w:val="left"/>
      <w:pPr>
        <w:ind w:left="453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45" w15:restartNumberingAfterBreak="0">
    <w:nsid w:val="3CD504A4"/>
    <w:multiLevelType w:val="hybridMultilevel"/>
    <w:tmpl w:val="4A24CE6E"/>
    <w:lvl w:ilvl="0" w:tplc="0C090001">
      <w:start w:val="1"/>
      <w:numFmt w:val="bullet"/>
      <w:lvlText w:val=""/>
      <w:lvlJc w:val="left"/>
      <w:pPr>
        <w:ind w:left="1331" w:hanging="360"/>
      </w:pPr>
      <w:rPr>
        <w:rFonts w:ascii="Symbol" w:hAnsi="Symbol" w:hint="default"/>
      </w:rPr>
    </w:lvl>
    <w:lvl w:ilvl="1" w:tplc="0C090003" w:tentative="1">
      <w:start w:val="1"/>
      <w:numFmt w:val="bullet"/>
      <w:lvlText w:val="o"/>
      <w:lvlJc w:val="left"/>
      <w:pPr>
        <w:ind w:left="2051" w:hanging="360"/>
      </w:pPr>
      <w:rPr>
        <w:rFonts w:ascii="Courier New" w:hAnsi="Courier New" w:cs="Courier New" w:hint="default"/>
      </w:rPr>
    </w:lvl>
    <w:lvl w:ilvl="2" w:tplc="0C090005" w:tentative="1">
      <w:start w:val="1"/>
      <w:numFmt w:val="bullet"/>
      <w:lvlText w:val=""/>
      <w:lvlJc w:val="left"/>
      <w:pPr>
        <w:ind w:left="2771" w:hanging="360"/>
      </w:pPr>
      <w:rPr>
        <w:rFonts w:ascii="Wingdings" w:hAnsi="Wingdings" w:hint="default"/>
      </w:rPr>
    </w:lvl>
    <w:lvl w:ilvl="3" w:tplc="0C090001" w:tentative="1">
      <w:start w:val="1"/>
      <w:numFmt w:val="bullet"/>
      <w:lvlText w:val=""/>
      <w:lvlJc w:val="left"/>
      <w:pPr>
        <w:ind w:left="3491" w:hanging="360"/>
      </w:pPr>
      <w:rPr>
        <w:rFonts w:ascii="Symbol" w:hAnsi="Symbol" w:hint="default"/>
      </w:rPr>
    </w:lvl>
    <w:lvl w:ilvl="4" w:tplc="0C090003" w:tentative="1">
      <w:start w:val="1"/>
      <w:numFmt w:val="bullet"/>
      <w:lvlText w:val="o"/>
      <w:lvlJc w:val="left"/>
      <w:pPr>
        <w:ind w:left="4211" w:hanging="360"/>
      </w:pPr>
      <w:rPr>
        <w:rFonts w:ascii="Courier New" w:hAnsi="Courier New" w:cs="Courier New" w:hint="default"/>
      </w:rPr>
    </w:lvl>
    <w:lvl w:ilvl="5" w:tplc="0C090005" w:tentative="1">
      <w:start w:val="1"/>
      <w:numFmt w:val="bullet"/>
      <w:lvlText w:val=""/>
      <w:lvlJc w:val="left"/>
      <w:pPr>
        <w:ind w:left="4931" w:hanging="360"/>
      </w:pPr>
      <w:rPr>
        <w:rFonts w:ascii="Wingdings" w:hAnsi="Wingdings" w:hint="default"/>
      </w:rPr>
    </w:lvl>
    <w:lvl w:ilvl="6" w:tplc="0C090001" w:tentative="1">
      <w:start w:val="1"/>
      <w:numFmt w:val="bullet"/>
      <w:lvlText w:val=""/>
      <w:lvlJc w:val="left"/>
      <w:pPr>
        <w:ind w:left="5651" w:hanging="360"/>
      </w:pPr>
      <w:rPr>
        <w:rFonts w:ascii="Symbol" w:hAnsi="Symbol" w:hint="default"/>
      </w:rPr>
    </w:lvl>
    <w:lvl w:ilvl="7" w:tplc="0C090003" w:tentative="1">
      <w:start w:val="1"/>
      <w:numFmt w:val="bullet"/>
      <w:lvlText w:val="o"/>
      <w:lvlJc w:val="left"/>
      <w:pPr>
        <w:ind w:left="6371" w:hanging="360"/>
      </w:pPr>
      <w:rPr>
        <w:rFonts w:ascii="Courier New" w:hAnsi="Courier New" w:cs="Courier New" w:hint="default"/>
      </w:rPr>
    </w:lvl>
    <w:lvl w:ilvl="8" w:tplc="0C090005" w:tentative="1">
      <w:start w:val="1"/>
      <w:numFmt w:val="bullet"/>
      <w:lvlText w:val=""/>
      <w:lvlJc w:val="left"/>
      <w:pPr>
        <w:ind w:left="7091" w:hanging="360"/>
      </w:pPr>
      <w:rPr>
        <w:rFonts w:ascii="Wingdings" w:hAnsi="Wingdings" w:hint="default"/>
      </w:rPr>
    </w:lvl>
  </w:abstractNum>
  <w:abstractNum w:abstractNumId="46" w15:restartNumberingAfterBreak="0">
    <w:nsid w:val="3E575E1A"/>
    <w:multiLevelType w:val="multilevel"/>
    <w:tmpl w:val="3216DC06"/>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47" w15:restartNumberingAfterBreak="0">
    <w:nsid w:val="43D51381"/>
    <w:multiLevelType w:val="multilevel"/>
    <w:tmpl w:val="D1203646"/>
    <w:numStyleLink w:val="TableNumbersOAIC"/>
  </w:abstractNum>
  <w:abstractNum w:abstractNumId="48" w15:restartNumberingAfterBreak="0">
    <w:nsid w:val="45C01679"/>
    <w:multiLevelType w:val="multilevel"/>
    <w:tmpl w:val="F8B86660"/>
    <w:styleLink w:val="TOC"/>
    <w:lvl w:ilvl="0">
      <w:start w:val="1"/>
      <w:numFmt w:val="decimal"/>
      <w:pStyle w:val="21paragraphs"/>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6416941"/>
    <w:multiLevelType w:val="hybridMultilevel"/>
    <w:tmpl w:val="77B49A8C"/>
    <w:lvl w:ilvl="0" w:tplc="0C09000F">
      <w:start w:val="1"/>
      <w:numFmt w:val="decimal"/>
      <w:lvlText w:val="%1."/>
      <w:lvlJc w:val="left"/>
      <w:pPr>
        <w:ind w:left="1288" w:hanging="360"/>
      </w:p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0" w15:restartNumberingAfterBreak="0">
    <w:nsid w:val="48884EFA"/>
    <w:multiLevelType w:val="multilevel"/>
    <w:tmpl w:val="2826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2021AC"/>
    <w:multiLevelType w:val="multilevel"/>
    <w:tmpl w:val="AB8C8CEC"/>
    <w:lvl w:ilvl="0">
      <w:start w:val="1"/>
      <w:numFmt w:val="bullet"/>
      <w:lvlText w:val=""/>
      <w:lvlJc w:val="left"/>
      <w:pPr>
        <w:ind w:left="284" w:hanging="284"/>
      </w:pPr>
      <w:rPr>
        <w:rFonts w:ascii="Symbol" w:hAnsi="Symbol" w:cs="Times New Roman" w:hint="default"/>
      </w:rPr>
    </w:lvl>
    <w:lvl w:ilvl="1">
      <w:start w:val="1"/>
      <w:numFmt w:val="bullet"/>
      <w:pStyle w:val="ListBullet2"/>
      <w:lvlText w:val="o"/>
      <w:lvlJc w:val="left"/>
      <w:pPr>
        <w:ind w:left="567" w:hanging="283"/>
      </w:pPr>
      <w:rPr>
        <w:rFonts w:ascii="Courier New" w:hAnsi="Courier New" w:cs="Courier New" w:hint="default"/>
        <w:w w:val="90"/>
      </w:rPr>
    </w:lvl>
    <w:lvl w:ilvl="2">
      <w:start w:val="1"/>
      <w:numFmt w:val="bullet"/>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52" w15:restartNumberingAfterBreak="0">
    <w:nsid w:val="4A9B71DF"/>
    <w:multiLevelType w:val="multilevel"/>
    <w:tmpl w:val="A1829400"/>
    <w:lvl w:ilvl="0">
      <w:start w:val="1"/>
      <w:numFmt w:val="decimal"/>
      <w:pStyle w:val="61paras"/>
      <w:lvlText w:val="6.%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B8B466D"/>
    <w:multiLevelType w:val="hybridMultilevel"/>
    <w:tmpl w:val="D94A7538"/>
    <w:lvl w:ilvl="0" w:tplc="6F1AC312">
      <w:start w:val="1"/>
      <w:numFmt w:val="lowerLetter"/>
      <w:pStyle w:val="numberedparaa"/>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4" w15:restartNumberingAfterBreak="0">
    <w:nsid w:val="4B9551A5"/>
    <w:multiLevelType w:val="hybridMultilevel"/>
    <w:tmpl w:val="E726250A"/>
    <w:lvl w:ilvl="0" w:tplc="04090017">
      <w:start w:val="1"/>
      <w:numFmt w:val="lowerLetter"/>
      <w:lvlText w:val="%1)"/>
      <w:lvlJc w:val="left"/>
      <w:pPr>
        <w:ind w:left="1551" w:hanging="360"/>
      </w:pPr>
      <w:rPr>
        <w:rFonts w:hint="default"/>
        <w:sz w:val="22"/>
        <w:szCs w:val="22"/>
      </w:rPr>
    </w:lvl>
    <w:lvl w:ilvl="1" w:tplc="0C090019" w:tentative="1">
      <w:start w:val="1"/>
      <w:numFmt w:val="lowerLetter"/>
      <w:lvlText w:val="%2."/>
      <w:lvlJc w:val="left"/>
      <w:pPr>
        <w:ind w:left="2271" w:hanging="360"/>
      </w:pPr>
    </w:lvl>
    <w:lvl w:ilvl="2" w:tplc="0C09001B">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55" w15:restartNumberingAfterBreak="0">
    <w:nsid w:val="4BD20632"/>
    <w:multiLevelType w:val="hybridMultilevel"/>
    <w:tmpl w:val="9F9A6466"/>
    <w:lvl w:ilvl="0" w:tplc="04090017">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EE168D"/>
    <w:multiLevelType w:val="multilevel"/>
    <w:tmpl w:val="10B2D734"/>
    <w:lvl w:ilvl="0">
      <w:start w:val="9"/>
      <w:numFmt w:val="decimal"/>
      <w:lvlText w:val="%1"/>
      <w:lvlJc w:val="left"/>
      <w:pPr>
        <w:ind w:left="360" w:hanging="360"/>
      </w:pPr>
      <w:rPr>
        <w:rFonts w:hint="default"/>
      </w:rPr>
    </w:lvl>
    <w:lvl w:ilvl="1">
      <w:start w:val="1"/>
      <w:numFmt w:val="decimal"/>
      <w:pStyle w:val="APPGuidelinenumbering"/>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3757393"/>
    <w:multiLevelType w:val="multilevel"/>
    <w:tmpl w:val="EAF69E44"/>
    <w:lvl w:ilvl="0">
      <w:start w:val="1"/>
      <w:numFmt w:val="decimal"/>
      <w:pStyle w:val="C1style"/>
      <w:lvlText w:val="C.%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A35699"/>
    <w:multiLevelType w:val="hybridMultilevel"/>
    <w:tmpl w:val="E3EA0A32"/>
    <w:lvl w:ilvl="0" w:tplc="0C090005">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4ED50CE"/>
    <w:multiLevelType w:val="hybridMultilevel"/>
    <w:tmpl w:val="7452CA40"/>
    <w:lvl w:ilvl="0" w:tplc="A874ED12">
      <w:start w:val="1"/>
      <w:numFmt w:val="decimal"/>
      <w:pStyle w:val="21paras"/>
      <w:lvlText w:val="2.%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5A483F3D"/>
    <w:multiLevelType w:val="hybridMultilevel"/>
    <w:tmpl w:val="9E9AFF52"/>
    <w:lvl w:ilvl="0" w:tplc="C10EAE78">
      <w:start w:val="1"/>
      <w:numFmt w:val="decimal"/>
      <w:pStyle w:val="Numberedpara10"/>
      <w:lvlText w:val="4.%1"/>
      <w:lvlJc w:val="left"/>
      <w:pPr>
        <w:ind w:left="1353" w:hanging="360"/>
      </w:pPr>
      <w:rPr>
        <w:rFonts w:ascii="Calibri" w:hAnsi="Calibri" w:hint="default"/>
        <w:b w:val="0"/>
        <w:i w:val="0"/>
        <w:sz w:val="24"/>
        <w:szCs w:val="24"/>
      </w:rPr>
    </w:lvl>
    <w:lvl w:ilvl="1" w:tplc="0C090001">
      <w:start w:val="1"/>
      <w:numFmt w:val="bullet"/>
      <w:lvlText w:val=""/>
      <w:lvlJc w:val="left"/>
      <w:pPr>
        <w:ind w:left="2073" w:hanging="360"/>
      </w:pPr>
      <w:rPr>
        <w:rFonts w:ascii="Symbol" w:hAnsi="Symbol"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1" w15:restartNumberingAfterBreak="0">
    <w:nsid w:val="5C102487"/>
    <w:multiLevelType w:val="multilevel"/>
    <w:tmpl w:val="32C06648"/>
    <w:lvl w:ilvl="0">
      <w:start w:val="1"/>
      <w:numFmt w:val="bullet"/>
      <w:lvlText w:val=""/>
      <w:lvlJc w:val="left"/>
      <w:pPr>
        <w:ind w:left="720" w:firstLine="0"/>
      </w:pPr>
      <w:rPr>
        <w:rFonts w:ascii="Symbol" w:hAnsi="Symbol" w:hint="default"/>
      </w:rPr>
    </w:lvl>
    <w:lvl w:ilvl="1">
      <w:start w:val="1"/>
      <w:numFmt w:val="decimal"/>
      <w:lvlText w:val="%1.%2"/>
      <w:lvlJc w:val="left"/>
      <w:pPr>
        <w:ind w:left="1855"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ind w:left="1117" w:hanging="397"/>
      </w:pPr>
      <w:rPr>
        <w:rFonts w:hint="default"/>
      </w:rPr>
    </w:lvl>
    <w:lvl w:ilvl="3">
      <w:start w:val="1"/>
      <w:numFmt w:val="none"/>
      <w:lvlText w:val=""/>
      <w:lvlJc w:val="left"/>
      <w:pPr>
        <w:ind w:left="1117" w:hanging="397"/>
      </w:pPr>
      <w:rPr>
        <w:rFonts w:hint="default"/>
      </w:rPr>
    </w:lvl>
    <w:lvl w:ilvl="4">
      <w:start w:val="1"/>
      <w:numFmt w:val="none"/>
      <w:lvlText w:val=""/>
      <w:lvlJc w:val="left"/>
      <w:pPr>
        <w:ind w:left="1117" w:hanging="397"/>
      </w:pPr>
      <w:rPr>
        <w:rFonts w:hint="default"/>
      </w:rPr>
    </w:lvl>
    <w:lvl w:ilvl="5">
      <w:start w:val="1"/>
      <w:numFmt w:val="none"/>
      <w:lvlText w:val=""/>
      <w:lvlJc w:val="left"/>
      <w:pPr>
        <w:ind w:left="1117" w:hanging="397"/>
      </w:pPr>
      <w:rPr>
        <w:rFonts w:hint="default"/>
      </w:rPr>
    </w:lvl>
    <w:lvl w:ilvl="6">
      <w:start w:val="1"/>
      <w:numFmt w:val="none"/>
      <w:lvlText w:val=""/>
      <w:lvlJc w:val="left"/>
      <w:pPr>
        <w:ind w:left="1117" w:hanging="397"/>
      </w:pPr>
      <w:rPr>
        <w:rFonts w:hint="default"/>
      </w:rPr>
    </w:lvl>
    <w:lvl w:ilvl="7">
      <w:start w:val="1"/>
      <w:numFmt w:val="none"/>
      <w:lvlText w:val=""/>
      <w:lvlJc w:val="left"/>
      <w:pPr>
        <w:ind w:left="1117" w:hanging="397"/>
      </w:pPr>
      <w:rPr>
        <w:rFonts w:hint="default"/>
      </w:rPr>
    </w:lvl>
    <w:lvl w:ilvl="8">
      <w:start w:val="1"/>
      <w:numFmt w:val="none"/>
      <w:lvlText w:val=""/>
      <w:lvlJc w:val="left"/>
      <w:pPr>
        <w:ind w:left="1117" w:hanging="397"/>
      </w:pPr>
      <w:rPr>
        <w:rFonts w:hint="default"/>
      </w:rPr>
    </w:lvl>
  </w:abstractNum>
  <w:abstractNum w:abstractNumId="62" w15:restartNumberingAfterBreak="0">
    <w:nsid w:val="65BD5558"/>
    <w:multiLevelType w:val="multilevel"/>
    <w:tmpl w:val="7E527E24"/>
    <w:lvl w:ilvl="0">
      <w:start w:val="1"/>
      <w:numFmt w:val="bullet"/>
      <w:lvlText w:val=""/>
      <w:lvlJc w:val="left"/>
      <w:pPr>
        <w:ind w:left="567" w:hanging="283"/>
      </w:pPr>
      <w:rPr>
        <w:rFonts w:ascii="Symbol" w:hAnsi="Symbol" w:cs="Courier New" w:hint="default"/>
      </w:rPr>
    </w:lvl>
    <w:lvl w:ilvl="1">
      <w:start w:val="1"/>
      <w:numFmt w:val="bullet"/>
      <w:lvlText w:val=""/>
      <w:lvlJc w:val="left"/>
      <w:pPr>
        <w:ind w:left="1211"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F079DF"/>
    <w:multiLevelType w:val="hybridMultilevel"/>
    <w:tmpl w:val="4FBA0818"/>
    <w:lvl w:ilvl="0" w:tplc="D3501AC0">
      <w:start w:val="1"/>
      <w:numFmt w:val="bullet"/>
      <w:lvlText w:val=""/>
      <w:lvlJc w:val="left"/>
      <w:pPr>
        <w:ind w:left="853" w:hanging="363"/>
      </w:pPr>
      <w:rPr>
        <w:rFonts w:ascii="Symbol" w:eastAsia="Symbol" w:hAnsi="Symbol" w:hint="default"/>
        <w:sz w:val="24"/>
        <w:szCs w:val="24"/>
      </w:rPr>
    </w:lvl>
    <w:lvl w:ilvl="1" w:tplc="9A58A948">
      <w:start w:val="1"/>
      <w:numFmt w:val="bullet"/>
      <w:lvlText w:val="•"/>
      <w:lvlJc w:val="left"/>
      <w:pPr>
        <w:ind w:left="1698" w:hanging="363"/>
      </w:pPr>
      <w:rPr>
        <w:rFonts w:hint="default"/>
      </w:rPr>
    </w:lvl>
    <w:lvl w:ilvl="2" w:tplc="BAFE223E">
      <w:start w:val="1"/>
      <w:numFmt w:val="bullet"/>
      <w:lvlText w:val="•"/>
      <w:lvlJc w:val="left"/>
      <w:pPr>
        <w:ind w:left="2543" w:hanging="363"/>
      </w:pPr>
      <w:rPr>
        <w:rFonts w:hint="default"/>
      </w:rPr>
    </w:lvl>
    <w:lvl w:ilvl="3" w:tplc="0142870A">
      <w:start w:val="1"/>
      <w:numFmt w:val="bullet"/>
      <w:lvlText w:val="•"/>
      <w:lvlJc w:val="left"/>
      <w:pPr>
        <w:ind w:left="3389" w:hanging="363"/>
      </w:pPr>
      <w:rPr>
        <w:rFonts w:hint="default"/>
      </w:rPr>
    </w:lvl>
    <w:lvl w:ilvl="4" w:tplc="ED5EF706">
      <w:start w:val="1"/>
      <w:numFmt w:val="bullet"/>
      <w:lvlText w:val="•"/>
      <w:lvlJc w:val="left"/>
      <w:pPr>
        <w:ind w:left="4234" w:hanging="363"/>
      </w:pPr>
      <w:rPr>
        <w:rFonts w:hint="default"/>
      </w:rPr>
    </w:lvl>
    <w:lvl w:ilvl="5" w:tplc="686ED07C">
      <w:start w:val="1"/>
      <w:numFmt w:val="bullet"/>
      <w:lvlText w:val="•"/>
      <w:lvlJc w:val="left"/>
      <w:pPr>
        <w:ind w:left="5079" w:hanging="363"/>
      </w:pPr>
      <w:rPr>
        <w:rFonts w:hint="default"/>
      </w:rPr>
    </w:lvl>
    <w:lvl w:ilvl="6" w:tplc="C6B255BC">
      <w:start w:val="1"/>
      <w:numFmt w:val="bullet"/>
      <w:lvlText w:val="•"/>
      <w:lvlJc w:val="left"/>
      <w:pPr>
        <w:ind w:left="5925" w:hanging="363"/>
      </w:pPr>
      <w:rPr>
        <w:rFonts w:hint="default"/>
      </w:rPr>
    </w:lvl>
    <w:lvl w:ilvl="7" w:tplc="78B8BEC4">
      <w:start w:val="1"/>
      <w:numFmt w:val="bullet"/>
      <w:lvlText w:val="•"/>
      <w:lvlJc w:val="left"/>
      <w:pPr>
        <w:ind w:left="6770" w:hanging="363"/>
      </w:pPr>
      <w:rPr>
        <w:rFonts w:hint="default"/>
      </w:rPr>
    </w:lvl>
    <w:lvl w:ilvl="8" w:tplc="0B40FBAA">
      <w:start w:val="1"/>
      <w:numFmt w:val="bullet"/>
      <w:lvlText w:val="•"/>
      <w:lvlJc w:val="left"/>
      <w:pPr>
        <w:ind w:left="7615" w:hanging="363"/>
      </w:pPr>
      <w:rPr>
        <w:rFonts w:hint="default"/>
      </w:rPr>
    </w:lvl>
  </w:abstractNum>
  <w:abstractNum w:abstractNumId="64"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9FA5D2E"/>
    <w:multiLevelType w:val="hybridMultilevel"/>
    <w:tmpl w:val="EAA427FE"/>
    <w:lvl w:ilvl="0" w:tplc="8C1CAFC0">
      <w:start w:val="1"/>
      <w:numFmt w:val="decimal"/>
      <w:pStyle w:val="101numbering"/>
      <w:lvlText w:val="10.%1"/>
      <w:lvlJc w:val="left"/>
      <w:pPr>
        <w:ind w:left="36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D49691D"/>
    <w:multiLevelType w:val="hybridMultilevel"/>
    <w:tmpl w:val="8116C28A"/>
    <w:lvl w:ilvl="0" w:tplc="BB88D890">
      <w:start w:val="1"/>
      <w:numFmt w:val="decimal"/>
      <w:pStyle w:val="Numberedpara4"/>
      <w:lvlText w:val="4.%1"/>
      <w:lvlJc w:val="left"/>
      <w:pPr>
        <w:ind w:left="720" w:hanging="360"/>
      </w:pPr>
      <w:rPr>
        <w:rFonts w:ascii="Calibri" w:hAnsi="Calibri"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DEA675D"/>
    <w:multiLevelType w:val="hybridMultilevel"/>
    <w:tmpl w:val="06A4350A"/>
    <w:lvl w:ilvl="0" w:tplc="4BAC7D8C">
      <w:start w:val="1"/>
      <w:numFmt w:val="decimal"/>
      <w:pStyle w:val="numberedpara6"/>
      <w:lvlText w:val="6.%1"/>
      <w:lvlJc w:val="left"/>
      <w:pPr>
        <w:ind w:left="360" w:hanging="360"/>
      </w:pPr>
      <w:rPr>
        <w:rFonts w:ascii="Calibri" w:hAnsi="Calibri" w:cs="Calibri" w:hint="default"/>
        <w:b w:val="0"/>
        <w:i w:val="0"/>
        <w:sz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C30F67"/>
    <w:multiLevelType w:val="multilevel"/>
    <w:tmpl w:val="FA7C2A1C"/>
    <w:lvl w:ilvl="0">
      <w:start w:val="1"/>
      <w:numFmt w:val="lowerLetter"/>
      <w:lvlText w:val="%1)"/>
      <w:lvlJc w:val="left"/>
      <w:pPr>
        <w:ind w:left="1097" w:hanging="360"/>
      </w:pPr>
      <w:rPr>
        <w:rFonts w:hint="default"/>
      </w:rPr>
    </w:lvl>
    <w:lvl w:ilvl="1">
      <w:start w:val="1"/>
      <w:numFmt w:val="lowerRoman"/>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69" w15:restartNumberingAfterBreak="0">
    <w:nsid w:val="742D3332"/>
    <w:multiLevelType w:val="multilevel"/>
    <w:tmpl w:val="3CB8D09E"/>
    <w:lvl w:ilvl="0">
      <w:start w:val="5"/>
      <w:numFmt w:val="decimal"/>
      <w:lvlText w:val="%1"/>
      <w:lvlJc w:val="left"/>
      <w:pPr>
        <w:ind w:left="140" w:hanging="708"/>
      </w:pPr>
      <w:rPr>
        <w:rFonts w:hint="default"/>
      </w:rPr>
    </w:lvl>
    <w:lvl w:ilvl="1">
      <w:start w:val="1"/>
      <w:numFmt w:val="decimal"/>
      <w:lvlText w:val="%1.%2"/>
      <w:lvlJc w:val="left"/>
      <w:pPr>
        <w:ind w:left="8789" w:hanging="708"/>
        <w:jc w:val="right"/>
      </w:pPr>
      <w:rPr>
        <w:rFonts w:ascii="Calibri" w:eastAsia="Calibri" w:hAnsi="Calibri" w:hint="default"/>
        <w:sz w:val="24"/>
        <w:szCs w:val="24"/>
      </w:rPr>
    </w:lvl>
    <w:lvl w:ilvl="2">
      <w:start w:val="1"/>
      <w:numFmt w:val="lowerLetter"/>
      <w:lvlText w:val="(%3)"/>
      <w:lvlJc w:val="left"/>
      <w:pPr>
        <w:ind w:left="853" w:hanging="363"/>
      </w:pPr>
      <w:rPr>
        <w:rFonts w:ascii="Calibri" w:eastAsia="Calibri" w:hAnsi="Calibri" w:hint="default"/>
        <w:spacing w:val="-1"/>
        <w:sz w:val="24"/>
        <w:szCs w:val="24"/>
      </w:rPr>
    </w:lvl>
    <w:lvl w:ilvl="3">
      <w:start w:val="1"/>
      <w:numFmt w:val="lowerRoman"/>
      <w:lvlText w:val="(%4)"/>
      <w:lvlJc w:val="left"/>
      <w:pPr>
        <w:ind w:left="1275" w:hanging="428"/>
      </w:pPr>
      <w:rPr>
        <w:rFonts w:ascii="Calibri" w:eastAsia="Calibri" w:hAnsi="Calibri" w:hint="default"/>
        <w:spacing w:val="-1"/>
        <w:sz w:val="24"/>
        <w:szCs w:val="24"/>
      </w:rPr>
    </w:lvl>
    <w:lvl w:ilvl="4">
      <w:start w:val="1"/>
      <w:numFmt w:val="bullet"/>
      <w:lvlText w:val="•"/>
      <w:lvlJc w:val="left"/>
      <w:pPr>
        <w:ind w:left="2422" w:hanging="428"/>
      </w:pPr>
      <w:rPr>
        <w:rFonts w:hint="default"/>
      </w:rPr>
    </w:lvl>
    <w:lvl w:ilvl="5">
      <w:start w:val="1"/>
      <w:numFmt w:val="bullet"/>
      <w:lvlText w:val="•"/>
      <w:lvlJc w:val="left"/>
      <w:pPr>
        <w:ind w:left="3570" w:hanging="428"/>
      </w:pPr>
      <w:rPr>
        <w:rFonts w:hint="default"/>
      </w:rPr>
    </w:lvl>
    <w:lvl w:ilvl="6">
      <w:start w:val="1"/>
      <w:numFmt w:val="bullet"/>
      <w:lvlText w:val="•"/>
      <w:lvlJc w:val="left"/>
      <w:pPr>
        <w:ind w:left="4717" w:hanging="428"/>
      </w:pPr>
      <w:rPr>
        <w:rFonts w:hint="default"/>
      </w:rPr>
    </w:lvl>
    <w:lvl w:ilvl="7">
      <w:start w:val="1"/>
      <w:numFmt w:val="bullet"/>
      <w:lvlText w:val="•"/>
      <w:lvlJc w:val="left"/>
      <w:pPr>
        <w:ind w:left="5864" w:hanging="428"/>
      </w:pPr>
      <w:rPr>
        <w:rFonts w:hint="default"/>
      </w:rPr>
    </w:lvl>
    <w:lvl w:ilvl="8">
      <w:start w:val="1"/>
      <w:numFmt w:val="bullet"/>
      <w:lvlText w:val="•"/>
      <w:lvlJc w:val="left"/>
      <w:pPr>
        <w:ind w:left="7011" w:hanging="428"/>
      </w:pPr>
      <w:rPr>
        <w:rFonts w:hint="default"/>
      </w:rPr>
    </w:lvl>
  </w:abstractNum>
  <w:abstractNum w:abstractNumId="70" w15:restartNumberingAfterBreak="0">
    <w:nsid w:val="744F4C91"/>
    <w:multiLevelType w:val="multilevel"/>
    <w:tmpl w:val="473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461CCB"/>
    <w:multiLevelType w:val="hybridMultilevel"/>
    <w:tmpl w:val="7C16EB7E"/>
    <w:lvl w:ilvl="0" w:tplc="DAEC2C7E">
      <w:start w:val="1"/>
      <w:numFmt w:val="decimal"/>
      <w:pStyle w:val="Numberedpara7"/>
      <w:lvlText w:val="7.%1"/>
      <w:lvlJc w:val="left"/>
      <w:pPr>
        <w:ind w:left="360" w:hanging="360"/>
      </w:pPr>
      <w:rPr>
        <w:rFonts w:ascii="Calibri" w:hAnsi="Calibri"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91487350">
    <w:abstractNumId w:val="71"/>
  </w:num>
  <w:num w:numId="2" w16cid:durableId="290475590">
    <w:abstractNumId w:val="3"/>
  </w:num>
  <w:num w:numId="3" w16cid:durableId="534125681">
    <w:abstractNumId w:val="72"/>
  </w:num>
  <w:num w:numId="4" w16cid:durableId="758720981">
    <w:abstractNumId w:val="24"/>
  </w:num>
  <w:num w:numId="5" w16cid:durableId="267667343">
    <w:abstractNumId w:val="5"/>
  </w:num>
  <w:num w:numId="6" w16cid:durableId="406996901">
    <w:abstractNumId w:val="14"/>
  </w:num>
  <w:num w:numId="7" w16cid:durableId="1995142777">
    <w:abstractNumId w:val="17"/>
  </w:num>
  <w:num w:numId="8" w16cid:durableId="222183458">
    <w:abstractNumId w:val="47"/>
  </w:num>
  <w:num w:numId="9" w16cid:durableId="1952860865">
    <w:abstractNumId w:val="38"/>
  </w:num>
  <w:num w:numId="10" w16cid:durableId="1386683276">
    <w:abstractNumId w:val="44"/>
  </w:num>
  <w:num w:numId="11" w16cid:durableId="91974400">
    <w:abstractNumId w:val="46"/>
    <w:lvlOverride w:ilvl="0">
      <w:lvl w:ilvl="0">
        <w:start w:val="1"/>
        <w:numFmt w:val="bullet"/>
        <w:pStyle w:val="ListBullet"/>
        <w:lvlText w:val=""/>
        <w:lvlJc w:val="left"/>
        <w:pPr>
          <w:ind w:left="284" w:hanging="284"/>
        </w:pPr>
        <w:rPr>
          <w:rFonts w:ascii="Symbol" w:hAnsi="Symbol" w:cs="Times New Roman" w:hint="default"/>
        </w:rPr>
      </w:lvl>
    </w:lvlOverride>
  </w:num>
  <w:num w:numId="12" w16cid:durableId="721366446">
    <w:abstractNumId w:val="48"/>
  </w:num>
  <w:num w:numId="13" w16cid:durableId="371269102">
    <w:abstractNumId w:val="64"/>
  </w:num>
  <w:num w:numId="14" w16cid:durableId="194732028">
    <w:abstractNumId w:val="8"/>
  </w:num>
  <w:num w:numId="15" w16cid:durableId="1446539656">
    <w:abstractNumId w:val="7"/>
  </w:num>
  <w:num w:numId="16" w16cid:durableId="1168012140">
    <w:abstractNumId w:val="35"/>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573958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253081019">
    <w:abstractNumId w:val="19"/>
  </w:num>
  <w:num w:numId="19" w16cid:durableId="1468082832">
    <w:abstractNumId w:val="59"/>
  </w:num>
  <w:num w:numId="20" w16cid:durableId="219446280">
    <w:abstractNumId w:val="21"/>
  </w:num>
  <w:num w:numId="21" w16cid:durableId="550657190">
    <w:abstractNumId w:val="0"/>
  </w:num>
  <w:num w:numId="22" w16cid:durableId="1391728987">
    <w:abstractNumId w:val="51"/>
  </w:num>
  <w:num w:numId="23" w16cid:durableId="2109615863">
    <w:abstractNumId w:val="52"/>
  </w:num>
  <w:num w:numId="24" w16cid:durableId="1572891393">
    <w:abstractNumId w:val="56"/>
  </w:num>
  <w:num w:numId="25" w16cid:durableId="938216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55563">
    <w:abstractNumId w:val="18"/>
  </w:num>
  <w:num w:numId="27" w16cid:durableId="650522405">
    <w:abstractNumId w:val="73"/>
  </w:num>
  <w:num w:numId="28" w16cid:durableId="188489494">
    <w:abstractNumId w:val="65"/>
  </w:num>
  <w:num w:numId="29" w16cid:durableId="1428188383">
    <w:abstractNumId w:val="57"/>
  </w:num>
  <w:num w:numId="30" w16cid:durableId="2029215596">
    <w:abstractNumId w:val="60"/>
  </w:num>
  <w:num w:numId="31" w16cid:durableId="1056007206">
    <w:abstractNumId w:val="15"/>
  </w:num>
  <w:num w:numId="32" w16cid:durableId="2043941298">
    <w:abstractNumId w:val="9"/>
  </w:num>
  <w:num w:numId="33" w16cid:durableId="807088133">
    <w:abstractNumId w:val="26"/>
  </w:num>
  <w:num w:numId="34" w16cid:durableId="1382560482">
    <w:abstractNumId w:val="43"/>
  </w:num>
  <w:num w:numId="35" w16cid:durableId="336806983">
    <w:abstractNumId w:val="66"/>
  </w:num>
  <w:num w:numId="36" w16cid:durableId="1847984953">
    <w:abstractNumId w:val="67"/>
  </w:num>
  <w:num w:numId="37" w16cid:durableId="1793670883">
    <w:abstractNumId w:val="53"/>
  </w:num>
  <w:num w:numId="38" w16cid:durableId="949581085">
    <w:abstractNumId w:val="23"/>
  </w:num>
  <w:num w:numId="39" w16cid:durableId="1725789528">
    <w:abstractNumId w:val="4"/>
  </w:num>
  <w:num w:numId="40" w16cid:durableId="171993512">
    <w:abstractNumId w:val="4"/>
    <w:lvlOverride w:ilvl="0">
      <w:startOverride w:val="1"/>
      <w:lvl w:ilvl="0">
        <w:start w:val="1"/>
        <w:numFmt w:val="lowerLetter"/>
        <w:lvlText w:val="%1)"/>
        <w:lvlJc w:val="left"/>
        <w:pPr>
          <w:ind w:left="1097" w:hanging="360"/>
        </w:pPr>
        <w:rPr>
          <w:rFonts w:hint="default"/>
          <w:sz w:val="22"/>
          <w:szCs w:val="22"/>
        </w:rPr>
      </w:lvl>
    </w:lvlOverride>
    <w:lvlOverride w:ilvl="1">
      <w:startOverride w:val="1"/>
      <w:lvl w:ilvl="1">
        <w:start w:val="1"/>
        <w:numFmt w:val="lowerRoman"/>
        <w:lvlText w:val="%2."/>
        <w:lvlJc w:val="left"/>
        <w:pPr>
          <w:ind w:left="1134" w:hanging="283"/>
        </w:pPr>
        <w:rPr>
          <w:rFonts w:hint="default"/>
        </w:rPr>
      </w:lvl>
    </w:lvlOverride>
    <w:lvlOverride w:ilvl="2">
      <w:startOverride w:val="1"/>
      <w:lvl w:ilvl="2">
        <w:start w:val="1"/>
        <w:numFmt w:val="none"/>
        <w:lvlText w:val=""/>
        <w:lvlJc w:val="left"/>
        <w:pPr>
          <w:ind w:left="1758" w:hanging="397"/>
        </w:pPr>
        <w:rPr>
          <w:rFonts w:hint="default"/>
        </w:rPr>
      </w:lvl>
    </w:lvlOverride>
    <w:lvlOverride w:ilvl="3">
      <w:startOverride w:val="1"/>
      <w:lvl w:ilvl="3">
        <w:start w:val="1"/>
        <w:numFmt w:val="none"/>
        <w:lvlText w:val=""/>
        <w:lvlJc w:val="left"/>
        <w:pPr>
          <w:ind w:left="2155" w:hanging="397"/>
        </w:pPr>
        <w:rPr>
          <w:rFonts w:hint="default"/>
        </w:rPr>
      </w:lvl>
    </w:lvlOverride>
    <w:lvlOverride w:ilvl="4">
      <w:startOverride w:val="1"/>
      <w:lvl w:ilvl="4">
        <w:start w:val="1"/>
        <w:numFmt w:val="none"/>
        <w:lvlText w:val=""/>
        <w:lvlJc w:val="left"/>
        <w:pPr>
          <w:ind w:left="2552" w:hanging="397"/>
        </w:pPr>
        <w:rPr>
          <w:rFonts w:hint="default"/>
        </w:rPr>
      </w:lvl>
    </w:lvlOverride>
    <w:lvlOverride w:ilvl="5">
      <w:startOverride w:val="1"/>
      <w:lvl w:ilvl="5">
        <w:start w:val="1"/>
        <w:numFmt w:val="none"/>
        <w:lvlText w:val=""/>
        <w:lvlJc w:val="left"/>
        <w:pPr>
          <w:ind w:left="2949" w:hanging="397"/>
        </w:pPr>
        <w:rPr>
          <w:rFonts w:hint="default"/>
        </w:rPr>
      </w:lvl>
    </w:lvlOverride>
    <w:lvlOverride w:ilvl="6">
      <w:startOverride w:val="1"/>
      <w:lvl w:ilvl="6">
        <w:start w:val="1"/>
        <w:numFmt w:val="none"/>
        <w:lvlText w:val=""/>
        <w:lvlJc w:val="left"/>
        <w:pPr>
          <w:ind w:left="3346" w:hanging="397"/>
        </w:pPr>
        <w:rPr>
          <w:rFonts w:hint="default"/>
        </w:rPr>
      </w:lvl>
    </w:lvlOverride>
    <w:lvlOverride w:ilvl="7">
      <w:startOverride w:val="1"/>
      <w:lvl w:ilvl="7">
        <w:start w:val="1"/>
        <w:numFmt w:val="none"/>
        <w:lvlText w:val=""/>
        <w:lvlJc w:val="left"/>
        <w:pPr>
          <w:ind w:left="3743" w:hanging="397"/>
        </w:pPr>
        <w:rPr>
          <w:rFonts w:hint="default"/>
        </w:rPr>
      </w:lvl>
    </w:lvlOverride>
    <w:lvlOverride w:ilvl="8">
      <w:startOverride w:val="1"/>
      <w:lvl w:ilvl="8">
        <w:start w:val="1"/>
        <w:numFmt w:val="none"/>
        <w:lvlText w:val=""/>
        <w:lvlJc w:val="left"/>
        <w:pPr>
          <w:ind w:left="4140" w:hanging="397"/>
        </w:pPr>
        <w:rPr>
          <w:rFonts w:hint="default"/>
        </w:rPr>
      </w:lvl>
    </w:lvlOverride>
  </w:num>
  <w:num w:numId="41" w16cid:durableId="973369133">
    <w:abstractNumId w:val="4"/>
    <w:lvlOverride w:ilvl="0">
      <w:startOverride w:val="1"/>
      <w:lvl w:ilvl="0">
        <w:start w:val="1"/>
        <w:numFmt w:val="lowerLetter"/>
        <w:lvlText w:val="%1)"/>
        <w:lvlJc w:val="left"/>
        <w:pPr>
          <w:ind w:left="1097" w:hanging="360"/>
        </w:pPr>
        <w:rPr>
          <w:rFonts w:hint="default"/>
          <w:sz w:val="22"/>
          <w:szCs w:val="22"/>
        </w:rPr>
      </w:lvl>
    </w:lvlOverride>
    <w:lvlOverride w:ilvl="1">
      <w:startOverride w:val="1"/>
      <w:lvl w:ilvl="1">
        <w:start w:val="1"/>
        <w:numFmt w:val="lowerRoman"/>
        <w:lvlText w:val="%2."/>
        <w:lvlJc w:val="left"/>
        <w:pPr>
          <w:ind w:left="1134" w:hanging="283"/>
        </w:pPr>
        <w:rPr>
          <w:rFonts w:hint="default"/>
        </w:rPr>
      </w:lvl>
    </w:lvlOverride>
    <w:lvlOverride w:ilvl="2">
      <w:startOverride w:val="1"/>
      <w:lvl w:ilvl="2">
        <w:start w:val="1"/>
        <w:numFmt w:val="none"/>
        <w:lvlText w:val=""/>
        <w:lvlJc w:val="left"/>
        <w:pPr>
          <w:ind w:left="1758" w:hanging="397"/>
        </w:pPr>
        <w:rPr>
          <w:rFonts w:hint="default"/>
        </w:rPr>
      </w:lvl>
    </w:lvlOverride>
    <w:lvlOverride w:ilvl="3">
      <w:startOverride w:val="1"/>
      <w:lvl w:ilvl="3">
        <w:start w:val="1"/>
        <w:numFmt w:val="none"/>
        <w:lvlText w:val=""/>
        <w:lvlJc w:val="left"/>
        <w:pPr>
          <w:ind w:left="2155" w:hanging="397"/>
        </w:pPr>
        <w:rPr>
          <w:rFonts w:hint="default"/>
        </w:rPr>
      </w:lvl>
    </w:lvlOverride>
    <w:lvlOverride w:ilvl="4">
      <w:startOverride w:val="1"/>
      <w:lvl w:ilvl="4">
        <w:start w:val="1"/>
        <w:numFmt w:val="none"/>
        <w:lvlText w:val=""/>
        <w:lvlJc w:val="left"/>
        <w:pPr>
          <w:ind w:left="2552" w:hanging="397"/>
        </w:pPr>
        <w:rPr>
          <w:rFonts w:hint="default"/>
        </w:rPr>
      </w:lvl>
    </w:lvlOverride>
    <w:lvlOverride w:ilvl="5">
      <w:startOverride w:val="1"/>
      <w:lvl w:ilvl="5">
        <w:start w:val="1"/>
        <w:numFmt w:val="none"/>
        <w:lvlText w:val=""/>
        <w:lvlJc w:val="left"/>
        <w:pPr>
          <w:ind w:left="2949" w:hanging="397"/>
        </w:pPr>
        <w:rPr>
          <w:rFonts w:hint="default"/>
        </w:rPr>
      </w:lvl>
    </w:lvlOverride>
    <w:lvlOverride w:ilvl="6">
      <w:startOverride w:val="1"/>
      <w:lvl w:ilvl="6">
        <w:start w:val="1"/>
        <w:numFmt w:val="none"/>
        <w:lvlText w:val=""/>
        <w:lvlJc w:val="left"/>
        <w:pPr>
          <w:ind w:left="3346" w:hanging="397"/>
        </w:pPr>
        <w:rPr>
          <w:rFonts w:hint="default"/>
        </w:rPr>
      </w:lvl>
    </w:lvlOverride>
    <w:lvlOverride w:ilvl="7">
      <w:startOverride w:val="1"/>
      <w:lvl w:ilvl="7">
        <w:start w:val="1"/>
        <w:numFmt w:val="none"/>
        <w:lvlText w:val=""/>
        <w:lvlJc w:val="left"/>
        <w:pPr>
          <w:ind w:left="3743" w:hanging="397"/>
        </w:pPr>
        <w:rPr>
          <w:rFonts w:hint="default"/>
        </w:rPr>
      </w:lvl>
    </w:lvlOverride>
    <w:lvlOverride w:ilvl="8">
      <w:startOverride w:val="1"/>
      <w:lvl w:ilvl="8">
        <w:start w:val="1"/>
        <w:numFmt w:val="none"/>
        <w:lvlText w:val=""/>
        <w:lvlJc w:val="left"/>
        <w:pPr>
          <w:ind w:left="4140" w:hanging="397"/>
        </w:pPr>
        <w:rPr>
          <w:rFonts w:hint="default"/>
        </w:rPr>
      </w:lvl>
    </w:lvlOverride>
  </w:num>
  <w:num w:numId="42" w16cid:durableId="1725370785">
    <w:abstractNumId w:val="4"/>
    <w:lvlOverride w:ilvl="0">
      <w:startOverride w:val="1"/>
      <w:lvl w:ilvl="0">
        <w:start w:val="1"/>
        <w:numFmt w:val="lowerLetter"/>
        <w:lvlText w:val="%1)"/>
        <w:lvlJc w:val="left"/>
        <w:pPr>
          <w:ind w:left="1097" w:hanging="360"/>
        </w:pPr>
        <w:rPr>
          <w:rFonts w:hint="default"/>
          <w:sz w:val="22"/>
          <w:szCs w:val="22"/>
        </w:rPr>
      </w:lvl>
    </w:lvlOverride>
    <w:lvlOverride w:ilvl="1">
      <w:startOverride w:val="1"/>
      <w:lvl w:ilvl="1">
        <w:start w:val="1"/>
        <w:numFmt w:val="lowerRoman"/>
        <w:lvlText w:val="%2."/>
        <w:lvlJc w:val="left"/>
        <w:pPr>
          <w:ind w:left="1134" w:hanging="283"/>
        </w:pPr>
        <w:rPr>
          <w:rFonts w:hint="default"/>
        </w:rPr>
      </w:lvl>
    </w:lvlOverride>
    <w:lvlOverride w:ilvl="2">
      <w:startOverride w:val="1"/>
      <w:lvl w:ilvl="2">
        <w:start w:val="1"/>
        <w:numFmt w:val="none"/>
        <w:lvlText w:val=""/>
        <w:lvlJc w:val="left"/>
        <w:pPr>
          <w:ind w:left="1758" w:hanging="397"/>
        </w:pPr>
        <w:rPr>
          <w:rFonts w:hint="default"/>
        </w:rPr>
      </w:lvl>
    </w:lvlOverride>
    <w:lvlOverride w:ilvl="3">
      <w:startOverride w:val="1"/>
      <w:lvl w:ilvl="3">
        <w:start w:val="1"/>
        <w:numFmt w:val="none"/>
        <w:lvlText w:val=""/>
        <w:lvlJc w:val="left"/>
        <w:pPr>
          <w:ind w:left="2155" w:hanging="397"/>
        </w:pPr>
        <w:rPr>
          <w:rFonts w:hint="default"/>
        </w:rPr>
      </w:lvl>
    </w:lvlOverride>
    <w:lvlOverride w:ilvl="4">
      <w:startOverride w:val="1"/>
      <w:lvl w:ilvl="4">
        <w:start w:val="1"/>
        <w:numFmt w:val="none"/>
        <w:lvlText w:val=""/>
        <w:lvlJc w:val="left"/>
        <w:pPr>
          <w:ind w:left="2552" w:hanging="397"/>
        </w:pPr>
        <w:rPr>
          <w:rFonts w:hint="default"/>
        </w:rPr>
      </w:lvl>
    </w:lvlOverride>
    <w:lvlOverride w:ilvl="5">
      <w:startOverride w:val="1"/>
      <w:lvl w:ilvl="5">
        <w:start w:val="1"/>
        <w:numFmt w:val="none"/>
        <w:lvlText w:val=""/>
        <w:lvlJc w:val="left"/>
        <w:pPr>
          <w:ind w:left="2949" w:hanging="397"/>
        </w:pPr>
        <w:rPr>
          <w:rFonts w:hint="default"/>
        </w:rPr>
      </w:lvl>
    </w:lvlOverride>
    <w:lvlOverride w:ilvl="6">
      <w:startOverride w:val="1"/>
      <w:lvl w:ilvl="6">
        <w:start w:val="1"/>
        <w:numFmt w:val="none"/>
        <w:lvlText w:val=""/>
        <w:lvlJc w:val="left"/>
        <w:pPr>
          <w:ind w:left="3346" w:hanging="397"/>
        </w:pPr>
        <w:rPr>
          <w:rFonts w:hint="default"/>
        </w:rPr>
      </w:lvl>
    </w:lvlOverride>
    <w:lvlOverride w:ilvl="7">
      <w:startOverride w:val="1"/>
      <w:lvl w:ilvl="7">
        <w:start w:val="1"/>
        <w:numFmt w:val="none"/>
        <w:lvlText w:val=""/>
        <w:lvlJc w:val="left"/>
        <w:pPr>
          <w:ind w:left="3743" w:hanging="397"/>
        </w:pPr>
        <w:rPr>
          <w:rFonts w:hint="default"/>
        </w:rPr>
      </w:lvl>
    </w:lvlOverride>
    <w:lvlOverride w:ilvl="8">
      <w:startOverride w:val="1"/>
      <w:lvl w:ilvl="8">
        <w:start w:val="1"/>
        <w:numFmt w:val="none"/>
        <w:lvlText w:val=""/>
        <w:lvlJc w:val="left"/>
        <w:pPr>
          <w:ind w:left="4140" w:hanging="397"/>
        </w:pPr>
        <w:rPr>
          <w:rFonts w:hint="default"/>
        </w:rPr>
      </w:lvl>
    </w:lvlOverride>
  </w:num>
  <w:num w:numId="43" w16cid:durableId="1806510236">
    <w:abstractNumId w:val="4"/>
    <w:lvlOverride w:ilvl="0">
      <w:startOverride w:val="1"/>
      <w:lvl w:ilvl="0">
        <w:start w:val="1"/>
        <w:numFmt w:val="lowerLetter"/>
        <w:lvlText w:val="%1)"/>
        <w:lvlJc w:val="left"/>
        <w:pPr>
          <w:ind w:left="1097" w:hanging="360"/>
        </w:pPr>
        <w:rPr>
          <w:rFonts w:hint="default"/>
          <w:sz w:val="22"/>
          <w:szCs w:val="22"/>
        </w:rPr>
      </w:lvl>
    </w:lvlOverride>
    <w:lvlOverride w:ilvl="1">
      <w:startOverride w:val="1"/>
      <w:lvl w:ilvl="1">
        <w:start w:val="1"/>
        <w:numFmt w:val="lowerRoman"/>
        <w:lvlText w:val="%2."/>
        <w:lvlJc w:val="left"/>
        <w:pPr>
          <w:ind w:left="1134" w:hanging="283"/>
        </w:pPr>
        <w:rPr>
          <w:rFonts w:hint="default"/>
        </w:rPr>
      </w:lvl>
    </w:lvlOverride>
    <w:lvlOverride w:ilvl="2">
      <w:startOverride w:val="1"/>
      <w:lvl w:ilvl="2">
        <w:start w:val="1"/>
        <w:numFmt w:val="none"/>
        <w:lvlText w:val=""/>
        <w:lvlJc w:val="left"/>
        <w:pPr>
          <w:ind w:left="1758" w:hanging="397"/>
        </w:pPr>
        <w:rPr>
          <w:rFonts w:hint="default"/>
        </w:rPr>
      </w:lvl>
    </w:lvlOverride>
    <w:lvlOverride w:ilvl="3">
      <w:startOverride w:val="1"/>
      <w:lvl w:ilvl="3">
        <w:start w:val="1"/>
        <w:numFmt w:val="none"/>
        <w:lvlText w:val=""/>
        <w:lvlJc w:val="left"/>
        <w:pPr>
          <w:ind w:left="2155" w:hanging="397"/>
        </w:pPr>
        <w:rPr>
          <w:rFonts w:hint="default"/>
        </w:rPr>
      </w:lvl>
    </w:lvlOverride>
    <w:lvlOverride w:ilvl="4">
      <w:startOverride w:val="1"/>
      <w:lvl w:ilvl="4">
        <w:start w:val="1"/>
        <w:numFmt w:val="none"/>
        <w:lvlText w:val=""/>
        <w:lvlJc w:val="left"/>
        <w:pPr>
          <w:ind w:left="2552" w:hanging="397"/>
        </w:pPr>
        <w:rPr>
          <w:rFonts w:hint="default"/>
        </w:rPr>
      </w:lvl>
    </w:lvlOverride>
    <w:lvlOverride w:ilvl="5">
      <w:startOverride w:val="1"/>
      <w:lvl w:ilvl="5">
        <w:start w:val="1"/>
        <w:numFmt w:val="none"/>
        <w:lvlText w:val=""/>
        <w:lvlJc w:val="left"/>
        <w:pPr>
          <w:ind w:left="2949" w:hanging="397"/>
        </w:pPr>
        <w:rPr>
          <w:rFonts w:hint="default"/>
        </w:rPr>
      </w:lvl>
    </w:lvlOverride>
    <w:lvlOverride w:ilvl="6">
      <w:startOverride w:val="1"/>
      <w:lvl w:ilvl="6">
        <w:start w:val="1"/>
        <w:numFmt w:val="none"/>
        <w:lvlText w:val=""/>
        <w:lvlJc w:val="left"/>
        <w:pPr>
          <w:ind w:left="3346" w:hanging="397"/>
        </w:pPr>
        <w:rPr>
          <w:rFonts w:hint="default"/>
        </w:rPr>
      </w:lvl>
    </w:lvlOverride>
    <w:lvlOverride w:ilvl="7">
      <w:startOverride w:val="1"/>
      <w:lvl w:ilvl="7">
        <w:start w:val="1"/>
        <w:numFmt w:val="none"/>
        <w:lvlText w:val=""/>
        <w:lvlJc w:val="left"/>
        <w:pPr>
          <w:ind w:left="3743" w:hanging="397"/>
        </w:pPr>
        <w:rPr>
          <w:rFonts w:hint="default"/>
        </w:rPr>
      </w:lvl>
    </w:lvlOverride>
    <w:lvlOverride w:ilvl="8">
      <w:startOverride w:val="1"/>
      <w:lvl w:ilvl="8">
        <w:start w:val="1"/>
        <w:numFmt w:val="none"/>
        <w:lvlText w:val=""/>
        <w:lvlJc w:val="left"/>
        <w:pPr>
          <w:ind w:left="4140" w:hanging="397"/>
        </w:pPr>
        <w:rPr>
          <w:rFonts w:hint="default"/>
        </w:rPr>
      </w:lvl>
    </w:lvlOverride>
  </w:num>
  <w:num w:numId="44" w16cid:durableId="1275937">
    <w:abstractNumId w:val="4"/>
    <w:lvlOverride w:ilvl="0">
      <w:startOverride w:val="1"/>
      <w:lvl w:ilvl="0">
        <w:start w:val="1"/>
        <w:numFmt w:val="lowerLetter"/>
        <w:lvlText w:val="%1)"/>
        <w:lvlJc w:val="left"/>
        <w:pPr>
          <w:ind w:left="1097" w:hanging="360"/>
        </w:pPr>
        <w:rPr>
          <w:rFonts w:hint="default"/>
          <w:sz w:val="22"/>
          <w:szCs w:val="22"/>
        </w:rPr>
      </w:lvl>
    </w:lvlOverride>
    <w:lvlOverride w:ilvl="1">
      <w:startOverride w:val="1"/>
      <w:lvl w:ilvl="1">
        <w:start w:val="1"/>
        <w:numFmt w:val="lowerRoman"/>
        <w:lvlText w:val="%2."/>
        <w:lvlJc w:val="left"/>
        <w:pPr>
          <w:ind w:left="1134" w:hanging="283"/>
        </w:pPr>
        <w:rPr>
          <w:rFonts w:hint="default"/>
        </w:rPr>
      </w:lvl>
    </w:lvlOverride>
    <w:lvlOverride w:ilvl="2">
      <w:startOverride w:val="1"/>
      <w:lvl w:ilvl="2">
        <w:start w:val="1"/>
        <w:numFmt w:val="none"/>
        <w:lvlText w:val=""/>
        <w:lvlJc w:val="left"/>
        <w:pPr>
          <w:ind w:left="1758" w:hanging="397"/>
        </w:pPr>
        <w:rPr>
          <w:rFonts w:hint="default"/>
        </w:rPr>
      </w:lvl>
    </w:lvlOverride>
    <w:lvlOverride w:ilvl="3">
      <w:startOverride w:val="1"/>
      <w:lvl w:ilvl="3">
        <w:start w:val="1"/>
        <w:numFmt w:val="none"/>
        <w:lvlText w:val=""/>
        <w:lvlJc w:val="left"/>
        <w:pPr>
          <w:ind w:left="2155" w:hanging="397"/>
        </w:pPr>
        <w:rPr>
          <w:rFonts w:hint="default"/>
        </w:rPr>
      </w:lvl>
    </w:lvlOverride>
    <w:lvlOverride w:ilvl="4">
      <w:startOverride w:val="1"/>
      <w:lvl w:ilvl="4">
        <w:start w:val="1"/>
        <w:numFmt w:val="none"/>
        <w:lvlText w:val=""/>
        <w:lvlJc w:val="left"/>
        <w:pPr>
          <w:ind w:left="2552" w:hanging="397"/>
        </w:pPr>
        <w:rPr>
          <w:rFonts w:hint="default"/>
        </w:rPr>
      </w:lvl>
    </w:lvlOverride>
    <w:lvlOverride w:ilvl="5">
      <w:startOverride w:val="1"/>
      <w:lvl w:ilvl="5">
        <w:start w:val="1"/>
        <w:numFmt w:val="none"/>
        <w:lvlText w:val=""/>
        <w:lvlJc w:val="left"/>
        <w:pPr>
          <w:ind w:left="2949" w:hanging="397"/>
        </w:pPr>
        <w:rPr>
          <w:rFonts w:hint="default"/>
        </w:rPr>
      </w:lvl>
    </w:lvlOverride>
    <w:lvlOverride w:ilvl="6">
      <w:startOverride w:val="1"/>
      <w:lvl w:ilvl="6">
        <w:start w:val="1"/>
        <w:numFmt w:val="none"/>
        <w:lvlText w:val=""/>
        <w:lvlJc w:val="left"/>
        <w:pPr>
          <w:ind w:left="3346" w:hanging="397"/>
        </w:pPr>
        <w:rPr>
          <w:rFonts w:hint="default"/>
        </w:rPr>
      </w:lvl>
    </w:lvlOverride>
    <w:lvlOverride w:ilvl="7">
      <w:startOverride w:val="1"/>
      <w:lvl w:ilvl="7">
        <w:start w:val="1"/>
        <w:numFmt w:val="none"/>
        <w:lvlText w:val=""/>
        <w:lvlJc w:val="left"/>
        <w:pPr>
          <w:ind w:left="3743" w:hanging="397"/>
        </w:pPr>
        <w:rPr>
          <w:rFonts w:hint="default"/>
        </w:rPr>
      </w:lvl>
    </w:lvlOverride>
    <w:lvlOverride w:ilvl="8">
      <w:startOverride w:val="1"/>
      <w:lvl w:ilvl="8">
        <w:start w:val="1"/>
        <w:numFmt w:val="none"/>
        <w:lvlText w:val=""/>
        <w:lvlJc w:val="left"/>
        <w:pPr>
          <w:ind w:left="4140" w:hanging="397"/>
        </w:pPr>
        <w:rPr>
          <w:rFonts w:hint="default"/>
        </w:rPr>
      </w:lvl>
    </w:lvlOverride>
  </w:num>
  <w:num w:numId="45" w16cid:durableId="2047368743">
    <w:abstractNumId w:val="46"/>
  </w:num>
  <w:num w:numId="46" w16cid:durableId="1410811249">
    <w:abstractNumId w:val="32"/>
  </w:num>
  <w:num w:numId="47" w16cid:durableId="161286480">
    <w:abstractNumId w:val="20"/>
  </w:num>
  <w:num w:numId="48" w16cid:durableId="1767187240">
    <w:abstractNumId w:val="4"/>
    <w:lvlOverride w:ilvl="0">
      <w:startOverride w:val="1"/>
      <w:lvl w:ilvl="0">
        <w:start w:val="1"/>
        <w:numFmt w:val="lowerLetter"/>
        <w:lvlText w:val="%1)"/>
        <w:lvlJc w:val="left"/>
        <w:pPr>
          <w:ind w:left="1097" w:hanging="360"/>
        </w:pPr>
        <w:rPr>
          <w:rFonts w:hint="default"/>
        </w:rPr>
      </w:lvl>
    </w:lvlOverride>
    <w:lvlOverride w:ilvl="1">
      <w:startOverride w:val="1"/>
      <w:lvl w:ilvl="1">
        <w:start w:val="1"/>
        <w:numFmt w:val="lowerRoman"/>
        <w:lvlText w:val="%2."/>
        <w:lvlJc w:val="left"/>
        <w:pPr>
          <w:ind w:left="1134" w:hanging="283"/>
        </w:pPr>
        <w:rPr>
          <w:rFonts w:hint="default"/>
        </w:rPr>
      </w:lvl>
    </w:lvlOverride>
    <w:lvlOverride w:ilvl="2">
      <w:startOverride w:val="1"/>
      <w:lvl w:ilvl="2">
        <w:start w:val="1"/>
        <w:numFmt w:val="none"/>
        <w:lvlText w:val=""/>
        <w:lvlJc w:val="left"/>
        <w:pPr>
          <w:ind w:left="1758" w:hanging="397"/>
        </w:pPr>
        <w:rPr>
          <w:rFonts w:hint="default"/>
        </w:rPr>
      </w:lvl>
    </w:lvlOverride>
    <w:lvlOverride w:ilvl="3">
      <w:startOverride w:val="1"/>
      <w:lvl w:ilvl="3">
        <w:start w:val="1"/>
        <w:numFmt w:val="none"/>
        <w:lvlText w:val=""/>
        <w:lvlJc w:val="left"/>
        <w:pPr>
          <w:ind w:left="2155" w:hanging="397"/>
        </w:pPr>
        <w:rPr>
          <w:rFonts w:hint="default"/>
        </w:rPr>
      </w:lvl>
    </w:lvlOverride>
    <w:lvlOverride w:ilvl="4">
      <w:startOverride w:val="1"/>
      <w:lvl w:ilvl="4">
        <w:start w:val="1"/>
        <w:numFmt w:val="none"/>
        <w:lvlText w:val=""/>
        <w:lvlJc w:val="left"/>
        <w:pPr>
          <w:ind w:left="2552" w:hanging="397"/>
        </w:pPr>
        <w:rPr>
          <w:rFonts w:hint="default"/>
        </w:rPr>
      </w:lvl>
    </w:lvlOverride>
    <w:lvlOverride w:ilvl="5">
      <w:startOverride w:val="1"/>
      <w:lvl w:ilvl="5">
        <w:start w:val="1"/>
        <w:numFmt w:val="none"/>
        <w:lvlText w:val=""/>
        <w:lvlJc w:val="left"/>
        <w:pPr>
          <w:ind w:left="2949" w:hanging="397"/>
        </w:pPr>
        <w:rPr>
          <w:rFonts w:hint="default"/>
        </w:rPr>
      </w:lvl>
    </w:lvlOverride>
    <w:lvlOverride w:ilvl="6">
      <w:startOverride w:val="1"/>
      <w:lvl w:ilvl="6">
        <w:start w:val="1"/>
        <w:numFmt w:val="none"/>
        <w:lvlText w:val=""/>
        <w:lvlJc w:val="left"/>
        <w:pPr>
          <w:ind w:left="3346" w:hanging="397"/>
        </w:pPr>
        <w:rPr>
          <w:rFonts w:hint="default"/>
        </w:rPr>
      </w:lvl>
    </w:lvlOverride>
    <w:lvlOverride w:ilvl="7">
      <w:startOverride w:val="1"/>
      <w:lvl w:ilvl="7">
        <w:start w:val="1"/>
        <w:numFmt w:val="none"/>
        <w:lvlText w:val=""/>
        <w:lvlJc w:val="left"/>
        <w:pPr>
          <w:ind w:left="3743" w:hanging="397"/>
        </w:pPr>
        <w:rPr>
          <w:rFonts w:hint="default"/>
        </w:rPr>
      </w:lvl>
    </w:lvlOverride>
    <w:lvlOverride w:ilvl="8">
      <w:startOverride w:val="1"/>
      <w:lvl w:ilvl="8">
        <w:start w:val="1"/>
        <w:numFmt w:val="none"/>
        <w:lvlText w:val=""/>
        <w:lvlJc w:val="left"/>
        <w:pPr>
          <w:ind w:left="4140" w:hanging="397"/>
        </w:pPr>
        <w:rPr>
          <w:rFonts w:hint="default"/>
        </w:rPr>
      </w:lvl>
    </w:lvlOverride>
  </w:num>
  <w:num w:numId="49" w16cid:durableId="526017787">
    <w:abstractNumId w:val="23"/>
    <w:lvlOverride w:ilvl="0">
      <w:startOverride w:val="1"/>
    </w:lvlOverride>
  </w:num>
  <w:num w:numId="50" w16cid:durableId="119687214">
    <w:abstractNumId w:val="30"/>
  </w:num>
  <w:num w:numId="51" w16cid:durableId="621155509">
    <w:abstractNumId w:val="41"/>
  </w:num>
  <w:num w:numId="52" w16cid:durableId="1920866768">
    <w:abstractNumId w:val="23"/>
    <w:lvlOverride w:ilvl="0">
      <w:startOverride w:val="1"/>
    </w:lvlOverride>
  </w:num>
  <w:num w:numId="53" w16cid:durableId="858742127">
    <w:abstractNumId w:val="39"/>
  </w:num>
  <w:num w:numId="54" w16cid:durableId="1198010771">
    <w:abstractNumId w:val="68"/>
  </w:num>
  <w:num w:numId="55" w16cid:durableId="287470903">
    <w:abstractNumId w:val="33"/>
  </w:num>
  <w:num w:numId="56" w16cid:durableId="585576032">
    <w:abstractNumId w:val="25"/>
  </w:num>
  <w:num w:numId="57" w16cid:durableId="1642030706">
    <w:abstractNumId w:val="54"/>
  </w:num>
  <w:num w:numId="58" w16cid:durableId="705518887">
    <w:abstractNumId w:val="58"/>
  </w:num>
  <w:num w:numId="59" w16cid:durableId="1624337998">
    <w:abstractNumId w:val="22"/>
  </w:num>
  <w:num w:numId="60" w16cid:durableId="471142014">
    <w:abstractNumId w:val="1"/>
  </w:num>
  <w:num w:numId="61" w16cid:durableId="1918978214">
    <w:abstractNumId w:val="55"/>
  </w:num>
  <w:num w:numId="62" w16cid:durableId="1659922179">
    <w:abstractNumId w:val="34"/>
  </w:num>
  <w:num w:numId="63" w16cid:durableId="12538849">
    <w:abstractNumId w:val="27"/>
  </w:num>
  <w:num w:numId="64" w16cid:durableId="1933586010">
    <w:abstractNumId w:val="40"/>
  </w:num>
  <w:num w:numId="65" w16cid:durableId="772750035">
    <w:abstractNumId w:val="29"/>
  </w:num>
  <w:num w:numId="66" w16cid:durableId="379210533">
    <w:abstractNumId w:val="11"/>
  </w:num>
  <w:num w:numId="67" w16cid:durableId="1664776817">
    <w:abstractNumId w:val="36"/>
  </w:num>
  <w:num w:numId="68" w16cid:durableId="1033534633">
    <w:abstractNumId w:val="45"/>
  </w:num>
  <w:num w:numId="69" w16cid:durableId="713307563">
    <w:abstractNumId w:val="10"/>
  </w:num>
  <w:num w:numId="70" w16cid:durableId="267659893">
    <w:abstractNumId w:val="12"/>
  </w:num>
  <w:num w:numId="71" w16cid:durableId="194468169">
    <w:abstractNumId w:val="44"/>
  </w:num>
  <w:num w:numId="72" w16cid:durableId="1156147450">
    <w:abstractNumId w:val="2"/>
  </w:num>
  <w:num w:numId="73" w16cid:durableId="1870220295">
    <w:abstractNumId w:val="44"/>
  </w:num>
  <w:num w:numId="74" w16cid:durableId="1075975928">
    <w:abstractNumId w:val="44"/>
  </w:num>
  <w:num w:numId="75" w16cid:durableId="781920794">
    <w:abstractNumId w:val="44"/>
  </w:num>
  <w:num w:numId="76" w16cid:durableId="99617144">
    <w:abstractNumId w:val="44"/>
  </w:num>
  <w:num w:numId="77" w16cid:durableId="1314214489">
    <w:abstractNumId w:val="44"/>
  </w:num>
  <w:num w:numId="78" w16cid:durableId="1130249410">
    <w:abstractNumId w:val="44"/>
  </w:num>
  <w:num w:numId="79" w16cid:durableId="83116935">
    <w:abstractNumId w:val="44"/>
  </w:num>
  <w:num w:numId="80" w16cid:durableId="4551439">
    <w:abstractNumId w:val="44"/>
  </w:num>
  <w:num w:numId="81" w16cid:durableId="1920021494">
    <w:abstractNumId w:val="44"/>
  </w:num>
  <w:num w:numId="82" w16cid:durableId="2121143304">
    <w:abstractNumId w:val="44"/>
  </w:num>
  <w:num w:numId="83" w16cid:durableId="28529122">
    <w:abstractNumId w:val="44"/>
  </w:num>
  <w:num w:numId="84" w16cid:durableId="1579286945">
    <w:abstractNumId w:val="44"/>
  </w:num>
  <w:num w:numId="85" w16cid:durableId="1852330287">
    <w:abstractNumId w:val="44"/>
  </w:num>
  <w:num w:numId="86" w16cid:durableId="839000927">
    <w:abstractNumId w:val="44"/>
  </w:num>
  <w:num w:numId="87" w16cid:durableId="1741322730">
    <w:abstractNumId w:val="44"/>
  </w:num>
  <w:num w:numId="88" w16cid:durableId="72439362">
    <w:abstractNumId w:val="44"/>
  </w:num>
  <w:num w:numId="89" w16cid:durableId="2040928147">
    <w:abstractNumId w:val="44"/>
  </w:num>
  <w:num w:numId="90" w16cid:durableId="1873762785">
    <w:abstractNumId w:val="44"/>
  </w:num>
  <w:num w:numId="91" w16cid:durableId="243414250">
    <w:abstractNumId w:val="44"/>
  </w:num>
  <w:num w:numId="92" w16cid:durableId="501824186">
    <w:abstractNumId w:val="44"/>
  </w:num>
  <w:num w:numId="93" w16cid:durableId="2080396048">
    <w:abstractNumId w:val="44"/>
  </w:num>
  <w:num w:numId="94" w16cid:durableId="1569918629">
    <w:abstractNumId w:val="44"/>
  </w:num>
  <w:num w:numId="95" w16cid:durableId="646276774">
    <w:abstractNumId w:val="44"/>
  </w:num>
  <w:num w:numId="96" w16cid:durableId="1166480257">
    <w:abstractNumId w:val="44"/>
  </w:num>
  <w:num w:numId="97" w16cid:durableId="1536195407">
    <w:abstractNumId w:val="44"/>
  </w:num>
  <w:num w:numId="98" w16cid:durableId="1215392127">
    <w:abstractNumId w:val="44"/>
  </w:num>
  <w:num w:numId="99" w16cid:durableId="1152216701">
    <w:abstractNumId w:val="44"/>
  </w:num>
  <w:num w:numId="100" w16cid:durableId="1489709465">
    <w:abstractNumId w:val="44"/>
  </w:num>
  <w:num w:numId="101" w16cid:durableId="462775789">
    <w:abstractNumId w:val="44"/>
  </w:num>
  <w:num w:numId="102" w16cid:durableId="1830974593">
    <w:abstractNumId w:val="44"/>
  </w:num>
  <w:num w:numId="103" w16cid:durableId="1216962919">
    <w:abstractNumId w:val="44"/>
  </w:num>
  <w:num w:numId="104" w16cid:durableId="1230193319">
    <w:abstractNumId w:val="44"/>
  </w:num>
  <w:num w:numId="105" w16cid:durableId="1968512088">
    <w:abstractNumId w:val="44"/>
  </w:num>
  <w:num w:numId="106" w16cid:durableId="1153524211">
    <w:abstractNumId w:val="44"/>
  </w:num>
  <w:num w:numId="107" w16cid:durableId="1239051495">
    <w:abstractNumId w:val="44"/>
  </w:num>
  <w:num w:numId="108" w16cid:durableId="746655155">
    <w:abstractNumId w:val="44"/>
  </w:num>
  <w:num w:numId="109" w16cid:durableId="300160626">
    <w:abstractNumId w:val="44"/>
  </w:num>
  <w:num w:numId="110" w16cid:durableId="1960911098">
    <w:abstractNumId w:val="44"/>
  </w:num>
  <w:num w:numId="111" w16cid:durableId="291831951">
    <w:abstractNumId w:val="44"/>
  </w:num>
  <w:num w:numId="112" w16cid:durableId="1867936720">
    <w:abstractNumId w:val="44"/>
  </w:num>
  <w:num w:numId="113" w16cid:durableId="841119740">
    <w:abstractNumId w:val="44"/>
  </w:num>
  <w:num w:numId="114" w16cid:durableId="1208030127">
    <w:abstractNumId w:val="44"/>
  </w:num>
  <w:num w:numId="115" w16cid:durableId="414404842">
    <w:abstractNumId w:val="44"/>
  </w:num>
  <w:num w:numId="116" w16cid:durableId="447237373">
    <w:abstractNumId w:val="44"/>
  </w:num>
  <w:num w:numId="117" w16cid:durableId="2091582849">
    <w:abstractNumId w:val="44"/>
  </w:num>
  <w:num w:numId="118" w16cid:durableId="972634793">
    <w:abstractNumId w:val="44"/>
  </w:num>
  <w:num w:numId="119" w16cid:durableId="1396199839">
    <w:abstractNumId w:val="44"/>
  </w:num>
  <w:num w:numId="120" w16cid:durableId="430978063">
    <w:abstractNumId w:val="44"/>
  </w:num>
  <w:num w:numId="121" w16cid:durableId="740443889">
    <w:abstractNumId w:val="44"/>
  </w:num>
  <w:num w:numId="122" w16cid:durableId="678966209">
    <w:abstractNumId w:val="44"/>
  </w:num>
  <w:num w:numId="123" w16cid:durableId="177933370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4" w16cid:durableId="11595622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5" w16cid:durableId="52434620">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6" w16cid:durableId="135017776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7" w16cid:durableId="519776695">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8" w16cid:durableId="151318150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9" w16cid:durableId="206244063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0" w16cid:durableId="895311216">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1" w16cid:durableId="50752523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2" w16cid:durableId="68872676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3" w16cid:durableId="2083140207">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4" w16cid:durableId="99899587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5" w16cid:durableId="471220265">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6" w16cid:durableId="10223819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7" w16cid:durableId="182255887">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8" w16cid:durableId="84733015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9" w16cid:durableId="1158154946">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0" w16cid:durableId="1132089790">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1" w16cid:durableId="1743330724">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2" w16cid:durableId="807672266">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3" w16cid:durableId="66559139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4" w16cid:durableId="1808156602">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5" w16cid:durableId="321275007">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6" w16cid:durableId="563024366">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7" w16cid:durableId="612056665">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8" w16cid:durableId="1554073542">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9" w16cid:durableId="1465124152">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0" w16cid:durableId="182342374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1" w16cid:durableId="737093377">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2" w16cid:durableId="100004526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3" w16cid:durableId="2132094776">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4" w16cid:durableId="614561927">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5" w16cid:durableId="20259344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6" w16cid:durableId="147019986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7" w16cid:durableId="184065154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8" w16cid:durableId="498816880">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9" w16cid:durableId="60142485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0" w16cid:durableId="58789011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1" w16cid:durableId="93239730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2" w16cid:durableId="161004847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3" w16cid:durableId="828446154">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4" w16cid:durableId="1970356104">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5" w16cid:durableId="602998314">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6" w16cid:durableId="58013629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7" w16cid:durableId="178769627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8" w16cid:durableId="130928914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9" w16cid:durableId="28593612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0" w16cid:durableId="2117208024">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1" w16cid:durableId="35365554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2" w16cid:durableId="646856686">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3" w16cid:durableId="2004308970">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4" w16cid:durableId="52186892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5" w16cid:durableId="1137070932">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6" w16cid:durableId="52679756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7" w16cid:durableId="94399219">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8" w16cid:durableId="1460882380">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9" w16cid:durableId="530608484">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0" w16cid:durableId="546139041">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16cid:durableId="120817691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2" w16cid:durableId="1618559408">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16cid:durableId="1350763243">
    <w:abstractNumId w:val="43"/>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4" w16cid:durableId="1788544093">
    <w:abstractNumId w:val="44"/>
  </w:num>
  <w:num w:numId="185" w16cid:durableId="484855928">
    <w:abstractNumId w:val="44"/>
  </w:num>
  <w:num w:numId="186" w16cid:durableId="480345320">
    <w:abstractNumId w:val="44"/>
  </w:num>
  <w:num w:numId="187" w16cid:durableId="1070998758">
    <w:abstractNumId w:val="44"/>
  </w:num>
  <w:num w:numId="188" w16cid:durableId="1293944015">
    <w:abstractNumId w:val="44"/>
  </w:num>
  <w:num w:numId="189" w16cid:durableId="463815750">
    <w:abstractNumId w:val="44"/>
  </w:num>
  <w:num w:numId="190" w16cid:durableId="489636316">
    <w:abstractNumId w:val="44"/>
  </w:num>
  <w:num w:numId="191" w16cid:durableId="173805127">
    <w:abstractNumId w:val="44"/>
  </w:num>
  <w:num w:numId="192" w16cid:durableId="2089961938">
    <w:abstractNumId w:val="44"/>
  </w:num>
  <w:num w:numId="193" w16cid:durableId="2020042742">
    <w:abstractNumId w:val="44"/>
  </w:num>
  <w:num w:numId="194" w16cid:durableId="1866093355">
    <w:abstractNumId w:val="44"/>
  </w:num>
  <w:num w:numId="195" w16cid:durableId="801965469">
    <w:abstractNumId w:val="44"/>
  </w:num>
  <w:num w:numId="196" w16cid:durableId="1268853433">
    <w:abstractNumId w:val="44"/>
  </w:num>
  <w:num w:numId="197" w16cid:durableId="1608928773">
    <w:abstractNumId w:val="44"/>
  </w:num>
  <w:num w:numId="198" w16cid:durableId="1354451293">
    <w:abstractNumId w:val="44"/>
  </w:num>
  <w:num w:numId="199" w16cid:durableId="400950009">
    <w:abstractNumId w:val="44"/>
  </w:num>
  <w:num w:numId="200" w16cid:durableId="162936173">
    <w:abstractNumId w:val="44"/>
  </w:num>
  <w:num w:numId="201" w16cid:durableId="1329751977">
    <w:abstractNumId w:val="44"/>
  </w:num>
  <w:num w:numId="202" w16cid:durableId="741410656">
    <w:abstractNumId w:val="44"/>
  </w:num>
  <w:num w:numId="203" w16cid:durableId="636842120">
    <w:abstractNumId w:val="44"/>
  </w:num>
  <w:num w:numId="204" w16cid:durableId="1773740460">
    <w:abstractNumId w:val="44"/>
  </w:num>
  <w:num w:numId="205" w16cid:durableId="1227691174">
    <w:abstractNumId w:val="44"/>
  </w:num>
  <w:num w:numId="206" w16cid:durableId="90325763">
    <w:abstractNumId w:val="44"/>
  </w:num>
  <w:num w:numId="207" w16cid:durableId="679357602">
    <w:abstractNumId w:val="44"/>
  </w:num>
  <w:num w:numId="208" w16cid:durableId="1368870144">
    <w:abstractNumId w:val="44"/>
  </w:num>
  <w:num w:numId="209" w16cid:durableId="1871915169">
    <w:abstractNumId w:val="44"/>
  </w:num>
  <w:num w:numId="210" w16cid:durableId="1294211647">
    <w:abstractNumId w:val="44"/>
  </w:num>
  <w:num w:numId="211" w16cid:durableId="155847767">
    <w:abstractNumId w:val="44"/>
  </w:num>
  <w:num w:numId="212" w16cid:durableId="840268803">
    <w:abstractNumId w:val="44"/>
  </w:num>
  <w:num w:numId="213" w16cid:durableId="2104252898">
    <w:abstractNumId w:val="44"/>
  </w:num>
  <w:num w:numId="214" w16cid:durableId="1634482211">
    <w:abstractNumId w:val="44"/>
  </w:num>
  <w:num w:numId="215" w16cid:durableId="392512885">
    <w:abstractNumId w:val="44"/>
  </w:num>
  <w:num w:numId="216" w16cid:durableId="814681093">
    <w:abstractNumId w:val="44"/>
  </w:num>
  <w:num w:numId="217" w16cid:durableId="1256087793">
    <w:abstractNumId w:val="44"/>
  </w:num>
  <w:num w:numId="218" w16cid:durableId="822619392">
    <w:abstractNumId w:val="44"/>
  </w:num>
  <w:num w:numId="219" w16cid:durableId="611089492">
    <w:abstractNumId w:val="44"/>
  </w:num>
  <w:num w:numId="220" w16cid:durableId="434060190">
    <w:abstractNumId w:val="44"/>
  </w:num>
  <w:num w:numId="221" w16cid:durableId="893010009">
    <w:abstractNumId w:val="44"/>
  </w:num>
  <w:num w:numId="222" w16cid:durableId="458576426">
    <w:abstractNumId w:val="44"/>
  </w:num>
  <w:num w:numId="223" w16cid:durableId="2108499659">
    <w:abstractNumId w:val="44"/>
  </w:num>
  <w:num w:numId="224" w16cid:durableId="677200157">
    <w:abstractNumId w:val="44"/>
  </w:num>
  <w:num w:numId="225" w16cid:durableId="767891648">
    <w:abstractNumId w:val="44"/>
  </w:num>
  <w:num w:numId="226" w16cid:durableId="358556438">
    <w:abstractNumId w:val="44"/>
  </w:num>
  <w:num w:numId="227" w16cid:durableId="1173911285">
    <w:abstractNumId w:val="44"/>
  </w:num>
  <w:num w:numId="228" w16cid:durableId="1483931967">
    <w:abstractNumId w:val="44"/>
  </w:num>
  <w:num w:numId="229" w16cid:durableId="1514615143">
    <w:abstractNumId w:val="44"/>
  </w:num>
  <w:num w:numId="230" w16cid:durableId="530609895">
    <w:abstractNumId w:val="44"/>
  </w:num>
  <w:num w:numId="231" w16cid:durableId="1361593425">
    <w:abstractNumId w:val="44"/>
  </w:num>
  <w:num w:numId="232" w16cid:durableId="951017536">
    <w:abstractNumId w:val="44"/>
  </w:num>
  <w:num w:numId="233" w16cid:durableId="695619678">
    <w:abstractNumId w:val="44"/>
  </w:num>
  <w:num w:numId="234" w16cid:durableId="1154223452">
    <w:abstractNumId w:val="44"/>
  </w:num>
  <w:num w:numId="235" w16cid:durableId="257519941">
    <w:abstractNumId w:val="44"/>
  </w:num>
  <w:num w:numId="236" w16cid:durableId="20131826">
    <w:abstractNumId w:val="44"/>
  </w:num>
  <w:num w:numId="237" w16cid:durableId="457530881">
    <w:abstractNumId w:val="44"/>
  </w:num>
  <w:num w:numId="238" w16cid:durableId="1920210603">
    <w:abstractNumId w:val="44"/>
  </w:num>
  <w:num w:numId="239" w16cid:durableId="2101874780">
    <w:abstractNumId w:val="44"/>
  </w:num>
  <w:num w:numId="240" w16cid:durableId="957906817">
    <w:abstractNumId w:val="44"/>
  </w:num>
  <w:num w:numId="241" w16cid:durableId="955328266">
    <w:abstractNumId w:val="44"/>
  </w:num>
  <w:num w:numId="242" w16cid:durableId="1389066252">
    <w:abstractNumId w:val="44"/>
  </w:num>
  <w:num w:numId="243" w16cid:durableId="636109902">
    <w:abstractNumId w:val="44"/>
  </w:num>
  <w:num w:numId="244" w16cid:durableId="1810631394">
    <w:abstractNumId w:val="44"/>
  </w:num>
  <w:num w:numId="245" w16cid:durableId="1784760458">
    <w:abstractNumId w:val="44"/>
  </w:num>
  <w:num w:numId="246" w16cid:durableId="1677615492">
    <w:abstractNumId w:val="44"/>
  </w:num>
  <w:num w:numId="247" w16cid:durableId="636422131">
    <w:abstractNumId w:val="44"/>
  </w:num>
  <w:num w:numId="248" w16cid:durableId="7293315">
    <w:abstractNumId w:val="44"/>
  </w:num>
  <w:num w:numId="249" w16cid:durableId="1364866290">
    <w:abstractNumId w:val="44"/>
  </w:num>
  <w:num w:numId="250" w16cid:durableId="1133593490">
    <w:abstractNumId w:val="44"/>
  </w:num>
  <w:num w:numId="251" w16cid:durableId="906572750">
    <w:abstractNumId w:val="44"/>
  </w:num>
  <w:num w:numId="252" w16cid:durableId="1076167042">
    <w:abstractNumId w:val="44"/>
  </w:num>
  <w:num w:numId="253" w16cid:durableId="1803813118">
    <w:abstractNumId w:val="44"/>
  </w:num>
  <w:num w:numId="254" w16cid:durableId="1206917242">
    <w:abstractNumId w:val="44"/>
  </w:num>
  <w:num w:numId="255" w16cid:durableId="609511488">
    <w:abstractNumId w:val="44"/>
  </w:num>
  <w:num w:numId="256" w16cid:durableId="465389662">
    <w:abstractNumId w:val="44"/>
  </w:num>
  <w:num w:numId="257" w16cid:durableId="1609388449">
    <w:abstractNumId w:val="44"/>
  </w:num>
  <w:num w:numId="258" w16cid:durableId="604046557">
    <w:abstractNumId w:val="44"/>
  </w:num>
  <w:num w:numId="259" w16cid:durableId="508758719">
    <w:abstractNumId w:val="44"/>
  </w:num>
  <w:num w:numId="260" w16cid:durableId="1391729640">
    <w:abstractNumId w:val="44"/>
  </w:num>
  <w:num w:numId="261" w16cid:durableId="1505169118">
    <w:abstractNumId w:val="44"/>
  </w:num>
  <w:num w:numId="262" w16cid:durableId="1422605970">
    <w:abstractNumId w:val="44"/>
  </w:num>
  <w:num w:numId="263" w16cid:durableId="1219630256">
    <w:abstractNumId w:val="44"/>
  </w:num>
  <w:num w:numId="264" w16cid:durableId="1542328517">
    <w:abstractNumId w:val="44"/>
  </w:num>
  <w:num w:numId="265" w16cid:durableId="1298991510">
    <w:abstractNumId w:val="44"/>
  </w:num>
  <w:num w:numId="266" w16cid:durableId="1669939210">
    <w:abstractNumId w:val="44"/>
  </w:num>
  <w:num w:numId="267" w16cid:durableId="791098806">
    <w:abstractNumId w:val="44"/>
  </w:num>
  <w:num w:numId="268" w16cid:durableId="1272127644">
    <w:abstractNumId w:val="44"/>
  </w:num>
  <w:num w:numId="269" w16cid:durableId="1938707249">
    <w:abstractNumId w:val="44"/>
  </w:num>
  <w:num w:numId="270" w16cid:durableId="2022199959">
    <w:abstractNumId w:val="44"/>
  </w:num>
  <w:num w:numId="271" w16cid:durableId="2113012913">
    <w:abstractNumId w:val="44"/>
  </w:num>
  <w:num w:numId="272" w16cid:durableId="578487522">
    <w:abstractNumId w:val="44"/>
  </w:num>
  <w:num w:numId="273" w16cid:durableId="971012765">
    <w:abstractNumId w:val="44"/>
  </w:num>
  <w:num w:numId="274" w16cid:durableId="2121946948">
    <w:abstractNumId w:val="44"/>
  </w:num>
  <w:num w:numId="275" w16cid:durableId="1825704375">
    <w:abstractNumId w:val="44"/>
  </w:num>
  <w:num w:numId="276" w16cid:durableId="1631936113">
    <w:abstractNumId w:val="44"/>
  </w:num>
  <w:num w:numId="277" w16cid:durableId="1129468729">
    <w:abstractNumId w:val="44"/>
  </w:num>
  <w:num w:numId="278" w16cid:durableId="821041650">
    <w:abstractNumId w:val="44"/>
  </w:num>
  <w:num w:numId="279" w16cid:durableId="1051731365">
    <w:abstractNumId w:val="44"/>
  </w:num>
  <w:num w:numId="280" w16cid:durableId="1996755918">
    <w:abstractNumId w:val="44"/>
  </w:num>
  <w:num w:numId="281" w16cid:durableId="613484546">
    <w:abstractNumId w:val="44"/>
  </w:num>
  <w:num w:numId="282" w16cid:durableId="1966813983">
    <w:abstractNumId w:val="44"/>
  </w:num>
  <w:num w:numId="283" w16cid:durableId="1456025307">
    <w:abstractNumId w:val="44"/>
  </w:num>
  <w:num w:numId="284" w16cid:durableId="164783287">
    <w:abstractNumId w:val="44"/>
  </w:num>
  <w:num w:numId="285" w16cid:durableId="2086491048">
    <w:abstractNumId w:val="44"/>
  </w:num>
  <w:num w:numId="286" w16cid:durableId="499006179">
    <w:abstractNumId w:val="44"/>
  </w:num>
  <w:num w:numId="287" w16cid:durableId="1214924918">
    <w:abstractNumId w:val="44"/>
  </w:num>
  <w:num w:numId="288" w16cid:durableId="1150563092">
    <w:abstractNumId w:val="44"/>
  </w:num>
  <w:num w:numId="289" w16cid:durableId="151989941">
    <w:abstractNumId w:val="44"/>
  </w:num>
  <w:num w:numId="290" w16cid:durableId="590315506">
    <w:abstractNumId w:val="44"/>
  </w:num>
  <w:num w:numId="291" w16cid:durableId="938679918">
    <w:abstractNumId w:val="44"/>
  </w:num>
  <w:num w:numId="292" w16cid:durableId="2093625430">
    <w:abstractNumId w:val="44"/>
  </w:num>
  <w:num w:numId="293" w16cid:durableId="954680951">
    <w:abstractNumId w:val="44"/>
  </w:num>
  <w:num w:numId="294" w16cid:durableId="2044162024">
    <w:abstractNumId w:val="44"/>
  </w:num>
  <w:num w:numId="295" w16cid:durableId="800853161">
    <w:abstractNumId w:val="44"/>
  </w:num>
  <w:num w:numId="296" w16cid:durableId="877593021">
    <w:abstractNumId w:val="44"/>
  </w:num>
  <w:num w:numId="297" w16cid:durableId="527914103">
    <w:abstractNumId w:val="44"/>
  </w:num>
  <w:num w:numId="298" w16cid:durableId="627735255">
    <w:abstractNumId w:val="44"/>
  </w:num>
  <w:num w:numId="299" w16cid:durableId="1995840804">
    <w:abstractNumId w:val="44"/>
  </w:num>
  <w:num w:numId="300" w16cid:durableId="484014186">
    <w:abstractNumId w:val="44"/>
  </w:num>
  <w:num w:numId="301" w16cid:durableId="1472208988">
    <w:abstractNumId w:val="44"/>
  </w:num>
  <w:num w:numId="302" w16cid:durableId="1355228374">
    <w:abstractNumId w:val="44"/>
  </w:num>
  <w:num w:numId="303" w16cid:durableId="776868948">
    <w:abstractNumId w:val="44"/>
  </w:num>
  <w:num w:numId="304" w16cid:durableId="1912347328">
    <w:abstractNumId w:val="44"/>
  </w:num>
  <w:num w:numId="305" w16cid:durableId="1666594725">
    <w:abstractNumId w:val="44"/>
  </w:num>
  <w:num w:numId="306" w16cid:durableId="1025714589">
    <w:abstractNumId w:val="44"/>
  </w:num>
  <w:num w:numId="307" w16cid:durableId="1986618542">
    <w:abstractNumId w:val="44"/>
  </w:num>
  <w:num w:numId="308" w16cid:durableId="586302501">
    <w:abstractNumId w:val="44"/>
  </w:num>
  <w:num w:numId="309" w16cid:durableId="1180310526">
    <w:abstractNumId w:val="44"/>
  </w:num>
  <w:num w:numId="310" w16cid:durableId="2004159384">
    <w:abstractNumId w:val="44"/>
  </w:num>
  <w:num w:numId="311" w16cid:durableId="1860005700">
    <w:abstractNumId w:val="44"/>
  </w:num>
  <w:num w:numId="312" w16cid:durableId="1540513490">
    <w:abstractNumId w:val="44"/>
  </w:num>
  <w:num w:numId="313" w16cid:durableId="1282419486">
    <w:abstractNumId w:val="44"/>
  </w:num>
  <w:num w:numId="314" w16cid:durableId="770006781">
    <w:abstractNumId w:val="44"/>
  </w:num>
  <w:num w:numId="315" w16cid:durableId="1196575121">
    <w:abstractNumId w:val="44"/>
  </w:num>
  <w:num w:numId="316" w16cid:durableId="1055665858">
    <w:abstractNumId w:val="44"/>
  </w:num>
  <w:num w:numId="317" w16cid:durableId="851914126">
    <w:abstractNumId w:val="44"/>
  </w:num>
  <w:num w:numId="318" w16cid:durableId="2076774593">
    <w:abstractNumId w:val="44"/>
  </w:num>
  <w:num w:numId="319" w16cid:durableId="954553913">
    <w:abstractNumId w:val="44"/>
  </w:num>
  <w:num w:numId="320" w16cid:durableId="165023406">
    <w:abstractNumId w:val="44"/>
  </w:num>
  <w:num w:numId="321" w16cid:durableId="1301498162">
    <w:abstractNumId w:val="44"/>
  </w:num>
  <w:num w:numId="322" w16cid:durableId="95830230">
    <w:abstractNumId w:val="44"/>
  </w:num>
  <w:num w:numId="323" w16cid:durableId="1187715832">
    <w:abstractNumId w:val="44"/>
  </w:num>
  <w:num w:numId="324" w16cid:durableId="1520001228">
    <w:abstractNumId w:val="44"/>
  </w:num>
  <w:num w:numId="325" w16cid:durableId="1465351960">
    <w:abstractNumId w:val="44"/>
  </w:num>
  <w:num w:numId="326" w16cid:durableId="1218515742">
    <w:abstractNumId w:val="44"/>
  </w:num>
  <w:num w:numId="327" w16cid:durableId="558129787">
    <w:abstractNumId w:val="44"/>
  </w:num>
  <w:num w:numId="328" w16cid:durableId="1726643135">
    <w:abstractNumId w:val="44"/>
  </w:num>
  <w:num w:numId="329" w16cid:durableId="1149444028">
    <w:abstractNumId w:val="44"/>
  </w:num>
  <w:num w:numId="330" w16cid:durableId="826021258">
    <w:abstractNumId w:val="44"/>
  </w:num>
  <w:num w:numId="331" w16cid:durableId="634987306">
    <w:abstractNumId w:val="44"/>
  </w:num>
  <w:num w:numId="332" w16cid:durableId="731468000">
    <w:abstractNumId w:val="44"/>
  </w:num>
  <w:num w:numId="333" w16cid:durableId="722754535">
    <w:abstractNumId w:val="44"/>
  </w:num>
  <w:num w:numId="334" w16cid:durableId="243416994">
    <w:abstractNumId w:val="44"/>
  </w:num>
  <w:num w:numId="335" w16cid:durableId="52777032">
    <w:abstractNumId w:val="44"/>
  </w:num>
  <w:num w:numId="336" w16cid:durableId="51543377">
    <w:abstractNumId w:val="44"/>
  </w:num>
  <w:num w:numId="337" w16cid:durableId="1995141074">
    <w:abstractNumId w:val="44"/>
  </w:num>
  <w:num w:numId="338" w16cid:durableId="2102295324">
    <w:abstractNumId w:val="44"/>
  </w:num>
  <w:num w:numId="339" w16cid:durableId="2058553068">
    <w:abstractNumId w:val="44"/>
  </w:num>
  <w:num w:numId="340" w16cid:durableId="859591215">
    <w:abstractNumId w:val="44"/>
  </w:num>
  <w:num w:numId="341" w16cid:durableId="28336868">
    <w:abstractNumId w:val="44"/>
  </w:num>
  <w:num w:numId="342" w16cid:durableId="477303017">
    <w:abstractNumId w:val="44"/>
  </w:num>
  <w:num w:numId="343" w16cid:durableId="2023042028">
    <w:abstractNumId w:val="44"/>
  </w:num>
  <w:num w:numId="344" w16cid:durableId="1828398853">
    <w:abstractNumId w:val="44"/>
  </w:num>
  <w:num w:numId="345" w16cid:durableId="1281298056">
    <w:abstractNumId w:val="44"/>
  </w:num>
  <w:num w:numId="346" w16cid:durableId="400371027">
    <w:abstractNumId w:val="44"/>
  </w:num>
  <w:num w:numId="347" w16cid:durableId="2108040229">
    <w:abstractNumId w:val="44"/>
  </w:num>
  <w:num w:numId="348" w16cid:durableId="992024059">
    <w:abstractNumId w:val="44"/>
  </w:num>
  <w:num w:numId="349" w16cid:durableId="1102258895">
    <w:abstractNumId w:val="44"/>
  </w:num>
  <w:num w:numId="350" w16cid:durableId="1291941123">
    <w:abstractNumId w:val="44"/>
  </w:num>
  <w:num w:numId="351" w16cid:durableId="433325124">
    <w:abstractNumId w:val="44"/>
  </w:num>
  <w:num w:numId="352" w16cid:durableId="2116510402">
    <w:abstractNumId w:val="44"/>
  </w:num>
  <w:num w:numId="353" w16cid:durableId="1208295263">
    <w:abstractNumId w:val="44"/>
  </w:num>
  <w:num w:numId="354" w16cid:durableId="18512283">
    <w:abstractNumId w:val="44"/>
  </w:num>
  <w:num w:numId="355" w16cid:durableId="791096857">
    <w:abstractNumId w:val="44"/>
  </w:num>
  <w:num w:numId="356" w16cid:durableId="2036537028">
    <w:abstractNumId w:val="44"/>
  </w:num>
  <w:num w:numId="357" w16cid:durableId="142089926">
    <w:abstractNumId w:val="44"/>
  </w:num>
  <w:num w:numId="358" w16cid:durableId="275406854">
    <w:abstractNumId w:val="44"/>
    <w:lvlOverride w:ilvl="0">
      <w:startOverride w:val="6"/>
    </w:lvlOverride>
    <w:lvlOverride w:ilvl="1">
      <w:startOverride w:val="2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607930587">
    <w:abstractNumId w:val="44"/>
  </w:num>
  <w:num w:numId="360" w16cid:durableId="1317999517">
    <w:abstractNumId w:val="44"/>
  </w:num>
  <w:num w:numId="361" w16cid:durableId="1988778973">
    <w:abstractNumId w:val="50"/>
    <w:lvlOverride w:ilvl="0">
      <w:startOverride w:val="216"/>
    </w:lvlOverride>
  </w:num>
  <w:num w:numId="362" w16cid:durableId="1940720075">
    <w:abstractNumId w:val="63"/>
  </w:num>
  <w:num w:numId="363" w16cid:durableId="1752772569">
    <w:abstractNumId w:val="42"/>
  </w:num>
  <w:num w:numId="364" w16cid:durableId="1274433320">
    <w:abstractNumId w:val="69"/>
  </w:num>
  <w:num w:numId="365" w16cid:durableId="240874884">
    <w:abstractNumId w:val="44"/>
  </w:num>
  <w:num w:numId="366" w16cid:durableId="513151458">
    <w:abstractNumId w:val="44"/>
  </w:num>
  <w:num w:numId="367" w16cid:durableId="927007432">
    <w:abstractNumId w:val="44"/>
  </w:num>
  <w:num w:numId="368" w16cid:durableId="166412021">
    <w:abstractNumId w:val="44"/>
  </w:num>
  <w:num w:numId="369" w16cid:durableId="1533877262">
    <w:abstractNumId w:val="44"/>
  </w:num>
  <w:num w:numId="370" w16cid:durableId="63917387">
    <w:abstractNumId w:val="44"/>
  </w:num>
  <w:num w:numId="371" w16cid:durableId="423114024">
    <w:abstractNumId w:val="44"/>
  </w:num>
  <w:num w:numId="372" w16cid:durableId="1002199728">
    <w:abstractNumId w:val="44"/>
  </w:num>
  <w:num w:numId="373" w16cid:durableId="54665224">
    <w:abstractNumId w:val="44"/>
  </w:num>
  <w:num w:numId="374" w16cid:durableId="156655188">
    <w:abstractNumId w:val="44"/>
  </w:num>
  <w:num w:numId="375" w16cid:durableId="1178277937">
    <w:abstractNumId w:val="70"/>
  </w:num>
  <w:num w:numId="376" w16cid:durableId="149489491">
    <w:abstractNumId w:val="61"/>
  </w:num>
  <w:num w:numId="377" w16cid:durableId="1797945950">
    <w:abstractNumId w:val="49"/>
  </w:num>
  <w:num w:numId="378" w16cid:durableId="1853834958">
    <w:abstractNumId w:val="44"/>
  </w:num>
  <w:num w:numId="379" w16cid:durableId="809445366">
    <w:abstractNumId w:val="6"/>
  </w:num>
  <w:num w:numId="380" w16cid:durableId="1728845160">
    <w:abstractNumId w:val="44"/>
  </w:num>
  <w:num w:numId="381" w16cid:durableId="1731684266">
    <w:abstractNumId w:val="62"/>
  </w:num>
  <w:num w:numId="382" w16cid:durableId="1617758588">
    <w:abstractNumId w:val="31"/>
    <w:lvlOverride w:ilvl="0">
      <w:startOverride w:val="115"/>
    </w:lvlOverride>
  </w:num>
  <w:num w:numId="383" w16cid:durableId="1369258753">
    <w:abstractNumId w:val="13"/>
  </w:num>
  <w:num w:numId="384" w16cid:durableId="62683313">
    <w:abstractNumId w:val="16"/>
  </w:num>
  <w:num w:numId="385" w16cid:durableId="1813517795">
    <w:abstractNumId w:val="37"/>
  </w:num>
  <w:num w:numId="386" w16cid:durableId="1380520604">
    <w:abstractNumId w:val="44"/>
  </w:num>
  <w:num w:numId="387" w16cid:durableId="360860512">
    <w:abstractNumId w:val="44"/>
  </w:num>
  <w:numIdMacAtCleanup w:val="3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76"/>
    <w:rsid w:val="000022FA"/>
    <w:rsid w:val="00003276"/>
    <w:rsid w:val="00004C84"/>
    <w:rsid w:val="0000515E"/>
    <w:rsid w:val="00005974"/>
    <w:rsid w:val="00007056"/>
    <w:rsid w:val="000070E8"/>
    <w:rsid w:val="0000725D"/>
    <w:rsid w:val="00007404"/>
    <w:rsid w:val="00007D6D"/>
    <w:rsid w:val="0001024C"/>
    <w:rsid w:val="00010BA1"/>
    <w:rsid w:val="00011719"/>
    <w:rsid w:val="00011C88"/>
    <w:rsid w:val="00012F98"/>
    <w:rsid w:val="0001377B"/>
    <w:rsid w:val="000139DD"/>
    <w:rsid w:val="00013D12"/>
    <w:rsid w:val="00015173"/>
    <w:rsid w:val="00015D95"/>
    <w:rsid w:val="00015E8C"/>
    <w:rsid w:val="000178A2"/>
    <w:rsid w:val="00017D04"/>
    <w:rsid w:val="0002032D"/>
    <w:rsid w:val="00020549"/>
    <w:rsid w:val="00021409"/>
    <w:rsid w:val="00021925"/>
    <w:rsid w:val="00023D37"/>
    <w:rsid w:val="00024681"/>
    <w:rsid w:val="00026AD8"/>
    <w:rsid w:val="00027D22"/>
    <w:rsid w:val="00033B82"/>
    <w:rsid w:val="000358D7"/>
    <w:rsid w:val="00036B9B"/>
    <w:rsid w:val="000414F5"/>
    <w:rsid w:val="00041527"/>
    <w:rsid w:val="00041813"/>
    <w:rsid w:val="0004248F"/>
    <w:rsid w:val="00043C6D"/>
    <w:rsid w:val="00043DD8"/>
    <w:rsid w:val="00043E5C"/>
    <w:rsid w:val="000440FA"/>
    <w:rsid w:val="00045206"/>
    <w:rsid w:val="0004554D"/>
    <w:rsid w:val="00046586"/>
    <w:rsid w:val="00047C35"/>
    <w:rsid w:val="00047DD6"/>
    <w:rsid w:val="00050961"/>
    <w:rsid w:val="0005135D"/>
    <w:rsid w:val="000515ED"/>
    <w:rsid w:val="0005343C"/>
    <w:rsid w:val="000542B2"/>
    <w:rsid w:val="00055300"/>
    <w:rsid w:val="000554B4"/>
    <w:rsid w:val="00056788"/>
    <w:rsid w:val="00057BDC"/>
    <w:rsid w:val="00057E6D"/>
    <w:rsid w:val="0006123F"/>
    <w:rsid w:val="00061A9A"/>
    <w:rsid w:val="00061BBD"/>
    <w:rsid w:val="00061D4B"/>
    <w:rsid w:val="00062E04"/>
    <w:rsid w:val="0006405F"/>
    <w:rsid w:val="0006462D"/>
    <w:rsid w:val="00064632"/>
    <w:rsid w:val="00065BA7"/>
    <w:rsid w:val="0007018B"/>
    <w:rsid w:val="00072763"/>
    <w:rsid w:val="00074379"/>
    <w:rsid w:val="00076035"/>
    <w:rsid w:val="00076828"/>
    <w:rsid w:val="00076A83"/>
    <w:rsid w:val="00077C38"/>
    <w:rsid w:val="00077F52"/>
    <w:rsid w:val="0008321A"/>
    <w:rsid w:val="00085992"/>
    <w:rsid w:val="00086465"/>
    <w:rsid w:val="00090B25"/>
    <w:rsid w:val="000916CB"/>
    <w:rsid w:val="00091D96"/>
    <w:rsid w:val="000929C5"/>
    <w:rsid w:val="00092CD6"/>
    <w:rsid w:val="00092D68"/>
    <w:rsid w:val="00093B03"/>
    <w:rsid w:val="000958F6"/>
    <w:rsid w:val="000967A4"/>
    <w:rsid w:val="000A002E"/>
    <w:rsid w:val="000A0AFA"/>
    <w:rsid w:val="000A1275"/>
    <w:rsid w:val="000A218E"/>
    <w:rsid w:val="000A2526"/>
    <w:rsid w:val="000A2FE7"/>
    <w:rsid w:val="000A3144"/>
    <w:rsid w:val="000A443D"/>
    <w:rsid w:val="000A44A0"/>
    <w:rsid w:val="000A4B4C"/>
    <w:rsid w:val="000A710F"/>
    <w:rsid w:val="000B1EAB"/>
    <w:rsid w:val="000B2663"/>
    <w:rsid w:val="000B28F1"/>
    <w:rsid w:val="000B324A"/>
    <w:rsid w:val="000B6108"/>
    <w:rsid w:val="000B62E1"/>
    <w:rsid w:val="000B6B1F"/>
    <w:rsid w:val="000C10E9"/>
    <w:rsid w:val="000C1BA8"/>
    <w:rsid w:val="000C54D5"/>
    <w:rsid w:val="000C59CE"/>
    <w:rsid w:val="000C5C5A"/>
    <w:rsid w:val="000C5EED"/>
    <w:rsid w:val="000D0025"/>
    <w:rsid w:val="000D0AF7"/>
    <w:rsid w:val="000D0EEB"/>
    <w:rsid w:val="000D1C19"/>
    <w:rsid w:val="000D298D"/>
    <w:rsid w:val="000D318B"/>
    <w:rsid w:val="000D323E"/>
    <w:rsid w:val="000D3B87"/>
    <w:rsid w:val="000D5DC6"/>
    <w:rsid w:val="000D67BC"/>
    <w:rsid w:val="000D6FA6"/>
    <w:rsid w:val="000D7A38"/>
    <w:rsid w:val="000D7AFD"/>
    <w:rsid w:val="000D7EFA"/>
    <w:rsid w:val="000E03D0"/>
    <w:rsid w:val="000E0C6E"/>
    <w:rsid w:val="000E3CDD"/>
    <w:rsid w:val="000E4148"/>
    <w:rsid w:val="000E4646"/>
    <w:rsid w:val="000E48B4"/>
    <w:rsid w:val="000E65F0"/>
    <w:rsid w:val="000E72C3"/>
    <w:rsid w:val="000E7765"/>
    <w:rsid w:val="000E7843"/>
    <w:rsid w:val="000F06F5"/>
    <w:rsid w:val="000F1231"/>
    <w:rsid w:val="000F206E"/>
    <w:rsid w:val="000F3540"/>
    <w:rsid w:val="000F3AD0"/>
    <w:rsid w:val="000F3D06"/>
    <w:rsid w:val="000F5CC5"/>
    <w:rsid w:val="000F75EF"/>
    <w:rsid w:val="000F779F"/>
    <w:rsid w:val="000F7D9A"/>
    <w:rsid w:val="0010067C"/>
    <w:rsid w:val="00100998"/>
    <w:rsid w:val="00101055"/>
    <w:rsid w:val="001013F2"/>
    <w:rsid w:val="001019A9"/>
    <w:rsid w:val="00101F26"/>
    <w:rsid w:val="0010283E"/>
    <w:rsid w:val="0010375C"/>
    <w:rsid w:val="00104167"/>
    <w:rsid w:val="0010585A"/>
    <w:rsid w:val="00105C2F"/>
    <w:rsid w:val="00105CEF"/>
    <w:rsid w:val="00105DB0"/>
    <w:rsid w:val="00106E78"/>
    <w:rsid w:val="00107014"/>
    <w:rsid w:val="00107459"/>
    <w:rsid w:val="0011183E"/>
    <w:rsid w:val="00111D29"/>
    <w:rsid w:val="001124D0"/>
    <w:rsid w:val="00112F36"/>
    <w:rsid w:val="001133F7"/>
    <w:rsid w:val="0011359E"/>
    <w:rsid w:val="001138B7"/>
    <w:rsid w:val="001140DF"/>
    <w:rsid w:val="001146F2"/>
    <w:rsid w:val="001148AD"/>
    <w:rsid w:val="00115B8A"/>
    <w:rsid w:val="0011669B"/>
    <w:rsid w:val="00116718"/>
    <w:rsid w:val="00116D63"/>
    <w:rsid w:val="00117271"/>
    <w:rsid w:val="00117E0C"/>
    <w:rsid w:val="00121239"/>
    <w:rsid w:val="00122A8F"/>
    <w:rsid w:val="00122CEE"/>
    <w:rsid w:val="001248BA"/>
    <w:rsid w:val="00124B5E"/>
    <w:rsid w:val="00124C92"/>
    <w:rsid w:val="001254FE"/>
    <w:rsid w:val="00125D01"/>
    <w:rsid w:val="001271CF"/>
    <w:rsid w:val="00127BFE"/>
    <w:rsid w:val="00127FB7"/>
    <w:rsid w:val="001353BB"/>
    <w:rsid w:val="00136DA2"/>
    <w:rsid w:val="0013735C"/>
    <w:rsid w:val="00137CF5"/>
    <w:rsid w:val="00140727"/>
    <w:rsid w:val="001408DC"/>
    <w:rsid w:val="00140945"/>
    <w:rsid w:val="00141654"/>
    <w:rsid w:val="00141E57"/>
    <w:rsid w:val="00141E5C"/>
    <w:rsid w:val="00142769"/>
    <w:rsid w:val="0014389A"/>
    <w:rsid w:val="00143EFE"/>
    <w:rsid w:val="001443AC"/>
    <w:rsid w:val="00145753"/>
    <w:rsid w:val="0014609A"/>
    <w:rsid w:val="001466FF"/>
    <w:rsid w:val="0014772F"/>
    <w:rsid w:val="00147E3A"/>
    <w:rsid w:val="00150827"/>
    <w:rsid w:val="00151084"/>
    <w:rsid w:val="00151165"/>
    <w:rsid w:val="00152345"/>
    <w:rsid w:val="00155D49"/>
    <w:rsid w:val="00156E08"/>
    <w:rsid w:val="00157289"/>
    <w:rsid w:val="0016076C"/>
    <w:rsid w:val="00160B74"/>
    <w:rsid w:val="001618F1"/>
    <w:rsid w:val="00162B05"/>
    <w:rsid w:val="00163926"/>
    <w:rsid w:val="00165863"/>
    <w:rsid w:val="00166916"/>
    <w:rsid w:val="00170AAA"/>
    <w:rsid w:val="001712FA"/>
    <w:rsid w:val="00171B9D"/>
    <w:rsid w:val="0017285E"/>
    <w:rsid w:val="00173CD3"/>
    <w:rsid w:val="00173CE5"/>
    <w:rsid w:val="00177C20"/>
    <w:rsid w:val="00181BA6"/>
    <w:rsid w:val="00181D50"/>
    <w:rsid w:val="001828C1"/>
    <w:rsid w:val="00184FD9"/>
    <w:rsid w:val="00185A3F"/>
    <w:rsid w:val="00186984"/>
    <w:rsid w:val="0018766F"/>
    <w:rsid w:val="00190609"/>
    <w:rsid w:val="00193130"/>
    <w:rsid w:val="0019558A"/>
    <w:rsid w:val="00197594"/>
    <w:rsid w:val="00197B06"/>
    <w:rsid w:val="001A0085"/>
    <w:rsid w:val="001A0242"/>
    <w:rsid w:val="001A07AB"/>
    <w:rsid w:val="001A0CBD"/>
    <w:rsid w:val="001A141D"/>
    <w:rsid w:val="001A16C8"/>
    <w:rsid w:val="001A1C17"/>
    <w:rsid w:val="001A1F49"/>
    <w:rsid w:val="001A2B3A"/>
    <w:rsid w:val="001A42DE"/>
    <w:rsid w:val="001A4A85"/>
    <w:rsid w:val="001A51DE"/>
    <w:rsid w:val="001A67D5"/>
    <w:rsid w:val="001A6DC3"/>
    <w:rsid w:val="001A7047"/>
    <w:rsid w:val="001A7FF0"/>
    <w:rsid w:val="001B0779"/>
    <w:rsid w:val="001B0EF2"/>
    <w:rsid w:val="001B10FA"/>
    <w:rsid w:val="001B13E7"/>
    <w:rsid w:val="001B1C56"/>
    <w:rsid w:val="001B26B6"/>
    <w:rsid w:val="001B2B42"/>
    <w:rsid w:val="001B2CDA"/>
    <w:rsid w:val="001B47E4"/>
    <w:rsid w:val="001B487A"/>
    <w:rsid w:val="001B62F2"/>
    <w:rsid w:val="001B6558"/>
    <w:rsid w:val="001C04D5"/>
    <w:rsid w:val="001C0B8C"/>
    <w:rsid w:val="001C1681"/>
    <w:rsid w:val="001C1932"/>
    <w:rsid w:val="001C1AEA"/>
    <w:rsid w:val="001C2BE2"/>
    <w:rsid w:val="001C444D"/>
    <w:rsid w:val="001C51D3"/>
    <w:rsid w:val="001C53B4"/>
    <w:rsid w:val="001C55BC"/>
    <w:rsid w:val="001C58BC"/>
    <w:rsid w:val="001C638D"/>
    <w:rsid w:val="001C73F5"/>
    <w:rsid w:val="001D0B00"/>
    <w:rsid w:val="001D1058"/>
    <w:rsid w:val="001D11E0"/>
    <w:rsid w:val="001D1B32"/>
    <w:rsid w:val="001D2D5F"/>
    <w:rsid w:val="001D3B38"/>
    <w:rsid w:val="001D477D"/>
    <w:rsid w:val="001D4824"/>
    <w:rsid w:val="001D5594"/>
    <w:rsid w:val="001D63F4"/>
    <w:rsid w:val="001D6D32"/>
    <w:rsid w:val="001D72E6"/>
    <w:rsid w:val="001D7ABD"/>
    <w:rsid w:val="001E05E0"/>
    <w:rsid w:val="001E09EF"/>
    <w:rsid w:val="001E1252"/>
    <w:rsid w:val="001E2153"/>
    <w:rsid w:val="001E27D0"/>
    <w:rsid w:val="001E3334"/>
    <w:rsid w:val="001E3D79"/>
    <w:rsid w:val="001E44B5"/>
    <w:rsid w:val="001E70D0"/>
    <w:rsid w:val="001F1066"/>
    <w:rsid w:val="001F1C08"/>
    <w:rsid w:val="001F1EE8"/>
    <w:rsid w:val="001F25A2"/>
    <w:rsid w:val="001F2B80"/>
    <w:rsid w:val="001F2D0A"/>
    <w:rsid w:val="001F310B"/>
    <w:rsid w:val="001F4257"/>
    <w:rsid w:val="001F4A90"/>
    <w:rsid w:val="001F5C0D"/>
    <w:rsid w:val="001F7096"/>
    <w:rsid w:val="001F77CC"/>
    <w:rsid w:val="001F7F71"/>
    <w:rsid w:val="00200B5B"/>
    <w:rsid w:val="00201731"/>
    <w:rsid w:val="00201C40"/>
    <w:rsid w:val="00201F35"/>
    <w:rsid w:val="00202DAE"/>
    <w:rsid w:val="00202E34"/>
    <w:rsid w:val="00205585"/>
    <w:rsid w:val="0020561F"/>
    <w:rsid w:val="00205FB3"/>
    <w:rsid w:val="00206CC0"/>
    <w:rsid w:val="00206D1A"/>
    <w:rsid w:val="00206DDD"/>
    <w:rsid w:val="00206F64"/>
    <w:rsid w:val="002075A4"/>
    <w:rsid w:val="00207638"/>
    <w:rsid w:val="00207699"/>
    <w:rsid w:val="002077F4"/>
    <w:rsid w:val="00207961"/>
    <w:rsid w:val="002114EB"/>
    <w:rsid w:val="002115E2"/>
    <w:rsid w:val="002131D8"/>
    <w:rsid w:val="0021322B"/>
    <w:rsid w:val="00213D32"/>
    <w:rsid w:val="002149FE"/>
    <w:rsid w:val="00217F9C"/>
    <w:rsid w:val="00221E20"/>
    <w:rsid w:val="00222202"/>
    <w:rsid w:val="0022304F"/>
    <w:rsid w:val="0022409B"/>
    <w:rsid w:val="002253C5"/>
    <w:rsid w:val="00225B19"/>
    <w:rsid w:val="002265B9"/>
    <w:rsid w:val="00226B7A"/>
    <w:rsid w:val="002270B2"/>
    <w:rsid w:val="002270B7"/>
    <w:rsid w:val="00230376"/>
    <w:rsid w:val="00230400"/>
    <w:rsid w:val="0023046B"/>
    <w:rsid w:val="00230642"/>
    <w:rsid w:val="002309A5"/>
    <w:rsid w:val="00230DF5"/>
    <w:rsid w:val="00231C5B"/>
    <w:rsid w:val="00232A46"/>
    <w:rsid w:val="00233C56"/>
    <w:rsid w:val="002348D9"/>
    <w:rsid w:val="002363F3"/>
    <w:rsid w:val="002401FE"/>
    <w:rsid w:val="002418E7"/>
    <w:rsid w:val="00241D54"/>
    <w:rsid w:val="00242383"/>
    <w:rsid w:val="0024260D"/>
    <w:rsid w:val="00245B5D"/>
    <w:rsid w:val="002500E4"/>
    <w:rsid w:val="00250290"/>
    <w:rsid w:val="002507B8"/>
    <w:rsid w:val="00250D3C"/>
    <w:rsid w:val="00250D42"/>
    <w:rsid w:val="002510EF"/>
    <w:rsid w:val="002521C0"/>
    <w:rsid w:val="002535B5"/>
    <w:rsid w:val="0025614C"/>
    <w:rsid w:val="00256993"/>
    <w:rsid w:val="002569B4"/>
    <w:rsid w:val="00256BD2"/>
    <w:rsid w:val="00257D61"/>
    <w:rsid w:val="00261A91"/>
    <w:rsid w:val="00262529"/>
    <w:rsid w:val="0026306E"/>
    <w:rsid w:val="0026310C"/>
    <w:rsid w:val="0026395F"/>
    <w:rsid w:val="002641BA"/>
    <w:rsid w:val="00264703"/>
    <w:rsid w:val="00264725"/>
    <w:rsid w:val="00264D98"/>
    <w:rsid w:val="00264E17"/>
    <w:rsid w:val="00266B01"/>
    <w:rsid w:val="00266DD3"/>
    <w:rsid w:val="00266FF6"/>
    <w:rsid w:val="002709DD"/>
    <w:rsid w:val="0027196B"/>
    <w:rsid w:val="002731C2"/>
    <w:rsid w:val="002734AC"/>
    <w:rsid w:val="0027463E"/>
    <w:rsid w:val="00274653"/>
    <w:rsid w:val="002749B6"/>
    <w:rsid w:val="00274B86"/>
    <w:rsid w:val="00274C7E"/>
    <w:rsid w:val="00274DE5"/>
    <w:rsid w:val="002762BE"/>
    <w:rsid w:val="00276D08"/>
    <w:rsid w:val="00276E7F"/>
    <w:rsid w:val="00277A19"/>
    <w:rsid w:val="00277C85"/>
    <w:rsid w:val="00277F4B"/>
    <w:rsid w:val="002808CC"/>
    <w:rsid w:val="002810A3"/>
    <w:rsid w:val="002813D6"/>
    <w:rsid w:val="0028190F"/>
    <w:rsid w:val="00281BED"/>
    <w:rsid w:val="00282258"/>
    <w:rsid w:val="00283019"/>
    <w:rsid w:val="0028351B"/>
    <w:rsid w:val="002836FB"/>
    <w:rsid w:val="00283B45"/>
    <w:rsid w:val="002849F6"/>
    <w:rsid w:val="00285C2C"/>
    <w:rsid w:val="00286DFA"/>
    <w:rsid w:val="00286E35"/>
    <w:rsid w:val="00287EDD"/>
    <w:rsid w:val="002904CB"/>
    <w:rsid w:val="002906BD"/>
    <w:rsid w:val="0029139F"/>
    <w:rsid w:val="00291E91"/>
    <w:rsid w:val="00292C24"/>
    <w:rsid w:val="00293316"/>
    <w:rsid w:val="002936B5"/>
    <w:rsid w:val="00293735"/>
    <w:rsid w:val="00293AF4"/>
    <w:rsid w:val="00293F6F"/>
    <w:rsid w:val="00294DA2"/>
    <w:rsid w:val="00295FB4"/>
    <w:rsid w:val="00297D3A"/>
    <w:rsid w:val="002A0F4A"/>
    <w:rsid w:val="002A1159"/>
    <w:rsid w:val="002A2835"/>
    <w:rsid w:val="002A3421"/>
    <w:rsid w:val="002A371F"/>
    <w:rsid w:val="002A38DA"/>
    <w:rsid w:val="002A5195"/>
    <w:rsid w:val="002A6593"/>
    <w:rsid w:val="002A79FB"/>
    <w:rsid w:val="002A7B5A"/>
    <w:rsid w:val="002B0CAA"/>
    <w:rsid w:val="002B1AA3"/>
    <w:rsid w:val="002B2B39"/>
    <w:rsid w:val="002B32A7"/>
    <w:rsid w:val="002B34FC"/>
    <w:rsid w:val="002B35E4"/>
    <w:rsid w:val="002B428B"/>
    <w:rsid w:val="002B5C36"/>
    <w:rsid w:val="002B7FC0"/>
    <w:rsid w:val="002C0197"/>
    <w:rsid w:val="002C0666"/>
    <w:rsid w:val="002C1948"/>
    <w:rsid w:val="002C22AD"/>
    <w:rsid w:val="002C2474"/>
    <w:rsid w:val="002C3700"/>
    <w:rsid w:val="002C3BCF"/>
    <w:rsid w:val="002C3C37"/>
    <w:rsid w:val="002C40E5"/>
    <w:rsid w:val="002C42B6"/>
    <w:rsid w:val="002C57EA"/>
    <w:rsid w:val="002C6B39"/>
    <w:rsid w:val="002C7328"/>
    <w:rsid w:val="002C76A7"/>
    <w:rsid w:val="002D0A76"/>
    <w:rsid w:val="002D17ED"/>
    <w:rsid w:val="002D310A"/>
    <w:rsid w:val="002D41DA"/>
    <w:rsid w:val="002D4A28"/>
    <w:rsid w:val="002D4FBE"/>
    <w:rsid w:val="002D52B2"/>
    <w:rsid w:val="002D621F"/>
    <w:rsid w:val="002D6AC3"/>
    <w:rsid w:val="002D6E60"/>
    <w:rsid w:val="002D73E0"/>
    <w:rsid w:val="002E2770"/>
    <w:rsid w:val="002E2883"/>
    <w:rsid w:val="002E3216"/>
    <w:rsid w:val="002E35E4"/>
    <w:rsid w:val="002E37B1"/>
    <w:rsid w:val="002E475A"/>
    <w:rsid w:val="002E4A1E"/>
    <w:rsid w:val="002E50FA"/>
    <w:rsid w:val="002E585D"/>
    <w:rsid w:val="002E6DBD"/>
    <w:rsid w:val="002F1254"/>
    <w:rsid w:val="002F3F6F"/>
    <w:rsid w:val="002F4F91"/>
    <w:rsid w:val="002F60E6"/>
    <w:rsid w:val="002F60F9"/>
    <w:rsid w:val="00300B5A"/>
    <w:rsid w:val="003013E7"/>
    <w:rsid w:val="00301758"/>
    <w:rsid w:val="003023B9"/>
    <w:rsid w:val="00302668"/>
    <w:rsid w:val="00302B5A"/>
    <w:rsid w:val="00303B29"/>
    <w:rsid w:val="00303C82"/>
    <w:rsid w:val="00304D5B"/>
    <w:rsid w:val="00304D5C"/>
    <w:rsid w:val="00305BFD"/>
    <w:rsid w:val="00306295"/>
    <w:rsid w:val="00306E3E"/>
    <w:rsid w:val="00307FDC"/>
    <w:rsid w:val="00311D27"/>
    <w:rsid w:val="003128BD"/>
    <w:rsid w:val="00312E73"/>
    <w:rsid w:val="0031363B"/>
    <w:rsid w:val="003140F3"/>
    <w:rsid w:val="00314CA1"/>
    <w:rsid w:val="00316AFA"/>
    <w:rsid w:val="00317827"/>
    <w:rsid w:val="0031798E"/>
    <w:rsid w:val="00317C04"/>
    <w:rsid w:val="0032352A"/>
    <w:rsid w:val="00324E31"/>
    <w:rsid w:val="00325F02"/>
    <w:rsid w:val="00327A92"/>
    <w:rsid w:val="00330482"/>
    <w:rsid w:val="00330776"/>
    <w:rsid w:val="00332322"/>
    <w:rsid w:val="003325CD"/>
    <w:rsid w:val="00332CC8"/>
    <w:rsid w:val="003338BA"/>
    <w:rsid w:val="00333C8A"/>
    <w:rsid w:val="00335314"/>
    <w:rsid w:val="003360CA"/>
    <w:rsid w:val="00336831"/>
    <w:rsid w:val="00336DEE"/>
    <w:rsid w:val="00337B08"/>
    <w:rsid w:val="00337F86"/>
    <w:rsid w:val="00341B26"/>
    <w:rsid w:val="00342EB6"/>
    <w:rsid w:val="00343079"/>
    <w:rsid w:val="00343A75"/>
    <w:rsid w:val="00343FB3"/>
    <w:rsid w:val="003444E8"/>
    <w:rsid w:val="00345B90"/>
    <w:rsid w:val="003461F3"/>
    <w:rsid w:val="00346CD0"/>
    <w:rsid w:val="0035020A"/>
    <w:rsid w:val="003505E0"/>
    <w:rsid w:val="0035455A"/>
    <w:rsid w:val="00354F0B"/>
    <w:rsid w:val="00355E5A"/>
    <w:rsid w:val="0035626E"/>
    <w:rsid w:val="0036068C"/>
    <w:rsid w:val="0036082A"/>
    <w:rsid w:val="00360CB1"/>
    <w:rsid w:val="00360E79"/>
    <w:rsid w:val="00362321"/>
    <w:rsid w:val="0036233D"/>
    <w:rsid w:val="00362CFD"/>
    <w:rsid w:val="00364377"/>
    <w:rsid w:val="0036443F"/>
    <w:rsid w:val="00364BED"/>
    <w:rsid w:val="00365213"/>
    <w:rsid w:val="00365520"/>
    <w:rsid w:val="00366240"/>
    <w:rsid w:val="00366B5C"/>
    <w:rsid w:val="00367110"/>
    <w:rsid w:val="003674A9"/>
    <w:rsid w:val="003700A5"/>
    <w:rsid w:val="003704DE"/>
    <w:rsid w:val="00370889"/>
    <w:rsid w:val="00370A8D"/>
    <w:rsid w:val="00371A5E"/>
    <w:rsid w:val="00372362"/>
    <w:rsid w:val="00372985"/>
    <w:rsid w:val="003730C1"/>
    <w:rsid w:val="0037381F"/>
    <w:rsid w:val="00373F25"/>
    <w:rsid w:val="00374B2D"/>
    <w:rsid w:val="00375152"/>
    <w:rsid w:val="00375AF3"/>
    <w:rsid w:val="003766A1"/>
    <w:rsid w:val="00376F54"/>
    <w:rsid w:val="0038030C"/>
    <w:rsid w:val="00380530"/>
    <w:rsid w:val="00380805"/>
    <w:rsid w:val="00380EA9"/>
    <w:rsid w:val="003830F4"/>
    <w:rsid w:val="0038352B"/>
    <w:rsid w:val="00383736"/>
    <w:rsid w:val="00385FB7"/>
    <w:rsid w:val="00386E6C"/>
    <w:rsid w:val="00390015"/>
    <w:rsid w:val="0039012F"/>
    <w:rsid w:val="0039058D"/>
    <w:rsid w:val="00391109"/>
    <w:rsid w:val="0039130E"/>
    <w:rsid w:val="00391CAA"/>
    <w:rsid w:val="00392224"/>
    <w:rsid w:val="00392253"/>
    <w:rsid w:val="00392295"/>
    <w:rsid w:val="00394D2B"/>
    <w:rsid w:val="00394D69"/>
    <w:rsid w:val="00394DCA"/>
    <w:rsid w:val="00394DF3"/>
    <w:rsid w:val="00394F6C"/>
    <w:rsid w:val="003958EE"/>
    <w:rsid w:val="00395F8F"/>
    <w:rsid w:val="003A025E"/>
    <w:rsid w:val="003A04C2"/>
    <w:rsid w:val="003A04ED"/>
    <w:rsid w:val="003A0617"/>
    <w:rsid w:val="003A11BD"/>
    <w:rsid w:val="003A3234"/>
    <w:rsid w:val="003A348E"/>
    <w:rsid w:val="003A3F31"/>
    <w:rsid w:val="003A483F"/>
    <w:rsid w:val="003A5086"/>
    <w:rsid w:val="003A518E"/>
    <w:rsid w:val="003A5235"/>
    <w:rsid w:val="003A5C2B"/>
    <w:rsid w:val="003A5E77"/>
    <w:rsid w:val="003A6513"/>
    <w:rsid w:val="003A6522"/>
    <w:rsid w:val="003A662E"/>
    <w:rsid w:val="003A7BCD"/>
    <w:rsid w:val="003A7C42"/>
    <w:rsid w:val="003B006B"/>
    <w:rsid w:val="003B0559"/>
    <w:rsid w:val="003B0BCE"/>
    <w:rsid w:val="003B11D9"/>
    <w:rsid w:val="003B1486"/>
    <w:rsid w:val="003B3874"/>
    <w:rsid w:val="003B3D1B"/>
    <w:rsid w:val="003B4FC5"/>
    <w:rsid w:val="003B51B2"/>
    <w:rsid w:val="003B58AE"/>
    <w:rsid w:val="003B606E"/>
    <w:rsid w:val="003B62A1"/>
    <w:rsid w:val="003B6590"/>
    <w:rsid w:val="003B734A"/>
    <w:rsid w:val="003B7B13"/>
    <w:rsid w:val="003B7C67"/>
    <w:rsid w:val="003B7CCB"/>
    <w:rsid w:val="003C05A4"/>
    <w:rsid w:val="003C34FA"/>
    <w:rsid w:val="003C3824"/>
    <w:rsid w:val="003C3E46"/>
    <w:rsid w:val="003C4F41"/>
    <w:rsid w:val="003C51FC"/>
    <w:rsid w:val="003C6162"/>
    <w:rsid w:val="003C77F8"/>
    <w:rsid w:val="003D0179"/>
    <w:rsid w:val="003D0A8C"/>
    <w:rsid w:val="003D2B59"/>
    <w:rsid w:val="003D2F00"/>
    <w:rsid w:val="003D3945"/>
    <w:rsid w:val="003D3A9A"/>
    <w:rsid w:val="003D4B14"/>
    <w:rsid w:val="003D6A6C"/>
    <w:rsid w:val="003D74F4"/>
    <w:rsid w:val="003D78F2"/>
    <w:rsid w:val="003D7C59"/>
    <w:rsid w:val="003E0DCA"/>
    <w:rsid w:val="003E17B6"/>
    <w:rsid w:val="003E2396"/>
    <w:rsid w:val="003E2F8F"/>
    <w:rsid w:val="003E3F17"/>
    <w:rsid w:val="003E3F49"/>
    <w:rsid w:val="003E59A5"/>
    <w:rsid w:val="003E5D68"/>
    <w:rsid w:val="003E61BE"/>
    <w:rsid w:val="003E63C6"/>
    <w:rsid w:val="003E6B13"/>
    <w:rsid w:val="003E75F3"/>
    <w:rsid w:val="003E7A44"/>
    <w:rsid w:val="003F0521"/>
    <w:rsid w:val="003F0539"/>
    <w:rsid w:val="003F1683"/>
    <w:rsid w:val="003F1F7D"/>
    <w:rsid w:val="003F20EA"/>
    <w:rsid w:val="003F256E"/>
    <w:rsid w:val="003F2675"/>
    <w:rsid w:val="003F2D51"/>
    <w:rsid w:val="003F2F07"/>
    <w:rsid w:val="003F31E6"/>
    <w:rsid w:val="003F6165"/>
    <w:rsid w:val="003F6E5D"/>
    <w:rsid w:val="00400802"/>
    <w:rsid w:val="00400C54"/>
    <w:rsid w:val="00400CA5"/>
    <w:rsid w:val="00400EAE"/>
    <w:rsid w:val="00402399"/>
    <w:rsid w:val="00403089"/>
    <w:rsid w:val="00404B07"/>
    <w:rsid w:val="004062F2"/>
    <w:rsid w:val="004067C9"/>
    <w:rsid w:val="004069F9"/>
    <w:rsid w:val="0040712D"/>
    <w:rsid w:val="004071C1"/>
    <w:rsid w:val="0041009E"/>
    <w:rsid w:val="00410BD3"/>
    <w:rsid w:val="004110AC"/>
    <w:rsid w:val="00411F2F"/>
    <w:rsid w:val="00415B1E"/>
    <w:rsid w:val="00415C74"/>
    <w:rsid w:val="00415D98"/>
    <w:rsid w:val="0041788B"/>
    <w:rsid w:val="00420F91"/>
    <w:rsid w:val="0042153B"/>
    <w:rsid w:val="00421862"/>
    <w:rsid w:val="00421893"/>
    <w:rsid w:val="00423323"/>
    <w:rsid w:val="00423426"/>
    <w:rsid w:val="00423BB7"/>
    <w:rsid w:val="00423ED3"/>
    <w:rsid w:val="004247A4"/>
    <w:rsid w:val="00424829"/>
    <w:rsid w:val="004253CD"/>
    <w:rsid w:val="00426857"/>
    <w:rsid w:val="004277B8"/>
    <w:rsid w:val="0043053B"/>
    <w:rsid w:val="004315A4"/>
    <w:rsid w:val="004327B4"/>
    <w:rsid w:val="0043280B"/>
    <w:rsid w:val="00433156"/>
    <w:rsid w:val="004332EF"/>
    <w:rsid w:val="00433841"/>
    <w:rsid w:val="00433904"/>
    <w:rsid w:val="0043398A"/>
    <w:rsid w:val="00433F2C"/>
    <w:rsid w:val="00434D00"/>
    <w:rsid w:val="00437762"/>
    <w:rsid w:val="00442D0B"/>
    <w:rsid w:val="00443004"/>
    <w:rsid w:val="00444406"/>
    <w:rsid w:val="00446C2C"/>
    <w:rsid w:val="00446DBB"/>
    <w:rsid w:val="00447122"/>
    <w:rsid w:val="00447567"/>
    <w:rsid w:val="00447D14"/>
    <w:rsid w:val="00447EB9"/>
    <w:rsid w:val="004501F9"/>
    <w:rsid w:val="00450A84"/>
    <w:rsid w:val="00450DDB"/>
    <w:rsid w:val="00452187"/>
    <w:rsid w:val="004528AC"/>
    <w:rsid w:val="004546C1"/>
    <w:rsid w:val="00454940"/>
    <w:rsid w:val="00455B47"/>
    <w:rsid w:val="00456A90"/>
    <w:rsid w:val="00456CB5"/>
    <w:rsid w:val="00457F95"/>
    <w:rsid w:val="00461D42"/>
    <w:rsid w:val="00461DDC"/>
    <w:rsid w:val="00461FFF"/>
    <w:rsid w:val="0046201A"/>
    <w:rsid w:val="00462513"/>
    <w:rsid w:val="004625AD"/>
    <w:rsid w:val="00466A96"/>
    <w:rsid w:val="004679D3"/>
    <w:rsid w:val="00472485"/>
    <w:rsid w:val="00472B3A"/>
    <w:rsid w:val="00472B3B"/>
    <w:rsid w:val="00472B65"/>
    <w:rsid w:val="004736E7"/>
    <w:rsid w:val="00473A37"/>
    <w:rsid w:val="004740E5"/>
    <w:rsid w:val="004750E8"/>
    <w:rsid w:val="0047580B"/>
    <w:rsid w:val="00475DD9"/>
    <w:rsid w:val="004763D8"/>
    <w:rsid w:val="004766E1"/>
    <w:rsid w:val="004766E3"/>
    <w:rsid w:val="00476F98"/>
    <w:rsid w:val="0048073D"/>
    <w:rsid w:val="004816F6"/>
    <w:rsid w:val="00481DF3"/>
    <w:rsid w:val="00482506"/>
    <w:rsid w:val="004827E2"/>
    <w:rsid w:val="00482AD8"/>
    <w:rsid w:val="0048393D"/>
    <w:rsid w:val="00483AC3"/>
    <w:rsid w:val="00484A84"/>
    <w:rsid w:val="00485B78"/>
    <w:rsid w:val="00485F8E"/>
    <w:rsid w:val="004864AA"/>
    <w:rsid w:val="00486C46"/>
    <w:rsid w:val="00487486"/>
    <w:rsid w:val="00490C5A"/>
    <w:rsid w:val="00490F2A"/>
    <w:rsid w:val="0049197F"/>
    <w:rsid w:val="004926E7"/>
    <w:rsid w:val="00492843"/>
    <w:rsid w:val="00492856"/>
    <w:rsid w:val="00492B21"/>
    <w:rsid w:val="00492BC5"/>
    <w:rsid w:val="0049372D"/>
    <w:rsid w:val="004954D0"/>
    <w:rsid w:val="00495C22"/>
    <w:rsid w:val="00495C6F"/>
    <w:rsid w:val="00495C76"/>
    <w:rsid w:val="00495CF0"/>
    <w:rsid w:val="00496F68"/>
    <w:rsid w:val="00496FA7"/>
    <w:rsid w:val="0049745E"/>
    <w:rsid w:val="004A1116"/>
    <w:rsid w:val="004A1597"/>
    <w:rsid w:val="004A30C3"/>
    <w:rsid w:val="004A489A"/>
    <w:rsid w:val="004A492E"/>
    <w:rsid w:val="004A58D4"/>
    <w:rsid w:val="004A5901"/>
    <w:rsid w:val="004A6312"/>
    <w:rsid w:val="004A718F"/>
    <w:rsid w:val="004B1009"/>
    <w:rsid w:val="004B1D9F"/>
    <w:rsid w:val="004B26AD"/>
    <w:rsid w:val="004B7747"/>
    <w:rsid w:val="004C0B74"/>
    <w:rsid w:val="004C0BCF"/>
    <w:rsid w:val="004C10A6"/>
    <w:rsid w:val="004C1F5A"/>
    <w:rsid w:val="004C28AF"/>
    <w:rsid w:val="004C293B"/>
    <w:rsid w:val="004C2D49"/>
    <w:rsid w:val="004C3157"/>
    <w:rsid w:val="004C33FC"/>
    <w:rsid w:val="004C365A"/>
    <w:rsid w:val="004C444A"/>
    <w:rsid w:val="004C4AE8"/>
    <w:rsid w:val="004C5690"/>
    <w:rsid w:val="004C60F7"/>
    <w:rsid w:val="004C6C6F"/>
    <w:rsid w:val="004C7873"/>
    <w:rsid w:val="004D048A"/>
    <w:rsid w:val="004D0590"/>
    <w:rsid w:val="004D09B5"/>
    <w:rsid w:val="004D180F"/>
    <w:rsid w:val="004D1A98"/>
    <w:rsid w:val="004D1FBE"/>
    <w:rsid w:val="004D2A0E"/>
    <w:rsid w:val="004D548F"/>
    <w:rsid w:val="004D5C9E"/>
    <w:rsid w:val="004D6DBF"/>
    <w:rsid w:val="004E0F14"/>
    <w:rsid w:val="004E1F1B"/>
    <w:rsid w:val="004E254F"/>
    <w:rsid w:val="004E2B08"/>
    <w:rsid w:val="004E2EAC"/>
    <w:rsid w:val="004E481E"/>
    <w:rsid w:val="004E6DAC"/>
    <w:rsid w:val="004E79F3"/>
    <w:rsid w:val="004F05EC"/>
    <w:rsid w:val="004F1520"/>
    <w:rsid w:val="004F1C90"/>
    <w:rsid w:val="004F2931"/>
    <w:rsid w:val="004F3DE5"/>
    <w:rsid w:val="004F4C09"/>
    <w:rsid w:val="004F4D22"/>
    <w:rsid w:val="004F4DD0"/>
    <w:rsid w:val="00500895"/>
    <w:rsid w:val="00500AD1"/>
    <w:rsid w:val="0050188C"/>
    <w:rsid w:val="00501D68"/>
    <w:rsid w:val="00502391"/>
    <w:rsid w:val="00503156"/>
    <w:rsid w:val="0050346C"/>
    <w:rsid w:val="00506C30"/>
    <w:rsid w:val="00507989"/>
    <w:rsid w:val="00510214"/>
    <w:rsid w:val="00510C93"/>
    <w:rsid w:val="0051133F"/>
    <w:rsid w:val="00511D0C"/>
    <w:rsid w:val="00512459"/>
    <w:rsid w:val="00514754"/>
    <w:rsid w:val="0051550C"/>
    <w:rsid w:val="005155C9"/>
    <w:rsid w:val="00517749"/>
    <w:rsid w:val="005177DE"/>
    <w:rsid w:val="00517828"/>
    <w:rsid w:val="00517BE4"/>
    <w:rsid w:val="00520EF5"/>
    <w:rsid w:val="005213C8"/>
    <w:rsid w:val="00521D84"/>
    <w:rsid w:val="005224FF"/>
    <w:rsid w:val="00522B24"/>
    <w:rsid w:val="00522F26"/>
    <w:rsid w:val="00522F85"/>
    <w:rsid w:val="00522FAE"/>
    <w:rsid w:val="00522FEB"/>
    <w:rsid w:val="0052428C"/>
    <w:rsid w:val="00525075"/>
    <w:rsid w:val="00525983"/>
    <w:rsid w:val="00525C27"/>
    <w:rsid w:val="00525DFC"/>
    <w:rsid w:val="00525EB1"/>
    <w:rsid w:val="00527013"/>
    <w:rsid w:val="0052721E"/>
    <w:rsid w:val="00527A6D"/>
    <w:rsid w:val="00527D40"/>
    <w:rsid w:val="00532003"/>
    <w:rsid w:val="005327C2"/>
    <w:rsid w:val="00532EEC"/>
    <w:rsid w:val="00533108"/>
    <w:rsid w:val="00533517"/>
    <w:rsid w:val="00533AEF"/>
    <w:rsid w:val="005351B4"/>
    <w:rsid w:val="00535E74"/>
    <w:rsid w:val="005360CF"/>
    <w:rsid w:val="0053632E"/>
    <w:rsid w:val="00536361"/>
    <w:rsid w:val="00537DAE"/>
    <w:rsid w:val="0054000D"/>
    <w:rsid w:val="00541F45"/>
    <w:rsid w:val="0054255F"/>
    <w:rsid w:val="0054344A"/>
    <w:rsid w:val="00543781"/>
    <w:rsid w:val="00543B62"/>
    <w:rsid w:val="005445FF"/>
    <w:rsid w:val="00544EA2"/>
    <w:rsid w:val="005450A9"/>
    <w:rsid w:val="00545149"/>
    <w:rsid w:val="00546BE2"/>
    <w:rsid w:val="00546EE6"/>
    <w:rsid w:val="0055067A"/>
    <w:rsid w:val="00551B3D"/>
    <w:rsid w:val="00551EC0"/>
    <w:rsid w:val="00552807"/>
    <w:rsid w:val="00552CB5"/>
    <w:rsid w:val="005537CE"/>
    <w:rsid w:val="005539AB"/>
    <w:rsid w:val="00555DE2"/>
    <w:rsid w:val="005578A0"/>
    <w:rsid w:val="00562A02"/>
    <w:rsid w:val="00562BCF"/>
    <w:rsid w:val="005634DF"/>
    <w:rsid w:val="0056455C"/>
    <w:rsid w:val="0056693D"/>
    <w:rsid w:val="00566FFD"/>
    <w:rsid w:val="00567329"/>
    <w:rsid w:val="005704C9"/>
    <w:rsid w:val="005714DC"/>
    <w:rsid w:val="00571BEA"/>
    <w:rsid w:val="00572A45"/>
    <w:rsid w:val="00573F49"/>
    <w:rsid w:val="0057492D"/>
    <w:rsid w:val="00575D7E"/>
    <w:rsid w:val="005767C4"/>
    <w:rsid w:val="00576FE8"/>
    <w:rsid w:val="00580197"/>
    <w:rsid w:val="005804A3"/>
    <w:rsid w:val="005808E9"/>
    <w:rsid w:val="00580C4D"/>
    <w:rsid w:val="00580D19"/>
    <w:rsid w:val="00580F74"/>
    <w:rsid w:val="00582E1D"/>
    <w:rsid w:val="00583035"/>
    <w:rsid w:val="005839A0"/>
    <w:rsid w:val="00583C7D"/>
    <w:rsid w:val="00584DA6"/>
    <w:rsid w:val="00585E58"/>
    <w:rsid w:val="00586053"/>
    <w:rsid w:val="00586264"/>
    <w:rsid w:val="005867F1"/>
    <w:rsid w:val="005876CB"/>
    <w:rsid w:val="00591E8C"/>
    <w:rsid w:val="005932A5"/>
    <w:rsid w:val="00595237"/>
    <w:rsid w:val="00595C92"/>
    <w:rsid w:val="00597E88"/>
    <w:rsid w:val="005A1C6E"/>
    <w:rsid w:val="005A2CC2"/>
    <w:rsid w:val="005A4FB7"/>
    <w:rsid w:val="005A5210"/>
    <w:rsid w:val="005A5282"/>
    <w:rsid w:val="005A531A"/>
    <w:rsid w:val="005A5541"/>
    <w:rsid w:val="005B013A"/>
    <w:rsid w:val="005B028C"/>
    <w:rsid w:val="005B03F4"/>
    <w:rsid w:val="005B1528"/>
    <w:rsid w:val="005B25F8"/>
    <w:rsid w:val="005B268E"/>
    <w:rsid w:val="005B44E1"/>
    <w:rsid w:val="005B461F"/>
    <w:rsid w:val="005B494A"/>
    <w:rsid w:val="005B4DC2"/>
    <w:rsid w:val="005B5418"/>
    <w:rsid w:val="005B71D7"/>
    <w:rsid w:val="005C05D1"/>
    <w:rsid w:val="005C06A7"/>
    <w:rsid w:val="005C0937"/>
    <w:rsid w:val="005C1740"/>
    <w:rsid w:val="005C18EF"/>
    <w:rsid w:val="005C3B76"/>
    <w:rsid w:val="005C3EF9"/>
    <w:rsid w:val="005C4B27"/>
    <w:rsid w:val="005C5086"/>
    <w:rsid w:val="005C6AB5"/>
    <w:rsid w:val="005C6E55"/>
    <w:rsid w:val="005D0467"/>
    <w:rsid w:val="005D04A0"/>
    <w:rsid w:val="005D0C4D"/>
    <w:rsid w:val="005D29FA"/>
    <w:rsid w:val="005D2BC7"/>
    <w:rsid w:val="005D2F92"/>
    <w:rsid w:val="005D31E6"/>
    <w:rsid w:val="005D50F3"/>
    <w:rsid w:val="005D604C"/>
    <w:rsid w:val="005D63FB"/>
    <w:rsid w:val="005D6A11"/>
    <w:rsid w:val="005D78AA"/>
    <w:rsid w:val="005D7B6B"/>
    <w:rsid w:val="005E0F56"/>
    <w:rsid w:val="005E2B4E"/>
    <w:rsid w:val="005E2E2F"/>
    <w:rsid w:val="005E34FB"/>
    <w:rsid w:val="005E3AAF"/>
    <w:rsid w:val="005E4204"/>
    <w:rsid w:val="005E7ADA"/>
    <w:rsid w:val="005E7E1B"/>
    <w:rsid w:val="005F14D0"/>
    <w:rsid w:val="005F21C6"/>
    <w:rsid w:val="005F77A7"/>
    <w:rsid w:val="005F7CF2"/>
    <w:rsid w:val="006014ED"/>
    <w:rsid w:val="00603B14"/>
    <w:rsid w:val="00603EF9"/>
    <w:rsid w:val="00603F2A"/>
    <w:rsid w:val="00604281"/>
    <w:rsid w:val="00606296"/>
    <w:rsid w:val="00606BE1"/>
    <w:rsid w:val="006075C5"/>
    <w:rsid w:val="00611629"/>
    <w:rsid w:val="00612B38"/>
    <w:rsid w:val="00613ACA"/>
    <w:rsid w:val="00613EB9"/>
    <w:rsid w:val="006144EF"/>
    <w:rsid w:val="00614D49"/>
    <w:rsid w:val="00617F22"/>
    <w:rsid w:val="006204FE"/>
    <w:rsid w:val="006205A8"/>
    <w:rsid w:val="006205B0"/>
    <w:rsid w:val="00620FF1"/>
    <w:rsid w:val="006226A6"/>
    <w:rsid w:val="00622741"/>
    <w:rsid w:val="00624551"/>
    <w:rsid w:val="00624F5A"/>
    <w:rsid w:val="00625010"/>
    <w:rsid w:val="006267EF"/>
    <w:rsid w:val="00626F59"/>
    <w:rsid w:val="00627076"/>
    <w:rsid w:val="0062719C"/>
    <w:rsid w:val="0062777D"/>
    <w:rsid w:val="00627AF4"/>
    <w:rsid w:val="0063053C"/>
    <w:rsid w:val="00630972"/>
    <w:rsid w:val="00630D13"/>
    <w:rsid w:val="00631D4A"/>
    <w:rsid w:val="00632D2D"/>
    <w:rsid w:val="00642328"/>
    <w:rsid w:val="00642947"/>
    <w:rsid w:val="006429A9"/>
    <w:rsid w:val="006435D4"/>
    <w:rsid w:val="0064374B"/>
    <w:rsid w:val="00644525"/>
    <w:rsid w:val="006447CF"/>
    <w:rsid w:val="006451F6"/>
    <w:rsid w:val="00645CD0"/>
    <w:rsid w:val="00645DA6"/>
    <w:rsid w:val="00646079"/>
    <w:rsid w:val="00647785"/>
    <w:rsid w:val="00647DA1"/>
    <w:rsid w:val="0065369D"/>
    <w:rsid w:val="00653FC2"/>
    <w:rsid w:val="006541DA"/>
    <w:rsid w:val="006554CD"/>
    <w:rsid w:val="00655902"/>
    <w:rsid w:val="00657B03"/>
    <w:rsid w:val="00662780"/>
    <w:rsid w:val="006641BF"/>
    <w:rsid w:val="006647B8"/>
    <w:rsid w:val="00664A40"/>
    <w:rsid w:val="00664B57"/>
    <w:rsid w:val="00664EE0"/>
    <w:rsid w:val="0066500D"/>
    <w:rsid w:val="00665430"/>
    <w:rsid w:val="00665BC6"/>
    <w:rsid w:val="006666BB"/>
    <w:rsid w:val="00666716"/>
    <w:rsid w:val="00666BF6"/>
    <w:rsid w:val="00667A62"/>
    <w:rsid w:val="00670412"/>
    <w:rsid w:val="006705E2"/>
    <w:rsid w:val="00670F41"/>
    <w:rsid w:val="00671429"/>
    <w:rsid w:val="00671BE8"/>
    <w:rsid w:val="006721A5"/>
    <w:rsid w:val="006726F0"/>
    <w:rsid w:val="00672C57"/>
    <w:rsid w:val="00675DC2"/>
    <w:rsid w:val="00676B66"/>
    <w:rsid w:val="00677138"/>
    <w:rsid w:val="006773C5"/>
    <w:rsid w:val="00677A17"/>
    <w:rsid w:val="00680AE8"/>
    <w:rsid w:val="006813D0"/>
    <w:rsid w:val="00681741"/>
    <w:rsid w:val="00682719"/>
    <w:rsid w:val="00683A70"/>
    <w:rsid w:val="00684F0B"/>
    <w:rsid w:val="006854DB"/>
    <w:rsid w:val="00685713"/>
    <w:rsid w:val="00685AB3"/>
    <w:rsid w:val="006867B3"/>
    <w:rsid w:val="00687FA1"/>
    <w:rsid w:val="00690408"/>
    <w:rsid w:val="00691099"/>
    <w:rsid w:val="0069144C"/>
    <w:rsid w:val="00692835"/>
    <w:rsid w:val="00693BDA"/>
    <w:rsid w:val="00694C48"/>
    <w:rsid w:val="00695241"/>
    <w:rsid w:val="006954F2"/>
    <w:rsid w:val="00695929"/>
    <w:rsid w:val="00696324"/>
    <w:rsid w:val="0069654E"/>
    <w:rsid w:val="00696DA6"/>
    <w:rsid w:val="0069732E"/>
    <w:rsid w:val="00697D2E"/>
    <w:rsid w:val="006A0442"/>
    <w:rsid w:val="006A22E6"/>
    <w:rsid w:val="006A2577"/>
    <w:rsid w:val="006A37ED"/>
    <w:rsid w:val="006A41CB"/>
    <w:rsid w:val="006A546E"/>
    <w:rsid w:val="006A5E38"/>
    <w:rsid w:val="006A6016"/>
    <w:rsid w:val="006A71FA"/>
    <w:rsid w:val="006A7239"/>
    <w:rsid w:val="006A7358"/>
    <w:rsid w:val="006B0953"/>
    <w:rsid w:val="006B3238"/>
    <w:rsid w:val="006B3976"/>
    <w:rsid w:val="006B4E2C"/>
    <w:rsid w:val="006B5656"/>
    <w:rsid w:val="006B56B7"/>
    <w:rsid w:val="006B5829"/>
    <w:rsid w:val="006B61AE"/>
    <w:rsid w:val="006B64F9"/>
    <w:rsid w:val="006B6A9E"/>
    <w:rsid w:val="006C05FD"/>
    <w:rsid w:val="006C09AE"/>
    <w:rsid w:val="006C15D6"/>
    <w:rsid w:val="006C28E7"/>
    <w:rsid w:val="006C3666"/>
    <w:rsid w:val="006C3793"/>
    <w:rsid w:val="006C4236"/>
    <w:rsid w:val="006C4B2E"/>
    <w:rsid w:val="006C4E86"/>
    <w:rsid w:val="006C5311"/>
    <w:rsid w:val="006C5F31"/>
    <w:rsid w:val="006C66AE"/>
    <w:rsid w:val="006C7A44"/>
    <w:rsid w:val="006D1EDD"/>
    <w:rsid w:val="006D2E43"/>
    <w:rsid w:val="006D2EF8"/>
    <w:rsid w:val="006D4072"/>
    <w:rsid w:val="006D52EF"/>
    <w:rsid w:val="006D5365"/>
    <w:rsid w:val="006D53C3"/>
    <w:rsid w:val="006D5995"/>
    <w:rsid w:val="006D6514"/>
    <w:rsid w:val="006D66FE"/>
    <w:rsid w:val="006E1601"/>
    <w:rsid w:val="006E1A9F"/>
    <w:rsid w:val="006E22C1"/>
    <w:rsid w:val="006E22F6"/>
    <w:rsid w:val="006E35B9"/>
    <w:rsid w:val="006E4754"/>
    <w:rsid w:val="006E5A08"/>
    <w:rsid w:val="006F0893"/>
    <w:rsid w:val="006F20AF"/>
    <w:rsid w:val="006F2279"/>
    <w:rsid w:val="006F2AA3"/>
    <w:rsid w:val="006F2F33"/>
    <w:rsid w:val="006F4485"/>
    <w:rsid w:val="006F474E"/>
    <w:rsid w:val="006F5223"/>
    <w:rsid w:val="006F6614"/>
    <w:rsid w:val="006F72D9"/>
    <w:rsid w:val="007000E9"/>
    <w:rsid w:val="007003DE"/>
    <w:rsid w:val="007004D1"/>
    <w:rsid w:val="007014D6"/>
    <w:rsid w:val="00702019"/>
    <w:rsid w:val="007025F2"/>
    <w:rsid w:val="007027EE"/>
    <w:rsid w:val="00703B8E"/>
    <w:rsid w:val="0070460B"/>
    <w:rsid w:val="00704664"/>
    <w:rsid w:val="0070498D"/>
    <w:rsid w:val="00704CE8"/>
    <w:rsid w:val="00704E24"/>
    <w:rsid w:val="00705D67"/>
    <w:rsid w:val="0070676B"/>
    <w:rsid w:val="0070750A"/>
    <w:rsid w:val="00707E87"/>
    <w:rsid w:val="007111C6"/>
    <w:rsid w:val="007116E7"/>
    <w:rsid w:val="00711ED4"/>
    <w:rsid w:val="007130B0"/>
    <w:rsid w:val="00713FFF"/>
    <w:rsid w:val="00715D2F"/>
    <w:rsid w:val="00715F4D"/>
    <w:rsid w:val="00716265"/>
    <w:rsid w:val="00716C37"/>
    <w:rsid w:val="00717C85"/>
    <w:rsid w:val="00717F43"/>
    <w:rsid w:val="00717FCB"/>
    <w:rsid w:val="00720131"/>
    <w:rsid w:val="007217E2"/>
    <w:rsid w:val="00721F99"/>
    <w:rsid w:val="007224F1"/>
    <w:rsid w:val="007227AB"/>
    <w:rsid w:val="0072322F"/>
    <w:rsid w:val="007235BB"/>
    <w:rsid w:val="007240EB"/>
    <w:rsid w:val="00725A43"/>
    <w:rsid w:val="0072639E"/>
    <w:rsid w:val="00726965"/>
    <w:rsid w:val="00726BB1"/>
    <w:rsid w:val="0073137D"/>
    <w:rsid w:val="00733362"/>
    <w:rsid w:val="007338EA"/>
    <w:rsid w:val="00733F5D"/>
    <w:rsid w:val="0073449B"/>
    <w:rsid w:val="0073593B"/>
    <w:rsid w:val="00735EF2"/>
    <w:rsid w:val="0073744E"/>
    <w:rsid w:val="00737AD8"/>
    <w:rsid w:val="00737E2D"/>
    <w:rsid w:val="00740866"/>
    <w:rsid w:val="0074102D"/>
    <w:rsid w:val="007417C9"/>
    <w:rsid w:val="00741C23"/>
    <w:rsid w:val="00742228"/>
    <w:rsid w:val="0074337B"/>
    <w:rsid w:val="00745E0C"/>
    <w:rsid w:val="0074651D"/>
    <w:rsid w:val="00746D9F"/>
    <w:rsid w:val="00747059"/>
    <w:rsid w:val="00747A36"/>
    <w:rsid w:val="00750A0B"/>
    <w:rsid w:val="00750C45"/>
    <w:rsid w:val="00751A98"/>
    <w:rsid w:val="007522E3"/>
    <w:rsid w:val="00753224"/>
    <w:rsid w:val="0075360A"/>
    <w:rsid w:val="00753775"/>
    <w:rsid w:val="00753E6F"/>
    <w:rsid w:val="00754246"/>
    <w:rsid w:val="00754837"/>
    <w:rsid w:val="00756129"/>
    <w:rsid w:val="00756760"/>
    <w:rsid w:val="0075695A"/>
    <w:rsid w:val="00757075"/>
    <w:rsid w:val="007577EB"/>
    <w:rsid w:val="0076086D"/>
    <w:rsid w:val="00760880"/>
    <w:rsid w:val="00760F01"/>
    <w:rsid w:val="00761B31"/>
    <w:rsid w:val="00761E28"/>
    <w:rsid w:val="00762942"/>
    <w:rsid w:val="00763D9A"/>
    <w:rsid w:val="00764359"/>
    <w:rsid w:val="00765023"/>
    <w:rsid w:val="0076604B"/>
    <w:rsid w:val="007664BF"/>
    <w:rsid w:val="00766E86"/>
    <w:rsid w:val="00767C98"/>
    <w:rsid w:val="00770026"/>
    <w:rsid w:val="007704CE"/>
    <w:rsid w:val="0077106C"/>
    <w:rsid w:val="007710A2"/>
    <w:rsid w:val="00771398"/>
    <w:rsid w:val="0077198B"/>
    <w:rsid w:val="007722F5"/>
    <w:rsid w:val="0077297B"/>
    <w:rsid w:val="00774829"/>
    <w:rsid w:val="007748C6"/>
    <w:rsid w:val="0077490C"/>
    <w:rsid w:val="0077507C"/>
    <w:rsid w:val="00775226"/>
    <w:rsid w:val="00777A8A"/>
    <w:rsid w:val="007803A9"/>
    <w:rsid w:val="007808AB"/>
    <w:rsid w:val="007809D5"/>
    <w:rsid w:val="00780FE3"/>
    <w:rsid w:val="007816FB"/>
    <w:rsid w:val="00781C1A"/>
    <w:rsid w:val="00781D07"/>
    <w:rsid w:val="00782E7A"/>
    <w:rsid w:val="00782E88"/>
    <w:rsid w:val="007837FC"/>
    <w:rsid w:val="00784138"/>
    <w:rsid w:val="007841E1"/>
    <w:rsid w:val="007841E8"/>
    <w:rsid w:val="00784845"/>
    <w:rsid w:val="007874F8"/>
    <w:rsid w:val="00787531"/>
    <w:rsid w:val="007906FC"/>
    <w:rsid w:val="00790743"/>
    <w:rsid w:val="00790E40"/>
    <w:rsid w:val="00791C6F"/>
    <w:rsid w:val="00792C2C"/>
    <w:rsid w:val="007948CB"/>
    <w:rsid w:val="00794C37"/>
    <w:rsid w:val="00794DCB"/>
    <w:rsid w:val="007953AD"/>
    <w:rsid w:val="00795503"/>
    <w:rsid w:val="00795968"/>
    <w:rsid w:val="00795FD3"/>
    <w:rsid w:val="00797FCF"/>
    <w:rsid w:val="007A0472"/>
    <w:rsid w:val="007A0A0C"/>
    <w:rsid w:val="007A0F49"/>
    <w:rsid w:val="007A1041"/>
    <w:rsid w:val="007A1671"/>
    <w:rsid w:val="007A2038"/>
    <w:rsid w:val="007A3B85"/>
    <w:rsid w:val="007A4484"/>
    <w:rsid w:val="007A521A"/>
    <w:rsid w:val="007A5A79"/>
    <w:rsid w:val="007A5F04"/>
    <w:rsid w:val="007A604F"/>
    <w:rsid w:val="007A7569"/>
    <w:rsid w:val="007B042C"/>
    <w:rsid w:val="007B0EB2"/>
    <w:rsid w:val="007B1235"/>
    <w:rsid w:val="007B2C2B"/>
    <w:rsid w:val="007B2E90"/>
    <w:rsid w:val="007B4549"/>
    <w:rsid w:val="007B4628"/>
    <w:rsid w:val="007B4735"/>
    <w:rsid w:val="007B5328"/>
    <w:rsid w:val="007B5A42"/>
    <w:rsid w:val="007B5DB4"/>
    <w:rsid w:val="007B6AED"/>
    <w:rsid w:val="007B73F7"/>
    <w:rsid w:val="007C025A"/>
    <w:rsid w:val="007C20DB"/>
    <w:rsid w:val="007C42DE"/>
    <w:rsid w:val="007C4A07"/>
    <w:rsid w:val="007C5D60"/>
    <w:rsid w:val="007C7612"/>
    <w:rsid w:val="007D0529"/>
    <w:rsid w:val="007D0DFB"/>
    <w:rsid w:val="007D11F8"/>
    <w:rsid w:val="007D171E"/>
    <w:rsid w:val="007D2181"/>
    <w:rsid w:val="007D30B0"/>
    <w:rsid w:val="007D475C"/>
    <w:rsid w:val="007D5554"/>
    <w:rsid w:val="007D5A92"/>
    <w:rsid w:val="007D7CB5"/>
    <w:rsid w:val="007E028C"/>
    <w:rsid w:val="007E1868"/>
    <w:rsid w:val="007E4D1C"/>
    <w:rsid w:val="007E536D"/>
    <w:rsid w:val="007E53DF"/>
    <w:rsid w:val="007E54DA"/>
    <w:rsid w:val="007E5606"/>
    <w:rsid w:val="007E724B"/>
    <w:rsid w:val="007E7A5F"/>
    <w:rsid w:val="007F051B"/>
    <w:rsid w:val="007F0CAA"/>
    <w:rsid w:val="007F211F"/>
    <w:rsid w:val="007F26EA"/>
    <w:rsid w:val="007F2DCC"/>
    <w:rsid w:val="007F31CA"/>
    <w:rsid w:val="007F349F"/>
    <w:rsid w:val="007F424A"/>
    <w:rsid w:val="007F4498"/>
    <w:rsid w:val="007F4C94"/>
    <w:rsid w:val="007F5987"/>
    <w:rsid w:val="007F713D"/>
    <w:rsid w:val="008001AE"/>
    <w:rsid w:val="008006A1"/>
    <w:rsid w:val="00800955"/>
    <w:rsid w:val="00801315"/>
    <w:rsid w:val="008014B1"/>
    <w:rsid w:val="0080171D"/>
    <w:rsid w:val="00801A4F"/>
    <w:rsid w:val="00803DC8"/>
    <w:rsid w:val="008048F0"/>
    <w:rsid w:val="00804AA2"/>
    <w:rsid w:val="0080725C"/>
    <w:rsid w:val="008103C3"/>
    <w:rsid w:val="00811128"/>
    <w:rsid w:val="008125A7"/>
    <w:rsid w:val="008127E7"/>
    <w:rsid w:val="008138D2"/>
    <w:rsid w:val="008166AC"/>
    <w:rsid w:val="00816883"/>
    <w:rsid w:val="0082154C"/>
    <w:rsid w:val="00821581"/>
    <w:rsid w:val="008233CB"/>
    <w:rsid w:val="00823DF2"/>
    <w:rsid w:val="008249AF"/>
    <w:rsid w:val="00824D8A"/>
    <w:rsid w:val="00825106"/>
    <w:rsid w:val="0082598B"/>
    <w:rsid w:val="0082628D"/>
    <w:rsid w:val="008319A8"/>
    <w:rsid w:val="00831E3F"/>
    <w:rsid w:val="00832EFD"/>
    <w:rsid w:val="0083354F"/>
    <w:rsid w:val="00833766"/>
    <w:rsid w:val="00834270"/>
    <w:rsid w:val="00834D0A"/>
    <w:rsid w:val="00836188"/>
    <w:rsid w:val="0083643B"/>
    <w:rsid w:val="00836CB1"/>
    <w:rsid w:val="00840E81"/>
    <w:rsid w:val="00841C50"/>
    <w:rsid w:val="00841D30"/>
    <w:rsid w:val="00841DAF"/>
    <w:rsid w:val="0084290D"/>
    <w:rsid w:val="00842AC1"/>
    <w:rsid w:val="00842CB8"/>
    <w:rsid w:val="008455E1"/>
    <w:rsid w:val="00845AE4"/>
    <w:rsid w:val="00845FAE"/>
    <w:rsid w:val="008467DA"/>
    <w:rsid w:val="008472D4"/>
    <w:rsid w:val="008500ED"/>
    <w:rsid w:val="008502AC"/>
    <w:rsid w:val="00851FEB"/>
    <w:rsid w:val="0085271C"/>
    <w:rsid w:val="008527B0"/>
    <w:rsid w:val="00852E5D"/>
    <w:rsid w:val="008530D8"/>
    <w:rsid w:val="00854349"/>
    <w:rsid w:val="00855CB5"/>
    <w:rsid w:val="008562C0"/>
    <w:rsid w:val="008578C1"/>
    <w:rsid w:val="00857E78"/>
    <w:rsid w:val="00857EDE"/>
    <w:rsid w:val="008607A5"/>
    <w:rsid w:val="00860806"/>
    <w:rsid w:val="00860B4E"/>
    <w:rsid w:val="00861AAB"/>
    <w:rsid w:val="00862533"/>
    <w:rsid w:val="00863708"/>
    <w:rsid w:val="00863FA2"/>
    <w:rsid w:val="008640FA"/>
    <w:rsid w:val="008651A3"/>
    <w:rsid w:val="008658D0"/>
    <w:rsid w:val="008660DD"/>
    <w:rsid w:val="00867C89"/>
    <w:rsid w:val="00871809"/>
    <w:rsid w:val="00871CD2"/>
    <w:rsid w:val="00872803"/>
    <w:rsid w:val="00874806"/>
    <w:rsid w:val="00874890"/>
    <w:rsid w:val="00876407"/>
    <w:rsid w:val="00876B1E"/>
    <w:rsid w:val="00876BDA"/>
    <w:rsid w:val="00876E7E"/>
    <w:rsid w:val="00880B8F"/>
    <w:rsid w:val="00881B9C"/>
    <w:rsid w:val="00882258"/>
    <w:rsid w:val="0088300D"/>
    <w:rsid w:val="00884421"/>
    <w:rsid w:val="00884E1F"/>
    <w:rsid w:val="008859B8"/>
    <w:rsid w:val="00886F69"/>
    <w:rsid w:val="00887506"/>
    <w:rsid w:val="00887A56"/>
    <w:rsid w:val="00887C3D"/>
    <w:rsid w:val="008900EE"/>
    <w:rsid w:val="00890963"/>
    <w:rsid w:val="00890FC1"/>
    <w:rsid w:val="00891526"/>
    <w:rsid w:val="00891A6B"/>
    <w:rsid w:val="008925BF"/>
    <w:rsid w:val="008933D0"/>
    <w:rsid w:val="0089434F"/>
    <w:rsid w:val="00894B33"/>
    <w:rsid w:val="008967D5"/>
    <w:rsid w:val="00896ADC"/>
    <w:rsid w:val="00896DDE"/>
    <w:rsid w:val="008A163F"/>
    <w:rsid w:val="008A1E42"/>
    <w:rsid w:val="008A216B"/>
    <w:rsid w:val="008A21A8"/>
    <w:rsid w:val="008A22C3"/>
    <w:rsid w:val="008A29C6"/>
    <w:rsid w:val="008A3B36"/>
    <w:rsid w:val="008A50F4"/>
    <w:rsid w:val="008A76FC"/>
    <w:rsid w:val="008B04FA"/>
    <w:rsid w:val="008B0923"/>
    <w:rsid w:val="008B1F34"/>
    <w:rsid w:val="008B3132"/>
    <w:rsid w:val="008B5499"/>
    <w:rsid w:val="008B6036"/>
    <w:rsid w:val="008B6380"/>
    <w:rsid w:val="008B6AA1"/>
    <w:rsid w:val="008B6C20"/>
    <w:rsid w:val="008C033C"/>
    <w:rsid w:val="008C09C8"/>
    <w:rsid w:val="008C2C85"/>
    <w:rsid w:val="008C3076"/>
    <w:rsid w:val="008C337E"/>
    <w:rsid w:val="008C339D"/>
    <w:rsid w:val="008C3611"/>
    <w:rsid w:val="008C3C1B"/>
    <w:rsid w:val="008C56FF"/>
    <w:rsid w:val="008C666E"/>
    <w:rsid w:val="008C6A06"/>
    <w:rsid w:val="008C72CC"/>
    <w:rsid w:val="008C734E"/>
    <w:rsid w:val="008D00A9"/>
    <w:rsid w:val="008D059E"/>
    <w:rsid w:val="008D0BC5"/>
    <w:rsid w:val="008D0C89"/>
    <w:rsid w:val="008D10E4"/>
    <w:rsid w:val="008D1FEA"/>
    <w:rsid w:val="008D21ED"/>
    <w:rsid w:val="008D335C"/>
    <w:rsid w:val="008D375E"/>
    <w:rsid w:val="008D4827"/>
    <w:rsid w:val="008D4A24"/>
    <w:rsid w:val="008D4A60"/>
    <w:rsid w:val="008D56E8"/>
    <w:rsid w:val="008D5849"/>
    <w:rsid w:val="008D69F0"/>
    <w:rsid w:val="008E1A60"/>
    <w:rsid w:val="008E1BC8"/>
    <w:rsid w:val="008E23BF"/>
    <w:rsid w:val="008E25C9"/>
    <w:rsid w:val="008E2780"/>
    <w:rsid w:val="008E2CF1"/>
    <w:rsid w:val="008E3F43"/>
    <w:rsid w:val="008E4B9C"/>
    <w:rsid w:val="008E5651"/>
    <w:rsid w:val="008E56AF"/>
    <w:rsid w:val="008E75AA"/>
    <w:rsid w:val="008F13BD"/>
    <w:rsid w:val="008F28AC"/>
    <w:rsid w:val="008F3320"/>
    <w:rsid w:val="008F3841"/>
    <w:rsid w:val="008F3D9B"/>
    <w:rsid w:val="008F3F35"/>
    <w:rsid w:val="008F4404"/>
    <w:rsid w:val="008F5A81"/>
    <w:rsid w:val="008F63F3"/>
    <w:rsid w:val="008F6D46"/>
    <w:rsid w:val="00900653"/>
    <w:rsid w:val="00900F4A"/>
    <w:rsid w:val="0090106E"/>
    <w:rsid w:val="009010E5"/>
    <w:rsid w:val="00901310"/>
    <w:rsid w:val="009017D7"/>
    <w:rsid w:val="00901B1F"/>
    <w:rsid w:val="009020CF"/>
    <w:rsid w:val="009031E7"/>
    <w:rsid w:val="0090344E"/>
    <w:rsid w:val="00905205"/>
    <w:rsid w:val="00905449"/>
    <w:rsid w:val="00906572"/>
    <w:rsid w:val="00907724"/>
    <w:rsid w:val="00907B21"/>
    <w:rsid w:val="00910648"/>
    <w:rsid w:val="00910D9B"/>
    <w:rsid w:val="009118D1"/>
    <w:rsid w:val="00911AC0"/>
    <w:rsid w:val="00912E01"/>
    <w:rsid w:val="009133AF"/>
    <w:rsid w:val="00914FC3"/>
    <w:rsid w:val="00915CF7"/>
    <w:rsid w:val="00916177"/>
    <w:rsid w:val="00916546"/>
    <w:rsid w:val="009174CD"/>
    <w:rsid w:val="00920B3E"/>
    <w:rsid w:val="00921131"/>
    <w:rsid w:val="00921C08"/>
    <w:rsid w:val="00922141"/>
    <w:rsid w:val="00922173"/>
    <w:rsid w:val="00924A33"/>
    <w:rsid w:val="00924EF5"/>
    <w:rsid w:val="009250FD"/>
    <w:rsid w:val="0092650A"/>
    <w:rsid w:val="00926661"/>
    <w:rsid w:val="009278EA"/>
    <w:rsid w:val="00927AB8"/>
    <w:rsid w:val="00931837"/>
    <w:rsid w:val="00931A2E"/>
    <w:rsid w:val="0093206D"/>
    <w:rsid w:val="009325F8"/>
    <w:rsid w:val="00932A97"/>
    <w:rsid w:val="00933898"/>
    <w:rsid w:val="00936949"/>
    <w:rsid w:val="009371FE"/>
    <w:rsid w:val="009372EC"/>
    <w:rsid w:val="00937962"/>
    <w:rsid w:val="009402FD"/>
    <w:rsid w:val="00940831"/>
    <w:rsid w:val="00940E81"/>
    <w:rsid w:val="009414E0"/>
    <w:rsid w:val="009419DD"/>
    <w:rsid w:val="00943157"/>
    <w:rsid w:val="00943636"/>
    <w:rsid w:val="00943C13"/>
    <w:rsid w:val="00944703"/>
    <w:rsid w:val="009452FC"/>
    <w:rsid w:val="0094531B"/>
    <w:rsid w:val="00945539"/>
    <w:rsid w:val="0094599A"/>
    <w:rsid w:val="00946820"/>
    <w:rsid w:val="00946B48"/>
    <w:rsid w:val="00946CA3"/>
    <w:rsid w:val="009477EE"/>
    <w:rsid w:val="009477EF"/>
    <w:rsid w:val="00947BC8"/>
    <w:rsid w:val="00950599"/>
    <w:rsid w:val="00950912"/>
    <w:rsid w:val="00950DA9"/>
    <w:rsid w:val="00951843"/>
    <w:rsid w:val="00951A11"/>
    <w:rsid w:val="009533FB"/>
    <w:rsid w:val="009546C5"/>
    <w:rsid w:val="00954840"/>
    <w:rsid w:val="00955778"/>
    <w:rsid w:val="00955E52"/>
    <w:rsid w:val="00960322"/>
    <w:rsid w:val="00960675"/>
    <w:rsid w:val="009609EB"/>
    <w:rsid w:val="00960DB2"/>
    <w:rsid w:val="00961151"/>
    <w:rsid w:val="00961C52"/>
    <w:rsid w:val="0096207C"/>
    <w:rsid w:val="00964043"/>
    <w:rsid w:val="009651A5"/>
    <w:rsid w:val="009669E7"/>
    <w:rsid w:val="009673F6"/>
    <w:rsid w:val="00967C20"/>
    <w:rsid w:val="0097044F"/>
    <w:rsid w:val="009704BA"/>
    <w:rsid w:val="009712D1"/>
    <w:rsid w:val="00972407"/>
    <w:rsid w:val="0097319D"/>
    <w:rsid w:val="00973B0D"/>
    <w:rsid w:val="00973E7E"/>
    <w:rsid w:val="0097507E"/>
    <w:rsid w:val="00976118"/>
    <w:rsid w:val="009764A1"/>
    <w:rsid w:val="00980C78"/>
    <w:rsid w:val="00981CF0"/>
    <w:rsid w:val="009830E4"/>
    <w:rsid w:val="00985D28"/>
    <w:rsid w:val="00985F63"/>
    <w:rsid w:val="00987076"/>
    <w:rsid w:val="0098746C"/>
    <w:rsid w:val="00990AED"/>
    <w:rsid w:val="00991A9E"/>
    <w:rsid w:val="00991E2E"/>
    <w:rsid w:val="0099210D"/>
    <w:rsid w:val="00992E20"/>
    <w:rsid w:val="00995F57"/>
    <w:rsid w:val="00996118"/>
    <w:rsid w:val="00996E70"/>
    <w:rsid w:val="00997487"/>
    <w:rsid w:val="00997CCE"/>
    <w:rsid w:val="009A0303"/>
    <w:rsid w:val="009A0637"/>
    <w:rsid w:val="009A06F5"/>
    <w:rsid w:val="009A0FBD"/>
    <w:rsid w:val="009A120D"/>
    <w:rsid w:val="009A1EC6"/>
    <w:rsid w:val="009A3F2B"/>
    <w:rsid w:val="009B0D3A"/>
    <w:rsid w:val="009B33A3"/>
    <w:rsid w:val="009B3A60"/>
    <w:rsid w:val="009B66A4"/>
    <w:rsid w:val="009B689D"/>
    <w:rsid w:val="009C0C1D"/>
    <w:rsid w:val="009C141E"/>
    <w:rsid w:val="009C1BEE"/>
    <w:rsid w:val="009C2041"/>
    <w:rsid w:val="009C2D43"/>
    <w:rsid w:val="009C3882"/>
    <w:rsid w:val="009C38E5"/>
    <w:rsid w:val="009C4213"/>
    <w:rsid w:val="009C494A"/>
    <w:rsid w:val="009C4FEF"/>
    <w:rsid w:val="009C680D"/>
    <w:rsid w:val="009C72A3"/>
    <w:rsid w:val="009C72FB"/>
    <w:rsid w:val="009C7C76"/>
    <w:rsid w:val="009C7E99"/>
    <w:rsid w:val="009D0255"/>
    <w:rsid w:val="009D108E"/>
    <w:rsid w:val="009D1330"/>
    <w:rsid w:val="009D13D4"/>
    <w:rsid w:val="009D140C"/>
    <w:rsid w:val="009D1510"/>
    <w:rsid w:val="009D2911"/>
    <w:rsid w:val="009D589A"/>
    <w:rsid w:val="009D5B6F"/>
    <w:rsid w:val="009D6E63"/>
    <w:rsid w:val="009D7898"/>
    <w:rsid w:val="009E11C4"/>
    <w:rsid w:val="009E1C04"/>
    <w:rsid w:val="009E20CA"/>
    <w:rsid w:val="009E2131"/>
    <w:rsid w:val="009E2881"/>
    <w:rsid w:val="009E2BA5"/>
    <w:rsid w:val="009E38D5"/>
    <w:rsid w:val="009E3B5A"/>
    <w:rsid w:val="009E4694"/>
    <w:rsid w:val="009E551C"/>
    <w:rsid w:val="009E574E"/>
    <w:rsid w:val="009E5BA4"/>
    <w:rsid w:val="009E5D92"/>
    <w:rsid w:val="009E5E3D"/>
    <w:rsid w:val="009E7286"/>
    <w:rsid w:val="009E73D9"/>
    <w:rsid w:val="009E73F1"/>
    <w:rsid w:val="009E7CD8"/>
    <w:rsid w:val="009F0250"/>
    <w:rsid w:val="009F0763"/>
    <w:rsid w:val="009F0B8B"/>
    <w:rsid w:val="009F0CFF"/>
    <w:rsid w:val="009F1D64"/>
    <w:rsid w:val="009F29A7"/>
    <w:rsid w:val="009F2BC7"/>
    <w:rsid w:val="009F3476"/>
    <w:rsid w:val="009F4370"/>
    <w:rsid w:val="009F44ED"/>
    <w:rsid w:val="009F4F2D"/>
    <w:rsid w:val="009F62E5"/>
    <w:rsid w:val="009F6C78"/>
    <w:rsid w:val="009F6EB1"/>
    <w:rsid w:val="009F7CF5"/>
    <w:rsid w:val="009F7EE9"/>
    <w:rsid w:val="00A007D0"/>
    <w:rsid w:val="00A0089B"/>
    <w:rsid w:val="00A0236F"/>
    <w:rsid w:val="00A02C56"/>
    <w:rsid w:val="00A0316F"/>
    <w:rsid w:val="00A034D9"/>
    <w:rsid w:val="00A04125"/>
    <w:rsid w:val="00A05C42"/>
    <w:rsid w:val="00A061A4"/>
    <w:rsid w:val="00A07197"/>
    <w:rsid w:val="00A07209"/>
    <w:rsid w:val="00A07DA7"/>
    <w:rsid w:val="00A105F1"/>
    <w:rsid w:val="00A108EA"/>
    <w:rsid w:val="00A11E70"/>
    <w:rsid w:val="00A13256"/>
    <w:rsid w:val="00A134B4"/>
    <w:rsid w:val="00A14F4B"/>
    <w:rsid w:val="00A1662A"/>
    <w:rsid w:val="00A216E0"/>
    <w:rsid w:val="00A21883"/>
    <w:rsid w:val="00A218D4"/>
    <w:rsid w:val="00A21AD6"/>
    <w:rsid w:val="00A22777"/>
    <w:rsid w:val="00A22E05"/>
    <w:rsid w:val="00A22F58"/>
    <w:rsid w:val="00A25BD4"/>
    <w:rsid w:val="00A26BFD"/>
    <w:rsid w:val="00A27B9A"/>
    <w:rsid w:val="00A302AE"/>
    <w:rsid w:val="00A31DC7"/>
    <w:rsid w:val="00A345B1"/>
    <w:rsid w:val="00A3669A"/>
    <w:rsid w:val="00A37FC2"/>
    <w:rsid w:val="00A401AF"/>
    <w:rsid w:val="00A40385"/>
    <w:rsid w:val="00A40441"/>
    <w:rsid w:val="00A42557"/>
    <w:rsid w:val="00A42BD1"/>
    <w:rsid w:val="00A42F49"/>
    <w:rsid w:val="00A434B6"/>
    <w:rsid w:val="00A4477A"/>
    <w:rsid w:val="00A45421"/>
    <w:rsid w:val="00A45501"/>
    <w:rsid w:val="00A45AD6"/>
    <w:rsid w:val="00A47CE3"/>
    <w:rsid w:val="00A50DB9"/>
    <w:rsid w:val="00A51906"/>
    <w:rsid w:val="00A51EC3"/>
    <w:rsid w:val="00A522D3"/>
    <w:rsid w:val="00A527ED"/>
    <w:rsid w:val="00A52F78"/>
    <w:rsid w:val="00A5370F"/>
    <w:rsid w:val="00A53949"/>
    <w:rsid w:val="00A541D3"/>
    <w:rsid w:val="00A54B8C"/>
    <w:rsid w:val="00A54C4A"/>
    <w:rsid w:val="00A54FCC"/>
    <w:rsid w:val="00A5548C"/>
    <w:rsid w:val="00A55B6A"/>
    <w:rsid w:val="00A56A53"/>
    <w:rsid w:val="00A57792"/>
    <w:rsid w:val="00A57AEF"/>
    <w:rsid w:val="00A61395"/>
    <w:rsid w:val="00A61547"/>
    <w:rsid w:val="00A61CCE"/>
    <w:rsid w:val="00A62481"/>
    <w:rsid w:val="00A6419B"/>
    <w:rsid w:val="00A64957"/>
    <w:rsid w:val="00A64EB7"/>
    <w:rsid w:val="00A65043"/>
    <w:rsid w:val="00A652EE"/>
    <w:rsid w:val="00A653E4"/>
    <w:rsid w:val="00A66B22"/>
    <w:rsid w:val="00A670F8"/>
    <w:rsid w:val="00A67115"/>
    <w:rsid w:val="00A67621"/>
    <w:rsid w:val="00A67DB3"/>
    <w:rsid w:val="00A67DBF"/>
    <w:rsid w:val="00A70992"/>
    <w:rsid w:val="00A70A9D"/>
    <w:rsid w:val="00A70D7A"/>
    <w:rsid w:val="00A7202D"/>
    <w:rsid w:val="00A721BB"/>
    <w:rsid w:val="00A72DB0"/>
    <w:rsid w:val="00A7394D"/>
    <w:rsid w:val="00A739A3"/>
    <w:rsid w:val="00A739EB"/>
    <w:rsid w:val="00A73D5B"/>
    <w:rsid w:val="00A75CA1"/>
    <w:rsid w:val="00A76304"/>
    <w:rsid w:val="00A770B1"/>
    <w:rsid w:val="00A77A65"/>
    <w:rsid w:val="00A77B9D"/>
    <w:rsid w:val="00A77F67"/>
    <w:rsid w:val="00A803B1"/>
    <w:rsid w:val="00A80A8B"/>
    <w:rsid w:val="00A81F6B"/>
    <w:rsid w:val="00A83988"/>
    <w:rsid w:val="00A83B82"/>
    <w:rsid w:val="00A84B5B"/>
    <w:rsid w:val="00A85BD3"/>
    <w:rsid w:val="00A86570"/>
    <w:rsid w:val="00A869E6"/>
    <w:rsid w:val="00A87345"/>
    <w:rsid w:val="00A907EB"/>
    <w:rsid w:val="00A90908"/>
    <w:rsid w:val="00A90B4A"/>
    <w:rsid w:val="00A911F7"/>
    <w:rsid w:val="00A91D5D"/>
    <w:rsid w:val="00A92D8B"/>
    <w:rsid w:val="00A92E97"/>
    <w:rsid w:val="00A9306F"/>
    <w:rsid w:val="00A93180"/>
    <w:rsid w:val="00A95D71"/>
    <w:rsid w:val="00A963FB"/>
    <w:rsid w:val="00A96DD4"/>
    <w:rsid w:val="00AA0162"/>
    <w:rsid w:val="00AA23A0"/>
    <w:rsid w:val="00AA2A68"/>
    <w:rsid w:val="00AA3E7C"/>
    <w:rsid w:val="00AA4E83"/>
    <w:rsid w:val="00AB059A"/>
    <w:rsid w:val="00AB1518"/>
    <w:rsid w:val="00AB17BB"/>
    <w:rsid w:val="00AB1BDB"/>
    <w:rsid w:val="00AB1F31"/>
    <w:rsid w:val="00AB21FD"/>
    <w:rsid w:val="00AB4B70"/>
    <w:rsid w:val="00AB54DF"/>
    <w:rsid w:val="00AB556F"/>
    <w:rsid w:val="00AB5674"/>
    <w:rsid w:val="00AB6B27"/>
    <w:rsid w:val="00AB6DE8"/>
    <w:rsid w:val="00AB7260"/>
    <w:rsid w:val="00AB7DD9"/>
    <w:rsid w:val="00AC0016"/>
    <w:rsid w:val="00AC0FA6"/>
    <w:rsid w:val="00AC1B79"/>
    <w:rsid w:val="00AC1EA7"/>
    <w:rsid w:val="00AC23C5"/>
    <w:rsid w:val="00AC24D5"/>
    <w:rsid w:val="00AC26E1"/>
    <w:rsid w:val="00AC2A7E"/>
    <w:rsid w:val="00AC51DA"/>
    <w:rsid w:val="00AC52BE"/>
    <w:rsid w:val="00AC5FE6"/>
    <w:rsid w:val="00AD2470"/>
    <w:rsid w:val="00AD2642"/>
    <w:rsid w:val="00AD360F"/>
    <w:rsid w:val="00AD540E"/>
    <w:rsid w:val="00AD570C"/>
    <w:rsid w:val="00AD5F05"/>
    <w:rsid w:val="00AD6121"/>
    <w:rsid w:val="00AD68FC"/>
    <w:rsid w:val="00AD6C46"/>
    <w:rsid w:val="00AD6F16"/>
    <w:rsid w:val="00AD720B"/>
    <w:rsid w:val="00AD753D"/>
    <w:rsid w:val="00AD7AFC"/>
    <w:rsid w:val="00AD7CD5"/>
    <w:rsid w:val="00AD7CE4"/>
    <w:rsid w:val="00AE1471"/>
    <w:rsid w:val="00AE1D42"/>
    <w:rsid w:val="00AE26BE"/>
    <w:rsid w:val="00AE3CA0"/>
    <w:rsid w:val="00AE3F17"/>
    <w:rsid w:val="00AE4087"/>
    <w:rsid w:val="00AE43DF"/>
    <w:rsid w:val="00AE4E4E"/>
    <w:rsid w:val="00AE6376"/>
    <w:rsid w:val="00AE76B3"/>
    <w:rsid w:val="00AE7D39"/>
    <w:rsid w:val="00AF1055"/>
    <w:rsid w:val="00AF2931"/>
    <w:rsid w:val="00AF3690"/>
    <w:rsid w:val="00AF4A56"/>
    <w:rsid w:val="00AF4BDB"/>
    <w:rsid w:val="00AF4BDE"/>
    <w:rsid w:val="00AF4C28"/>
    <w:rsid w:val="00AF5A72"/>
    <w:rsid w:val="00AF6A66"/>
    <w:rsid w:val="00AF6FAF"/>
    <w:rsid w:val="00B00132"/>
    <w:rsid w:val="00B024E5"/>
    <w:rsid w:val="00B02BBE"/>
    <w:rsid w:val="00B031B0"/>
    <w:rsid w:val="00B053D2"/>
    <w:rsid w:val="00B05441"/>
    <w:rsid w:val="00B0676E"/>
    <w:rsid w:val="00B075CD"/>
    <w:rsid w:val="00B102F5"/>
    <w:rsid w:val="00B10C40"/>
    <w:rsid w:val="00B116B2"/>
    <w:rsid w:val="00B123C1"/>
    <w:rsid w:val="00B12520"/>
    <w:rsid w:val="00B14695"/>
    <w:rsid w:val="00B146AA"/>
    <w:rsid w:val="00B14F6C"/>
    <w:rsid w:val="00B16297"/>
    <w:rsid w:val="00B16556"/>
    <w:rsid w:val="00B1695B"/>
    <w:rsid w:val="00B16BD5"/>
    <w:rsid w:val="00B1747B"/>
    <w:rsid w:val="00B1752A"/>
    <w:rsid w:val="00B17AB5"/>
    <w:rsid w:val="00B17E42"/>
    <w:rsid w:val="00B20338"/>
    <w:rsid w:val="00B21771"/>
    <w:rsid w:val="00B23045"/>
    <w:rsid w:val="00B234C0"/>
    <w:rsid w:val="00B23ED9"/>
    <w:rsid w:val="00B24570"/>
    <w:rsid w:val="00B25B96"/>
    <w:rsid w:val="00B2628F"/>
    <w:rsid w:val="00B26537"/>
    <w:rsid w:val="00B277A6"/>
    <w:rsid w:val="00B3033B"/>
    <w:rsid w:val="00B30501"/>
    <w:rsid w:val="00B31232"/>
    <w:rsid w:val="00B32056"/>
    <w:rsid w:val="00B32063"/>
    <w:rsid w:val="00B32A6D"/>
    <w:rsid w:val="00B32EF0"/>
    <w:rsid w:val="00B3443F"/>
    <w:rsid w:val="00B34BEB"/>
    <w:rsid w:val="00B34F2F"/>
    <w:rsid w:val="00B35209"/>
    <w:rsid w:val="00B36E70"/>
    <w:rsid w:val="00B377BF"/>
    <w:rsid w:val="00B378D6"/>
    <w:rsid w:val="00B42513"/>
    <w:rsid w:val="00B42F68"/>
    <w:rsid w:val="00B4411B"/>
    <w:rsid w:val="00B44700"/>
    <w:rsid w:val="00B4592F"/>
    <w:rsid w:val="00B45AA4"/>
    <w:rsid w:val="00B46495"/>
    <w:rsid w:val="00B46F1D"/>
    <w:rsid w:val="00B50BF6"/>
    <w:rsid w:val="00B516CF"/>
    <w:rsid w:val="00B517D6"/>
    <w:rsid w:val="00B51F48"/>
    <w:rsid w:val="00B53227"/>
    <w:rsid w:val="00B54097"/>
    <w:rsid w:val="00B55173"/>
    <w:rsid w:val="00B55D5B"/>
    <w:rsid w:val="00B573C4"/>
    <w:rsid w:val="00B5798F"/>
    <w:rsid w:val="00B608C6"/>
    <w:rsid w:val="00B629B1"/>
    <w:rsid w:val="00B631D7"/>
    <w:rsid w:val="00B64FED"/>
    <w:rsid w:val="00B6582A"/>
    <w:rsid w:val="00B65960"/>
    <w:rsid w:val="00B65C6E"/>
    <w:rsid w:val="00B675BB"/>
    <w:rsid w:val="00B67701"/>
    <w:rsid w:val="00B67EA7"/>
    <w:rsid w:val="00B71F19"/>
    <w:rsid w:val="00B72D65"/>
    <w:rsid w:val="00B73860"/>
    <w:rsid w:val="00B73A38"/>
    <w:rsid w:val="00B741A9"/>
    <w:rsid w:val="00B74824"/>
    <w:rsid w:val="00B7562F"/>
    <w:rsid w:val="00B764A4"/>
    <w:rsid w:val="00B813C9"/>
    <w:rsid w:val="00B816DE"/>
    <w:rsid w:val="00B8383C"/>
    <w:rsid w:val="00B856CD"/>
    <w:rsid w:val="00B85972"/>
    <w:rsid w:val="00B87055"/>
    <w:rsid w:val="00B87AC3"/>
    <w:rsid w:val="00B900A3"/>
    <w:rsid w:val="00B90C6E"/>
    <w:rsid w:val="00B90FD9"/>
    <w:rsid w:val="00B91B1A"/>
    <w:rsid w:val="00B92848"/>
    <w:rsid w:val="00B92DA9"/>
    <w:rsid w:val="00B9318E"/>
    <w:rsid w:val="00B93F6C"/>
    <w:rsid w:val="00B94C38"/>
    <w:rsid w:val="00B95239"/>
    <w:rsid w:val="00B95457"/>
    <w:rsid w:val="00B95C6F"/>
    <w:rsid w:val="00B95E3C"/>
    <w:rsid w:val="00B96DFD"/>
    <w:rsid w:val="00BA0058"/>
    <w:rsid w:val="00BA0E38"/>
    <w:rsid w:val="00BA1702"/>
    <w:rsid w:val="00BA1F4B"/>
    <w:rsid w:val="00BA26AD"/>
    <w:rsid w:val="00BA448E"/>
    <w:rsid w:val="00BA49D7"/>
    <w:rsid w:val="00BA5180"/>
    <w:rsid w:val="00BA55B1"/>
    <w:rsid w:val="00BA5E45"/>
    <w:rsid w:val="00BA64B9"/>
    <w:rsid w:val="00BB09C4"/>
    <w:rsid w:val="00BB0A82"/>
    <w:rsid w:val="00BB1474"/>
    <w:rsid w:val="00BB26B3"/>
    <w:rsid w:val="00BB26FA"/>
    <w:rsid w:val="00BB2F25"/>
    <w:rsid w:val="00BB4649"/>
    <w:rsid w:val="00BB5F42"/>
    <w:rsid w:val="00BB657E"/>
    <w:rsid w:val="00BB6645"/>
    <w:rsid w:val="00BB69E9"/>
    <w:rsid w:val="00BB6EDC"/>
    <w:rsid w:val="00BC3B81"/>
    <w:rsid w:val="00BC3CD0"/>
    <w:rsid w:val="00BC3EB0"/>
    <w:rsid w:val="00BC4A12"/>
    <w:rsid w:val="00BC5948"/>
    <w:rsid w:val="00BC5D2E"/>
    <w:rsid w:val="00BD0204"/>
    <w:rsid w:val="00BD0AC0"/>
    <w:rsid w:val="00BD0FFB"/>
    <w:rsid w:val="00BD3CA2"/>
    <w:rsid w:val="00BD3CB0"/>
    <w:rsid w:val="00BD4671"/>
    <w:rsid w:val="00BD685C"/>
    <w:rsid w:val="00BE0056"/>
    <w:rsid w:val="00BE0369"/>
    <w:rsid w:val="00BE046B"/>
    <w:rsid w:val="00BE15CD"/>
    <w:rsid w:val="00BE24FF"/>
    <w:rsid w:val="00BE32A9"/>
    <w:rsid w:val="00BE362C"/>
    <w:rsid w:val="00BE3B45"/>
    <w:rsid w:val="00BE6C92"/>
    <w:rsid w:val="00BE6EBF"/>
    <w:rsid w:val="00BE79FD"/>
    <w:rsid w:val="00BF03E1"/>
    <w:rsid w:val="00BF049F"/>
    <w:rsid w:val="00BF0790"/>
    <w:rsid w:val="00BF0E71"/>
    <w:rsid w:val="00BF1C9A"/>
    <w:rsid w:val="00BF3D3D"/>
    <w:rsid w:val="00BF425F"/>
    <w:rsid w:val="00BF4395"/>
    <w:rsid w:val="00BF4CEF"/>
    <w:rsid w:val="00BF56B4"/>
    <w:rsid w:val="00BF60AF"/>
    <w:rsid w:val="00BF6DB1"/>
    <w:rsid w:val="00BF7CEE"/>
    <w:rsid w:val="00BF7EC3"/>
    <w:rsid w:val="00BF7F10"/>
    <w:rsid w:val="00BF7F30"/>
    <w:rsid w:val="00C025E3"/>
    <w:rsid w:val="00C034D9"/>
    <w:rsid w:val="00C05A56"/>
    <w:rsid w:val="00C05A67"/>
    <w:rsid w:val="00C10AB8"/>
    <w:rsid w:val="00C11028"/>
    <w:rsid w:val="00C12335"/>
    <w:rsid w:val="00C12426"/>
    <w:rsid w:val="00C12959"/>
    <w:rsid w:val="00C1370E"/>
    <w:rsid w:val="00C150F0"/>
    <w:rsid w:val="00C162C6"/>
    <w:rsid w:val="00C2003F"/>
    <w:rsid w:val="00C2004A"/>
    <w:rsid w:val="00C20488"/>
    <w:rsid w:val="00C2058C"/>
    <w:rsid w:val="00C22683"/>
    <w:rsid w:val="00C227AE"/>
    <w:rsid w:val="00C23A30"/>
    <w:rsid w:val="00C23F22"/>
    <w:rsid w:val="00C24D76"/>
    <w:rsid w:val="00C253BC"/>
    <w:rsid w:val="00C25803"/>
    <w:rsid w:val="00C2685B"/>
    <w:rsid w:val="00C26B54"/>
    <w:rsid w:val="00C30109"/>
    <w:rsid w:val="00C3154F"/>
    <w:rsid w:val="00C32903"/>
    <w:rsid w:val="00C32E1F"/>
    <w:rsid w:val="00C33155"/>
    <w:rsid w:val="00C34A0A"/>
    <w:rsid w:val="00C35F07"/>
    <w:rsid w:val="00C36415"/>
    <w:rsid w:val="00C378B4"/>
    <w:rsid w:val="00C3791B"/>
    <w:rsid w:val="00C40453"/>
    <w:rsid w:val="00C411C7"/>
    <w:rsid w:val="00C4294D"/>
    <w:rsid w:val="00C43317"/>
    <w:rsid w:val="00C43C58"/>
    <w:rsid w:val="00C44504"/>
    <w:rsid w:val="00C4474C"/>
    <w:rsid w:val="00C44753"/>
    <w:rsid w:val="00C4572B"/>
    <w:rsid w:val="00C4606E"/>
    <w:rsid w:val="00C46DB4"/>
    <w:rsid w:val="00C506B0"/>
    <w:rsid w:val="00C50D73"/>
    <w:rsid w:val="00C5179F"/>
    <w:rsid w:val="00C51E7D"/>
    <w:rsid w:val="00C52878"/>
    <w:rsid w:val="00C538B7"/>
    <w:rsid w:val="00C539B2"/>
    <w:rsid w:val="00C539E6"/>
    <w:rsid w:val="00C53E04"/>
    <w:rsid w:val="00C5496A"/>
    <w:rsid w:val="00C54C33"/>
    <w:rsid w:val="00C54D3D"/>
    <w:rsid w:val="00C550BD"/>
    <w:rsid w:val="00C55186"/>
    <w:rsid w:val="00C55390"/>
    <w:rsid w:val="00C563BD"/>
    <w:rsid w:val="00C56EB7"/>
    <w:rsid w:val="00C56F32"/>
    <w:rsid w:val="00C579AF"/>
    <w:rsid w:val="00C603E5"/>
    <w:rsid w:val="00C604DC"/>
    <w:rsid w:val="00C609F3"/>
    <w:rsid w:val="00C614EC"/>
    <w:rsid w:val="00C6251A"/>
    <w:rsid w:val="00C63761"/>
    <w:rsid w:val="00C63AD3"/>
    <w:rsid w:val="00C63F4B"/>
    <w:rsid w:val="00C64678"/>
    <w:rsid w:val="00C664D7"/>
    <w:rsid w:val="00C66B88"/>
    <w:rsid w:val="00C67251"/>
    <w:rsid w:val="00C73150"/>
    <w:rsid w:val="00C74AA3"/>
    <w:rsid w:val="00C75501"/>
    <w:rsid w:val="00C75C12"/>
    <w:rsid w:val="00C80326"/>
    <w:rsid w:val="00C837E3"/>
    <w:rsid w:val="00C844CE"/>
    <w:rsid w:val="00C84B62"/>
    <w:rsid w:val="00C84F8E"/>
    <w:rsid w:val="00C85C17"/>
    <w:rsid w:val="00C8707E"/>
    <w:rsid w:val="00C8740D"/>
    <w:rsid w:val="00C876F1"/>
    <w:rsid w:val="00C90482"/>
    <w:rsid w:val="00C9229E"/>
    <w:rsid w:val="00C922B6"/>
    <w:rsid w:val="00C933E5"/>
    <w:rsid w:val="00C945BB"/>
    <w:rsid w:val="00C94FA7"/>
    <w:rsid w:val="00C952D0"/>
    <w:rsid w:val="00C95A6C"/>
    <w:rsid w:val="00C95D9C"/>
    <w:rsid w:val="00CA0593"/>
    <w:rsid w:val="00CA0CF3"/>
    <w:rsid w:val="00CA1425"/>
    <w:rsid w:val="00CA1B2B"/>
    <w:rsid w:val="00CA296E"/>
    <w:rsid w:val="00CA2AF2"/>
    <w:rsid w:val="00CA305F"/>
    <w:rsid w:val="00CA30AB"/>
    <w:rsid w:val="00CA362D"/>
    <w:rsid w:val="00CA5603"/>
    <w:rsid w:val="00CA5823"/>
    <w:rsid w:val="00CA62A7"/>
    <w:rsid w:val="00CA7210"/>
    <w:rsid w:val="00CB152F"/>
    <w:rsid w:val="00CB1E34"/>
    <w:rsid w:val="00CB2129"/>
    <w:rsid w:val="00CB226A"/>
    <w:rsid w:val="00CB43FE"/>
    <w:rsid w:val="00CB5224"/>
    <w:rsid w:val="00CB6557"/>
    <w:rsid w:val="00CB7B16"/>
    <w:rsid w:val="00CC0B9C"/>
    <w:rsid w:val="00CC193C"/>
    <w:rsid w:val="00CC1944"/>
    <w:rsid w:val="00CC1FC5"/>
    <w:rsid w:val="00CC3C42"/>
    <w:rsid w:val="00CC47E4"/>
    <w:rsid w:val="00CC6C20"/>
    <w:rsid w:val="00CD068C"/>
    <w:rsid w:val="00CD0C38"/>
    <w:rsid w:val="00CD3484"/>
    <w:rsid w:val="00CD3614"/>
    <w:rsid w:val="00CD3D02"/>
    <w:rsid w:val="00CD4096"/>
    <w:rsid w:val="00CD414D"/>
    <w:rsid w:val="00CD48E4"/>
    <w:rsid w:val="00CD49C5"/>
    <w:rsid w:val="00CD5DFB"/>
    <w:rsid w:val="00CD691E"/>
    <w:rsid w:val="00CD7FA2"/>
    <w:rsid w:val="00CE01C8"/>
    <w:rsid w:val="00CE31F7"/>
    <w:rsid w:val="00CE42A2"/>
    <w:rsid w:val="00CE5F33"/>
    <w:rsid w:val="00CE7030"/>
    <w:rsid w:val="00CF0041"/>
    <w:rsid w:val="00CF0A05"/>
    <w:rsid w:val="00CF0B19"/>
    <w:rsid w:val="00CF191C"/>
    <w:rsid w:val="00CF2B6F"/>
    <w:rsid w:val="00CF2FAF"/>
    <w:rsid w:val="00CF3081"/>
    <w:rsid w:val="00CF350F"/>
    <w:rsid w:val="00CF4290"/>
    <w:rsid w:val="00CF4CCF"/>
    <w:rsid w:val="00CF5F72"/>
    <w:rsid w:val="00CF6643"/>
    <w:rsid w:val="00CF6F3D"/>
    <w:rsid w:val="00CF7E47"/>
    <w:rsid w:val="00D003D0"/>
    <w:rsid w:val="00D00A51"/>
    <w:rsid w:val="00D0312E"/>
    <w:rsid w:val="00D033A7"/>
    <w:rsid w:val="00D044F8"/>
    <w:rsid w:val="00D04811"/>
    <w:rsid w:val="00D05566"/>
    <w:rsid w:val="00D05B11"/>
    <w:rsid w:val="00D06DC7"/>
    <w:rsid w:val="00D06F52"/>
    <w:rsid w:val="00D075DC"/>
    <w:rsid w:val="00D07DDA"/>
    <w:rsid w:val="00D10083"/>
    <w:rsid w:val="00D10432"/>
    <w:rsid w:val="00D108D0"/>
    <w:rsid w:val="00D113AF"/>
    <w:rsid w:val="00D1153A"/>
    <w:rsid w:val="00D12DA2"/>
    <w:rsid w:val="00D130A2"/>
    <w:rsid w:val="00D13425"/>
    <w:rsid w:val="00D14AD7"/>
    <w:rsid w:val="00D14AFC"/>
    <w:rsid w:val="00D1691C"/>
    <w:rsid w:val="00D206EE"/>
    <w:rsid w:val="00D20B29"/>
    <w:rsid w:val="00D2158E"/>
    <w:rsid w:val="00D21DB5"/>
    <w:rsid w:val="00D227D4"/>
    <w:rsid w:val="00D23E34"/>
    <w:rsid w:val="00D251CC"/>
    <w:rsid w:val="00D27108"/>
    <w:rsid w:val="00D27F1A"/>
    <w:rsid w:val="00D30649"/>
    <w:rsid w:val="00D30C35"/>
    <w:rsid w:val="00D32580"/>
    <w:rsid w:val="00D32726"/>
    <w:rsid w:val="00D32F39"/>
    <w:rsid w:val="00D35C8D"/>
    <w:rsid w:val="00D36970"/>
    <w:rsid w:val="00D36C42"/>
    <w:rsid w:val="00D373EA"/>
    <w:rsid w:val="00D4020E"/>
    <w:rsid w:val="00D40E5B"/>
    <w:rsid w:val="00D4267F"/>
    <w:rsid w:val="00D42F02"/>
    <w:rsid w:val="00D4306F"/>
    <w:rsid w:val="00D43772"/>
    <w:rsid w:val="00D46376"/>
    <w:rsid w:val="00D46575"/>
    <w:rsid w:val="00D4690C"/>
    <w:rsid w:val="00D47D31"/>
    <w:rsid w:val="00D50DC6"/>
    <w:rsid w:val="00D5100F"/>
    <w:rsid w:val="00D51E09"/>
    <w:rsid w:val="00D5242E"/>
    <w:rsid w:val="00D54882"/>
    <w:rsid w:val="00D54BF1"/>
    <w:rsid w:val="00D55EF1"/>
    <w:rsid w:val="00D5694C"/>
    <w:rsid w:val="00D56E02"/>
    <w:rsid w:val="00D60199"/>
    <w:rsid w:val="00D6075B"/>
    <w:rsid w:val="00D61837"/>
    <w:rsid w:val="00D61F70"/>
    <w:rsid w:val="00D62A80"/>
    <w:rsid w:val="00D63303"/>
    <w:rsid w:val="00D63D86"/>
    <w:rsid w:val="00D65A31"/>
    <w:rsid w:val="00D66894"/>
    <w:rsid w:val="00D703B2"/>
    <w:rsid w:val="00D70602"/>
    <w:rsid w:val="00D70E8B"/>
    <w:rsid w:val="00D71B52"/>
    <w:rsid w:val="00D75AC2"/>
    <w:rsid w:val="00D75AF8"/>
    <w:rsid w:val="00D75C69"/>
    <w:rsid w:val="00D766E2"/>
    <w:rsid w:val="00D7754E"/>
    <w:rsid w:val="00D779C6"/>
    <w:rsid w:val="00D80492"/>
    <w:rsid w:val="00D80740"/>
    <w:rsid w:val="00D8165A"/>
    <w:rsid w:val="00D81826"/>
    <w:rsid w:val="00D82006"/>
    <w:rsid w:val="00D82843"/>
    <w:rsid w:val="00D845FF"/>
    <w:rsid w:val="00D87FDC"/>
    <w:rsid w:val="00D92E4C"/>
    <w:rsid w:val="00D92F40"/>
    <w:rsid w:val="00D92F41"/>
    <w:rsid w:val="00D93274"/>
    <w:rsid w:val="00D93330"/>
    <w:rsid w:val="00D93E7C"/>
    <w:rsid w:val="00D9577E"/>
    <w:rsid w:val="00D960F8"/>
    <w:rsid w:val="00D96ACB"/>
    <w:rsid w:val="00D9747E"/>
    <w:rsid w:val="00D975EA"/>
    <w:rsid w:val="00D97E81"/>
    <w:rsid w:val="00DA15C5"/>
    <w:rsid w:val="00DA16CB"/>
    <w:rsid w:val="00DA1749"/>
    <w:rsid w:val="00DA1F8F"/>
    <w:rsid w:val="00DA268E"/>
    <w:rsid w:val="00DA30B2"/>
    <w:rsid w:val="00DA3366"/>
    <w:rsid w:val="00DA4666"/>
    <w:rsid w:val="00DA5E77"/>
    <w:rsid w:val="00DB0F84"/>
    <w:rsid w:val="00DB1B5C"/>
    <w:rsid w:val="00DB32FE"/>
    <w:rsid w:val="00DB34D1"/>
    <w:rsid w:val="00DB513A"/>
    <w:rsid w:val="00DB51E5"/>
    <w:rsid w:val="00DB5993"/>
    <w:rsid w:val="00DC05A5"/>
    <w:rsid w:val="00DC12DA"/>
    <w:rsid w:val="00DC1725"/>
    <w:rsid w:val="00DC2492"/>
    <w:rsid w:val="00DC34FB"/>
    <w:rsid w:val="00DC3EDC"/>
    <w:rsid w:val="00DC4493"/>
    <w:rsid w:val="00DC44B4"/>
    <w:rsid w:val="00DC53AC"/>
    <w:rsid w:val="00DC5628"/>
    <w:rsid w:val="00DC5DB0"/>
    <w:rsid w:val="00DC6298"/>
    <w:rsid w:val="00DC789B"/>
    <w:rsid w:val="00DD21E0"/>
    <w:rsid w:val="00DD550F"/>
    <w:rsid w:val="00DD5AF0"/>
    <w:rsid w:val="00DD5C17"/>
    <w:rsid w:val="00DD5CFE"/>
    <w:rsid w:val="00DD6100"/>
    <w:rsid w:val="00DD619E"/>
    <w:rsid w:val="00DD6B1F"/>
    <w:rsid w:val="00DD6BDB"/>
    <w:rsid w:val="00DD7050"/>
    <w:rsid w:val="00DD7529"/>
    <w:rsid w:val="00DE0C93"/>
    <w:rsid w:val="00DE0DA7"/>
    <w:rsid w:val="00DE22F9"/>
    <w:rsid w:val="00DE3D4E"/>
    <w:rsid w:val="00DE4D32"/>
    <w:rsid w:val="00DE50C6"/>
    <w:rsid w:val="00DE512D"/>
    <w:rsid w:val="00DE5E70"/>
    <w:rsid w:val="00DF11FE"/>
    <w:rsid w:val="00DF1D98"/>
    <w:rsid w:val="00DF1E5B"/>
    <w:rsid w:val="00DF3360"/>
    <w:rsid w:val="00DF3769"/>
    <w:rsid w:val="00DF3FDA"/>
    <w:rsid w:val="00DF4E73"/>
    <w:rsid w:val="00DF4EC4"/>
    <w:rsid w:val="00DF676D"/>
    <w:rsid w:val="00E00993"/>
    <w:rsid w:val="00E01098"/>
    <w:rsid w:val="00E01389"/>
    <w:rsid w:val="00E01794"/>
    <w:rsid w:val="00E01ED0"/>
    <w:rsid w:val="00E0339C"/>
    <w:rsid w:val="00E036EE"/>
    <w:rsid w:val="00E040B0"/>
    <w:rsid w:val="00E04C1A"/>
    <w:rsid w:val="00E04DC5"/>
    <w:rsid w:val="00E051E8"/>
    <w:rsid w:val="00E05215"/>
    <w:rsid w:val="00E053B8"/>
    <w:rsid w:val="00E055D2"/>
    <w:rsid w:val="00E06277"/>
    <w:rsid w:val="00E11088"/>
    <w:rsid w:val="00E1263F"/>
    <w:rsid w:val="00E12AD5"/>
    <w:rsid w:val="00E13EF1"/>
    <w:rsid w:val="00E13FAD"/>
    <w:rsid w:val="00E144CE"/>
    <w:rsid w:val="00E15854"/>
    <w:rsid w:val="00E20521"/>
    <w:rsid w:val="00E22800"/>
    <w:rsid w:val="00E2293A"/>
    <w:rsid w:val="00E234A4"/>
    <w:rsid w:val="00E23548"/>
    <w:rsid w:val="00E23F1C"/>
    <w:rsid w:val="00E2412E"/>
    <w:rsid w:val="00E2445D"/>
    <w:rsid w:val="00E25E9D"/>
    <w:rsid w:val="00E27AE0"/>
    <w:rsid w:val="00E305CF"/>
    <w:rsid w:val="00E309F1"/>
    <w:rsid w:val="00E32068"/>
    <w:rsid w:val="00E32B78"/>
    <w:rsid w:val="00E32ED0"/>
    <w:rsid w:val="00E33029"/>
    <w:rsid w:val="00E33E6F"/>
    <w:rsid w:val="00E35208"/>
    <w:rsid w:val="00E36063"/>
    <w:rsid w:val="00E36B90"/>
    <w:rsid w:val="00E41469"/>
    <w:rsid w:val="00E42770"/>
    <w:rsid w:val="00E42FCC"/>
    <w:rsid w:val="00E443C6"/>
    <w:rsid w:val="00E44CBF"/>
    <w:rsid w:val="00E45029"/>
    <w:rsid w:val="00E459B4"/>
    <w:rsid w:val="00E4665E"/>
    <w:rsid w:val="00E469D8"/>
    <w:rsid w:val="00E46DA6"/>
    <w:rsid w:val="00E47CF0"/>
    <w:rsid w:val="00E502B1"/>
    <w:rsid w:val="00E5279A"/>
    <w:rsid w:val="00E52B84"/>
    <w:rsid w:val="00E52C62"/>
    <w:rsid w:val="00E548AA"/>
    <w:rsid w:val="00E55773"/>
    <w:rsid w:val="00E55EBD"/>
    <w:rsid w:val="00E56375"/>
    <w:rsid w:val="00E570E6"/>
    <w:rsid w:val="00E572B2"/>
    <w:rsid w:val="00E60A1E"/>
    <w:rsid w:val="00E60DDF"/>
    <w:rsid w:val="00E629DE"/>
    <w:rsid w:val="00E62BAB"/>
    <w:rsid w:val="00E63FC8"/>
    <w:rsid w:val="00E64BC9"/>
    <w:rsid w:val="00E66413"/>
    <w:rsid w:val="00E6726A"/>
    <w:rsid w:val="00E674CE"/>
    <w:rsid w:val="00E70826"/>
    <w:rsid w:val="00E70A0F"/>
    <w:rsid w:val="00E71020"/>
    <w:rsid w:val="00E71205"/>
    <w:rsid w:val="00E71A6B"/>
    <w:rsid w:val="00E71CFD"/>
    <w:rsid w:val="00E724EE"/>
    <w:rsid w:val="00E72BD4"/>
    <w:rsid w:val="00E72C57"/>
    <w:rsid w:val="00E73A61"/>
    <w:rsid w:val="00E7536E"/>
    <w:rsid w:val="00E75875"/>
    <w:rsid w:val="00E75A0B"/>
    <w:rsid w:val="00E75DF4"/>
    <w:rsid w:val="00E771C8"/>
    <w:rsid w:val="00E77979"/>
    <w:rsid w:val="00E77F1E"/>
    <w:rsid w:val="00E80007"/>
    <w:rsid w:val="00E80794"/>
    <w:rsid w:val="00E80897"/>
    <w:rsid w:val="00E82B81"/>
    <w:rsid w:val="00E8325E"/>
    <w:rsid w:val="00E83F80"/>
    <w:rsid w:val="00E843C0"/>
    <w:rsid w:val="00E85D8C"/>
    <w:rsid w:val="00E87F51"/>
    <w:rsid w:val="00E9008D"/>
    <w:rsid w:val="00E900CC"/>
    <w:rsid w:val="00E93C8F"/>
    <w:rsid w:val="00E93E26"/>
    <w:rsid w:val="00E941D7"/>
    <w:rsid w:val="00E968D8"/>
    <w:rsid w:val="00E97720"/>
    <w:rsid w:val="00EA10E3"/>
    <w:rsid w:val="00EA2F15"/>
    <w:rsid w:val="00EA37F4"/>
    <w:rsid w:val="00EA3D60"/>
    <w:rsid w:val="00EA619F"/>
    <w:rsid w:val="00EA6EFA"/>
    <w:rsid w:val="00EA70EE"/>
    <w:rsid w:val="00EA7B29"/>
    <w:rsid w:val="00EB0973"/>
    <w:rsid w:val="00EB1C81"/>
    <w:rsid w:val="00EB214F"/>
    <w:rsid w:val="00EB2765"/>
    <w:rsid w:val="00EB2BF4"/>
    <w:rsid w:val="00EB3477"/>
    <w:rsid w:val="00EB3963"/>
    <w:rsid w:val="00EB40FA"/>
    <w:rsid w:val="00EB4A66"/>
    <w:rsid w:val="00EB4E68"/>
    <w:rsid w:val="00EB4F37"/>
    <w:rsid w:val="00EB52AF"/>
    <w:rsid w:val="00EB632E"/>
    <w:rsid w:val="00EC0BAD"/>
    <w:rsid w:val="00EC200F"/>
    <w:rsid w:val="00EC25D4"/>
    <w:rsid w:val="00EC26BC"/>
    <w:rsid w:val="00EC2701"/>
    <w:rsid w:val="00EC303B"/>
    <w:rsid w:val="00EC5810"/>
    <w:rsid w:val="00EC614E"/>
    <w:rsid w:val="00EC65E0"/>
    <w:rsid w:val="00EC76F9"/>
    <w:rsid w:val="00ED1F2C"/>
    <w:rsid w:val="00ED3F6F"/>
    <w:rsid w:val="00ED4651"/>
    <w:rsid w:val="00ED5B33"/>
    <w:rsid w:val="00ED6DED"/>
    <w:rsid w:val="00ED78F9"/>
    <w:rsid w:val="00EE19CA"/>
    <w:rsid w:val="00EE1DE6"/>
    <w:rsid w:val="00EE367E"/>
    <w:rsid w:val="00EE3F3B"/>
    <w:rsid w:val="00EE3FF8"/>
    <w:rsid w:val="00EE40AC"/>
    <w:rsid w:val="00EE43B5"/>
    <w:rsid w:val="00EE4883"/>
    <w:rsid w:val="00EE49AF"/>
    <w:rsid w:val="00EE4D29"/>
    <w:rsid w:val="00EE51CF"/>
    <w:rsid w:val="00EE6651"/>
    <w:rsid w:val="00EE755A"/>
    <w:rsid w:val="00EE79F8"/>
    <w:rsid w:val="00EF0A1C"/>
    <w:rsid w:val="00EF0A71"/>
    <w:rsid w:val="00EF0CBF"/>
    <w:rsid w:val="00EF1364"/>
    <w:rsid w:val="00EF16EA"/>
    <w:rsid w:val="00EF1A17"/>
    <w:rsid w:val="00EF1BDF"/>
    <w:rsid w:val="00EF2A65"/>
    <w:rsid w:val="00EF2DDD"/>
    <w:rsid w:val="00EF3F6E"/>
    <w:rsid w:val="00EF59B4"/>
    <w:rsid w:val="00EF5B47"/>
    <w:rsid w:val="00EF61D4"/>
    <w:rsid w:val="00EF630E"/>
    <w:rsid w:val="00EF67FD"/>
    <w:rsid w:val="00F000B9"/>
    <w:rsid w:val="00F004FC"/>
    <w:rsid w:val="00F009C0"/>
    <w:rsid w:val="00F00F33"/>
    <w:rsid w:val="00F011CC"/>
    <w:rsid w:val="00F01FDF"/>
    <w:rsid w:val="00F02702"/>
    <w:rsid w:val="00F042F9"/>
    <w:rsid w:val="00F05A90"/>
    <w:rsid w:val="00F05E29"/>
    <w:rsid w:val="00F06DC1"/>
    <w:rsid w:val="00F06EE0"/>
    <w:rsid w:val="00F06FF5"/>
    <w:rsid w:val="00F1026C"/>
    <w:rsid w:val="00F1100A"/>
    <w:rsid w:val="00F1117F"/>
    <w:rsid w:val="00F12C66"/>
    <w:rsid w:val="00F13CED"/>
    <w:rsid w:val="00F13E19"/>
    <w:rsid w:val="00F1507F"/>
    <w:rsid w:val="00F16042"/>
    <w:rsid w:val="00F165C3"/>
    <w:rsid w:val="00F17408"/>
    <w:rsid w:val="00F17AA9"/>
    <w:rsid w:val="00F17BEA"/>
    <w:rsid w:val="00F20911"/>
    <w:rsid w:val="00F20A42"/>
    <w:rsid w:val="00F21039"/>
    <w:rsid w:val="00F215F3"/>
    <w:rsid w:val="00F22B1A"/>
    <w:rsid w:val="00F237F1"/>
    <w:rsid w:val="00F23B9C"/>
    <w:rsid w:val="00F248A7"/>
    <w:rsid w:val="00F253E6"/>
    <w:rsid w:val="00F257D0"/>
    <w:rsid w:val="00F25DDE"/>
    <w:rsid w:val="00F25E9C"/>
    <w:rsid w:val="00F2689F"/>
    <w:rsid w:val="00F31E9F"/>
    <w:rsid w:val="00F32FD2"/>
    <w:rsid w:val="00F33C60"/>
    <w:rsid w:val="00F34130"/>
    <w:rsid w:val="00F34E21"/>
    <w:rsid w:val="00F368B3"/>
    <w:rsid w:val="00F37C75"/>
    <w:rsid w:val="00F4013C"/>
    <w:rsid w:val="00F4079C"/>
    <w:rsid w:val="00F4121A"/>
    <w:rsid w:val="00F4233E"/>
    <w:rsid w:val="00F4251C"/>
    <w:rsid w:val="00F42E1A"/>
    <w:rsid w:val="00F42FA1"/>
    <w:rsid w:val="00F44E31"/>
    <w:rsid w:val="00F45F5C"/>
    <w:rsid w:val="00F467E2"/>
    <w:rsid w:val="00F519AC"/>
    <w:rsid w:val="00F51FA4"/>
    <w:rsid w:val="00F5250F"/>
    <w:rsid w:val="00F52748"/>
    <w:rsid w:val="00F5383E"/>
    <w:rsid w:val="00F53AA6"/>
    <w:rsid w:val="00F543D5"/>
    <w:rsid w:val="00F5530F"/>
    <w:rsid w:val="00F61B78"/>
    <w:rsid w:val="00F6254B"/>
    <w:rsid w:val="00F63200"/>
    <w:rsid w:val="00F63273"/>
    <w:rsid w:val="00F638A6"/>
    <w:rsid w:val="00F63EE3"/>
    <w:rsid w:val="00F64D9A"/>
    <w:rsid w:val="00F6558E"/>
    <w:rsid w:val="00F66EFF"/>
    <w:rsid w:val="00F7048A"/>
    <w:rsid w:val="00F714C1"/>
    <w:rsid w:val="00F714F8"/>
    <w:rsid w:val="00F7291F"/>
    <w:rsid w:val="00F72B88"/>
    <w:rsid w:val="00F72D20"/>
    <w:rsid w:val="00F7301B"/>
    <w:rsid w:val="00F74491"/>
    <w:rsid w:val="00F753E0"/>
    <w:rsid w:val="00F77DAB"/>
    <w:rsid w:val="00F77DFE"/>
    <w:rsid w:val="00F811B2"/>
    <w:rsid w:val="00F81685"/>
    <w:rsid w:val="00F81913"/>
    <w:rsid w:val="00F82B1B"/>
    <w:rsid w:val="00F851B9"/>
    <w:rsid w:val="00F85A62"/>
    <w:rsid w:val="00F85DED"/>
    <w:rsid w:val="00F85EF4"/>
    <w:rsid w:val="00F8697D"/>
    <w:rsid w:val="00F905E6"/>
    <w:rsid w:val="00F90984"/>
    <w:rsid w:val="00F913BC"/>
    <w:rsid w:val="00F914C2"/>
    <w:rsid w:val="00F926CE"/>
    <w:rsid w:val="00F929FD"/>
    <w:rsid w:val="00F94CC7"/>
    <w:rsid w:val="00F973DE"/>
    <w:rsid w:val="00F979B4"/>
    <w:rsid w:val="00F979D0"/>
    <w:rsid w:val="00FA05E3"/>
    <w:rsid w:val="00FA1206"/>
    <w:rsid w:val="00FA138D"/>
    <w:rsid w:val="00FA19D3"/>
    <w:rsid w:val="00FA1D38"/>
    <w:rsid w:val="00FA2B86"/>
    <w:rsid w:val="00FA4881"/>
    <w:rsid w:val="00FA4B96"/>
    <w:rsid w:val="00FA5297"/>
    <w:rsid w:val="00FA68D0"/>
    <w:rsid w:val="00FA7F96"/>
    <w:rsid w:val="00FB005F"/>
    <w:rsid w:val="00FB09A9"/>
    <w:rsid w:val="00FB0E27"/>
    <w:rsid w:val="00FB3032"/>
    <w:rsid w:val="00FB34BB"/>
    <w:rsid w:val="00FB3D13"/>
    <w:rsid w:val="00FB456F"/>
    <w:rsid w:val="00FB4D67"/>
    <w:rsid w:val="00FB6FA5"/>
    <w:rsid w:val="00FB732A"/>
    <w:rsid w:val="00FB7D28"/>
    <w:rsid w:val="00FC0021"/>
    <w:rsid w:val="00FC0AF4"/>
    <w:rsid w:val="00FC0D1B"/>
    <w:rsid w:val="00FC2025"/>
    <w:rsid w:val="00FC3190"/>
    <w:rsid w:val="00FC3204"/>
    <w:rsid w:val="00FC42EE"/>
    <w:rsid w:val="00FC4358"/>
    <w:rsid w:val="00FC4A1E"/>
    <w:rsid w:val="00FC4E63"/>
    <w:rsid w:val="00FC597B"/>
    <w:rsid w:val="00FC5995"/>
    <w:rsid w:val="00FC6005"/>
    <w:rsid w:val="00FC6FFE"/>
    <w:rsid w:val="00FC7ED0"/>
    <w:rsid w:val="00FD01FA"/>
    <w:rsid w:val="00FD05B1"/>
    <w:rsid w:val="00FD0FE1"/>
    <w:rsid w:val="00FD1975"/>
    <w:rsid w:val="00FD1BA8"/>
    <w:rsid w:val="00FD234E"/>
    <w:rsid w:val="00FD2D90"/>
    <w:rsid w:val="00FD3665"/>
    <w:rsid w:val="00FD3666"/>
    <w:rsid w:val="00FD5359"/>
    <w:rsid w:val="00FD59F8"/>
    <w:rsid w:val="00FD5BA7"/>
    <w:rsid w:val="00FD6609"/>
    <w:rsid w:val="00FD6A92"/>
    <w:rsid w:val="00FD7074"/>
    <w:rsid w:val="00FE0676"/>
    <w:rsid w:val="00FE0720"/>
    <w:rsid w:val="00FE2335"/>
    <w:rsid w:val="00FE2550"/>
    <w:rsid w:val="00FE445B"/>
    <w:rsid w:val="00FE5821"/>
    <w:rsid w:val="00FE5AC5"/>
    <w:rsid w:val="00FE5B1A"/>
    <w:rsid w:val="00FE5B7C"/>
    <w:rsid w:val="00FE63E7"/>
    <w:rsid w:val="00FE6EAB"/>
    <w:rsid w:val="00FE6F99"/>
    <w:rsid w:val="00FE6FBD"/>
    <w:rsid w:val="00FF1BC9"/>
    <w:rsid w:val="00FF1F99"/>
    <w:rsid w:val="00FF269B"/>
    <w:rsid w:val="00FF28B1"/>
    <w:rsid w:val="00FF2B11"/>
    <w:rsid w:val="00FF37EE"/>
    <w:rsid w:val="00FF3DC0"/>
    <w:rsid w:val="00FF4C57"/>
    <w:rsid w:val="00FF54FE"/>
    <w:rsid w:val="00FF55E5"/>
    <w:rsid w:val="00FF5DF0"/>
    <w:rsid w:val="00FF65BD"/>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E63C30"/>
  <w15:docId w15:val="{FB176D5E-6F4F-41F9-9AD3-1B51148F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06"/>
    <w:pPr>
      <w:spacing w:after="120"/>
      <w:ind w:left="0" w:firstLine="0"/>
    </w:pPr>
    <w:rPr>
      <w:rFonts w:asciiTheme="minorHAnsi" w:hAnsiTheme="minorHAnsi"/>
      <w:sz w:val="22"/>
    </w:rPr>
  </w:style>
  <w:style w:type="paragraph" w:styleId="Heading1">
    <w:name w:val="heading 1"/>
    <w:basedOn w:val="Normal"/>
    <w:next w:val="Normal"/>
    <w:link w:val="Heading1Char"/>
    <w:uiPriority w:val="1"/>
    <w:qFormat/>
    <w:rsid w:val="00551EC0"/>
    <w:pPr>
      <w:keepNext/>
      <w:keepLines/>
      <w:spacing w:before="240" w:after="180"/>
      <w:outlineLvl w:val="0"/>
    </w:pPr>
    <w:rPr>
      <w:rFonts w:ascii="Source Sans Pro" w:eastAsia="SimHei" w:hAnsi="Source Sans Pro"/>
      <w:color w:val="002A3A" w:themeColor="text2"/>
      <w:spacing w:val="1"/>
      <w:sz w:val="52"/>
      <w:szCs w:val="32"/>
      <w:lang w:eastAsia="en-US"/>
    </w:rPr>
  </w:style>
  <w:style w:type="paragraph" w:styleId="Heading2">
    <w:name w:val="heading 2"/>
    <w:basedOn w:val="Normal"/>
    <w:next w:val="Normal"/>
    <w:link w:val="Heading2Char"/>
    <w:uiPriority w:val="1"/>
    <w:qFormat/>
    <w:rsid w:val="00630972"/>
    <w:pPr>
      <w:keepNext/>
      <w:keepLines/>
      <w:spacing w:before="340" w:after="240" w:line="480" w:lineRule="exact"/>
      <w:outlineLvl w:val="1"/>
    </w:pPr>
    <w:rPr>
      <w:rFonts w:ascii="Source Sans Pro SemiBold" w:eastAsia="SimHei" w:hAnsi="Source Sans Pro SemiBold"/>
      <w:color w:val="002A3A" w:themeColor="text2"/>
      <w:spacing w:val="1"/>
      <w:sz w:val="44"/>
      <w:szCs w:val="28"/>
      <w:lang w:eastAsia="en-US"/>
    </w:rPr>
  </w:style>
  <w:style w:type="paragraph" w:styleId="Heading3">
    <w:name w:val="heading 3"/>
    <w:basedOn w:val="Normal"/>
    <w:next w:val="Normal"/>
    <w:link w:val="Heading3Char"/>
    <w:uiPriority w:val="1"/>
    <w:qFormat/>
    <w:rsid w:val="00630972"/>
    <w:pPr>
      <w:keepNext/>
      <w:keepLines/>
      <w:spacing w:before="180" w:after="200"/>
      <w:outlineLvl w:val="2"/>
    </w:pPr>
    <w:rPr>
      <w:rFonts w:ascii="Source Sans Pro SemiBold" w:eastAsiaTheme="majorEastAsia" w:hAnsi="Source Sans Pro SemiBold" w:cstheme="majorBidi"/>
      <w:bCs/>
      <w:color w:val="002A3A" w:themeColor="text2"/>
      <w:sz w:val="34"/>
      <w:lang w:eastAsia="en-AU"/>
    </w:rPr>
  </w:style>
  <w:style w:type="paragraph" w:styleId="Heading4">
    <w:name w:val="heading 4"/>
    <w:basedOn w:val="Normal"/>
    <w:next w:val="Normal"/>
    <w:link w:val="Heading4Char"/>
    <w:uiPriority w:val="9"/>
    <w:qFormat/>
    <w:rsid w:val="00630972"/>
    <w:pPr>
      <w:keepNext/>
      <w:keepLines/>
      <w:spacing w:before="240"/>
      <w:outlineLvl w:val="3"/>
    </w:pPr>
    <w:rPr>
      <w:rFonts w:asciiTheme="majorHAnsi" w:eastAsiaTheme="majorEastAsia" w:hAnsiTheme="majorHAnsi" w:cstheme="majorBidi"/>
      <w:bCs/>
      <w:iCs/>
      <w:color w:val="002A3A" w:themeColor="text2"/>
      <w:sz w:val="32"/>
      <w:szCs w:val="32"/>
    </w:rPr>
  </w:style>
  <w:style w:type="paragraph" w:styleId="Heading5">
    <w:name w:val="heading 5"/>
    <w:basedOn w:val="Normal"/>
    <w:next w:val="Normal"/>
    <w:link w:val="Heading5Char"/>
    <w:uiPriority w:val="9"/>
    <w:qFormat/>
    <w:rsid w:val="00630972"/>
    <w:pPr>
      <w:keepNext/>
      <w:keepLines/>
      <w:spacing w:before="240"/>
      <w:outlineLvl w:val="4"/>
    </w:pPr>
    <w:rPr>
      <w:rFonts w:ascii="Source Sans Pro SemiBold" w:eastAsiaTheme="majorEastAsia" w:hAnsi="Source Sans Pro SemiBold" w:cstheme="majorBidi"/>
      <w:color w:val="002A3A" w:themeColor="text2"/>
      <w:szCs w:val="22"/>
    </w:rPr>
  </w:style>
  <w:style w:type="paragraph" w:styleId="Heading6">
    <w:name w:val="heading 6"/>
    <w:basedOn w:val="Normal"/>
    <w:next w:val="Normal"/>
    <w:link w:val="Heading6Char"/>
    <w:uiPriority w:val="9"/>
    <w:qFormat/>
    <w:rsid w:val="002836FB"/>
    <w:pPr>
      <w:keepNext/>
      <w:keepLines/>
      <w:spacing w:before="240"/>
      <w:outlineLvl w:val="5"/>
    </w:pPr>
    <w:rPr>
      <w:rFonts w:asciiTheme="majorHAnsi" w:eastAsiaTheme="majorEastAsia" w:hAnsiTheme="majorHAnsi" w:cstheme="majorBidi"/>
      <w: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1"/>
    <w:rsid w:val="00551EC0"/>
    <w:rPr>
      <w:rFonts w:ascii="Source Sans Pro" w:eastAsia="SimHei" w:hAnsi="Source Sans Pro"/>
      <w:color w:val="002A3A" w:themeColor="text2"/>
      <w:spacing w:val="1"/>
      <w:sz w:val="52"/>
      <w:szCs w:val="32"/>
      <w:lang w:eastAsia="en-US"/>
    </w:rPr>
  </w:style>
  <w:style w:type="character" w:customStyle="1" w:styleId="Heading2Char">
    <w:name w:val="Heading 2 Char"/>
    <w:basedOn w:val="DefaultParagraphFont"/>
    <w:link w:val="Heading2"/>
    <w:uiPriority w:val="1"/>
    <w:rsid w:val="00630972"/>
    <w:rPr>
      <w:rFonts w:ascii="Source Sans Pro SemiBold" w:eastAsia="SimHei" w:hAnsi="Source Sans Pro SemiBold"/>
      <w:color w:val="002A3A" w:themeColor="text2"/>
      <w:spacing w:val="1"/>
      <w:sz w:val="44"/>
      <w:szCs w:val="28"/>
      <w:lang w:eastAsia="en-US"/>
    </w:rPr>
  </w:style>
  <w:style w:type="character" w:customStyle="1" w:styleId="Heading3Char">
    <w:name w:val="Heading 3 Char"/>
    <w:basedOn w:val="DefaultParagraphFont"/>
    <w:link w:val="Heading3"/>
    <w:uiPriority w:val="9"/>
    <w:rsid w:val="00630972"/>
    <w:rPr>
      <w:rFonts w:ascii="Source Sans Pro SemiBold" w:eastAsiaTheme="majorEastAsia" w:hAnsi="Source Sans Pro SemiBold" w:cstheme="majorBidi"/>
      <w:bCs/>
      <w:color w:val="002A3A" w:themeColor="text2"/>
      <w:sz w:val="34"/>
      <w:lang w:eastAsia="en-AU"/>
    </w:rPr>
  </w:style>
  <w:style w:type="character" w:customStyle="1" w:styleId="Heading4Char">
    <w:name w:val="Heading 4 Char"/>
    <w:basedOn w:val="DefaultParagraphFont"/>
    <w:link w:val="Heading4"/>
    <w:uiPriority w:val="9"/>
    <w:rsid w:val="00630972"/>
    <w:rPr>
      <w:rFonts w:asciiTheme="majorHAnsi" w:eastAsiaTheme="majorEastAsia" w:hAnsiTheme="majorHAnsi" w:cstheme="majorBidi"/>
      <w:bCs/>
      <w:iCs/>
      <w:color w:val="002A3A" w:themeColor="text2"/>
      <w:sz w:val="32"/>
      <w:szCs w:val="32"/>
    </w:rPr>
  </w:style>
  <w:style w:type="character" w:customStyle="1" w:styleId="Heading5Char">
    <w:name w:val="Heading 5 Char"/>
    <w:basedOn w:val="DefaultParagraphFont"/>
    <w:link w:val="Heading5"/>
    <w:uiPriority w:val="9"/>
    <w:rsid w:val="00630972"/>
    <w:rPr>
      <w:rFonts w:ascii="Source Sans Pro SemiBold" w:eastAsiaTheme="majorEastAsia" w:hAnsi="Source Sans Pro SemiBold" w:cstheme="majorBidi"/>
      <w:color w:val="002A3A" w:themeColor="text2"/>
      <w:sz w:val="22"/>
      <w:szCs w:val="22"/>
    </w:rPr>
  </w:style>
  <w:style w:type="paragraph" w:styleId="ListParagraph">
    <w:name w:val="List Paragraph"/>
    <w:aliases w:val="Bullet"/>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tabs>
        <w:tab w:val="num" w:pos="360"/>
      </w:tabs>
      <w:ind w:left="0" w:firstLine="0"/>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ind w:left="2880" w:hanging="360"/>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0F3540"/>
    <w:pPr>
      <w:spacing w:after="0"/>
      <w:jc w:val="right"/>
    </w:pPr>
    <w:rPr>
      <w:color w:val="000000" w:themeColor="text1"/>
      <w:sz w:val="18"/>
    </w:rPr>
  </w:style>
  <w:style w:type="character" w:customStyle="1" w:styleId="FooterChar">
    <w:name w:val="Footer Char"/>
    <w:basedOn w:val="DefaultParagraphFont"/>
    <w:link w:val="Footer"/>
    <w:uiPriority w:val="99"/>
    <w:rsid w:val="000F3540"/>
    <w:rPr>
      <w:rFonts w:asciiTheme="minorHAnsi" w:hAnsiTheme="minorHAnsi"/>
      <w:color w:val="000000" w:themeColor="text1"/>
      <w:sz w:val="18"/>
    </w:rPr>
  </w:style>
  <w:style w:type="paragraph" w:styleId="Title">
    <w:name w:val="Title"/>
    <w:basedOn w:val="Normal"/>
    <w:next w:val="Normal"/>
    <w:link w:val="TitleChar"/>
    <w:uiPriority w:val="2"/>
    <w:qFormat/>
    <w:rsid w:val="007F0CAA"/>
    <w:pPr>
      <w:framePr w:w="5387" w:h="3969" w:wrap="around" w:vAnchor="page" w:hAnchor="page" w:x="5388" w:y="1390" w:anchorLock="1"/>
      <w:adjustRightInd w:val="0"/>
      <w:spacing w:after="360" w:line="228" w:lineRule="auto"/>
    </w:pPr>
    <w:rPr>
      <w:rFonts w:asciiTheme="majorHAnsi" w:eastAsiaTheme="majorEastAsia" w:hAnsiTheme="majorHAnsi" w:cstheme="majorBidi"/>
      <w:color w:val="002A3A" w:themeColor="text2"/>
      <w:spacing w:val="5"/>
      <w:kern w:val="28"/>
      <w:sz w:val="60"/>
      <w:szCs w:val="52"/>
    </w:rPr>
  </w:style>
  <w:style w:type="character" w:customStyle="1" w:styleId="TitleChar">
    <w:name w:val="Title Char"/>
    <w:basedOn w:val="DefaultParagraphFont"/>
    <w:link w:val="Title"/>
    <w:uiPriority w:val="2"/>
    <w:rsid w:val="007F0CAA"/>
    <w:rPr>
      <w:rFonts w:asciiTheme="majorHAnsi" w:eastAsiaTheme="majorEastAsia" w:hAnsiTheme="majorHAnsi" w:cstheme="majorBidi"/>
      <w:color w:val="002A3A" w:themeColor="text2"/>
      <w:spacing w:val="5"/>
      <w:kern w:val="28"/>
      <w:sz w:val="60"/>
      <w:szCs w:val="52"/>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B87055"/>
    <w:pPr>
      <w:numPr>
        <w:ilvl w:val="1"/>
        <w:numId w:val="22"/>
      </w:numPr>
      <w:adjustRightInd w:val="0"/>
      <w:ind w:left="1021" w:hanging="28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C47E4"/>
    <w:pPr>
      <w:numPr>
        <w:numId w:val="15"/>
      </w:numPr>
    </w:pPr>
  </w:style>
  <w:style w:type="paragraph" w:styleId="ListNumber2">
    <w:name w:val="List Number 2"/>
    <w:basedOn w:val="Normal"/>
    <w:uiPriority w:val="99"/>
    <w:qFormat/>
    <w:rsid w:val="00CC47E4"/>
    <w:pPr>
      <w:numPr>
        <w:ilvl w:val="1"/>
        <w:numId w:val="15"/>
      </w:numPr>
    </w:pPr>
  </w:style>
  <w:style w:type="paragraph" w:customStyle="1" w:styleId="TableHeading">
    <w:name w:val="Table Heading"/>
    <w:basedOn w:val="TableText"/>
    <w:qFormat/>
    <w:rsid w:val="0069144C"/>
    <w:pPr>
      <w:spacing w:before="120"/>
    </w:pPr>
    <w:rPr>
      <w:color w:val="FFFFFF"/>
      <w:sz w:val="22"/>
    </w:rPr>
  </w:style>
  <w:style w:type="paragraph" w:customStyle="1" w:styleId="TableText">
    <w:name w:val="Table Text"/>
    <w:basedOn w:val="Normal"/>
    <w:autoRedefine/>
    <w:uiPriority w:val="60"/>
    <w:qFormat/>
    <w:rsid w:val="00522F26"/>
    <w:pPr>
      <w:adjustRightInd w:val="0"/>
      <w:spacing w:before="60"/>
    </w:pPr>
    <w:rPr>
      <w:color w:val="000000" w:themeColor="text1"/>
      <w:sz w:val="20"/>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lang w:eastAsia="en-US"/>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Grid1"/>
    <w:uiPriority w:val="99"/>
    <w:rsid w:val="00B856CD"/>
    <w:rPr>
      <w:rFonts w:asciiTheme="minorHAnsi" w:hAnsiTheme="minorHAnsi"/>
      <w:lang w:val="en-GB" w:eastAsia="zh-CN"/>
    </w:rPr>
    <w:tblPr>
      <w:tblBorders>
        <w:insideH w:val="single" w:sz="4" w:space="0" w:color="DDD8D9" w:themeColor="accent1"/>
      </w:tblBorders>
    </w:tblPr>
    <w:tcPr>
      <w:shd w:val="clear" w:color="auto" w:fill="FFFFFF" w:themeFill="background1"/>
    </w:tcPr>
    <w:tblStylePr w:type="firstRow">
      <w:rPr>
        <w:b/>
        <w:color w:val="000000" w:themeColor="text1"/>
        <w:sz w:val="22"/>
      </w:rPr>
      <w:tblPr/>
      <w:tcPr>
        <w:shd w:val="clear" w:color="auto" w:fill="DDD8D9" w:themeFill="accent1"/>
      </w:tcPr>
    </w:tblStylePr>
    <w:tblStylePr w:type="lastRow">
      <w:tblPr/>
      <w:tcPr>
        <w:shd w:val="clear" w:color="auto" w:fill="DDD8D9" w:themeFill="accent1"/>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C47E4"/>
    <w:pPr>
      <w:numPr>
        <w:ilvl w:val="2"/>
        <w:numId w:val="15"/>
      </w:numPr>
    </w:pPr>
  </w:style>
  <w:style w:type="paragraph" w:styleId="FootnoteText">
    <w:name w:val="footnote text"/>
    <w:basedOn w:val="Normal"/>
    <w:link w:val="FootnoteTextChar"/>
    <w:uiPriority w:val="99"/>
    <w:unhideWhenUsed/>
    <w:rsid w:val="00E75875"/>
    <w:pPr>
      <w:spacing w:after="60"/>
    </w:pPr>
    <w:rPr>
      <w:rFonts w:cs="Calibri"/>
      <w:spacing w:val="-5"/>
      <w:sz w:val="18"/>
      <w:szCs w:val="24"/>
    </w:rPr>
  </w:style>
  <w:style w:type="character" w:customStyle="1" w:styleId="TableBulletChar">
    <w:name w:val="Table Bullet Char"/>
    <w:link w:val="TableBullet"/>
    <w:locked/>
    <w:rsid w:val="003D78F2"/>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E75875"/>
    <w:rPr>
      <w:rFonts w:asciiTheme="minorHAnsi" w:hAnsiTheme="minorHAnsi" w:cs="Calibri"/>
      <w:spacing w:val="-5"/>
      <w:sz w:val="18"/>
      <w:szCs w:val="24"/>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lang w:eastAsia="en-US"/>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rsid w:val="002C2474"/>
    <w:pPr>
      <w:spacing w:after="0"/>
    </w:pPr>
    <w:rPr>
      <w:b/>
      <w:color w:val="000000" w:themeColor="text1"/>
      <w:sz w:val="22"/>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Normal"/>
    <w:next w:val="Normal"/>
    <w:rsid w:val="008014B1"/>
    <w:rPr>
      <w:color w:val="002A3A" w:themeColor="text2"/>
      <w:sz w:val="20"/>
    </w:rPr>
  </w:style>
  <w:style w:type="paragraph" w:styleId="TOC1">
    <w:name w:val="toc 1"/>
    <w:basedOn w:val="Normal"/>
    <w:next w:val="Normal"/>
    <w:autoRedefine/>
    <w:uiPriority w:val="39"/>
    <w:unhideWhenUsed/>
    <w:qFormat/>
    <w:rsid w:val="00C53E04"/>
    <w:pPr>
      <w:tabs>
        <w:tab w:val="right" w:pos="9060"/>
      </w:tabs>
      <w:spacing w:after="100"/>
      <w:ind w:right="567"/>
    </w:pPr>
    <w:rPr>
      <w:sz w:val="26"/>
    </w:rPr>
  </w:style>
  <w:style w:type="paragraph" w:styleId="TOC2">
    <w:name w:val="toc 2"/>
    <w:basedOn w:val="Normal"/>
    <w:next w:val="Normal"/>
    <w:autoRedefine/>
    <w:uiPriority w:val="39"/>
    <w:unhideWhenUsed/>
    <w:qFormat/>
    <w:rsid w:val="0075695A"/>
    <w:pPr>
      <w:tabs>
        <w:tab w:val="right" w:pos="9060"/>
      </w:tabs>
      <w:spacing w:before="80" w:after="80"/>
      <w:ind w:left="28" w:right="567"/>
    </w:pPr>
    <w:rPr>
      <w:rFonts w:ascii="Source Sans Pro SemiBold" w:hAnsi="Source Sans Pro SemiBold"/>
      <w:noProof/>
      <w:szCs w:val="16"/>
    </w:rPr>
  </w:style>
  <w:style w:type="paragraph" w:styleId="TOC3">
    <w:name w:val="toc 3"/>
    <w:basedOn w:val="Normal"/>
    <w:next w:val="Normal"/>
    <w:autoRedefine/>
    <w:uiPriority w:val="39"/>
    <w:unhideWhenUsed/>
    <w:qFormat/>
    <w:rsid w:val="009C7E99"/>
    <w:pPr>
      <w:tabs>
        <w:tab w:val="right" w:pos="9060"/>
      </w:tabs>
      <w:spacing w:before="60" w:after="60"/>
      <w:ind w:left="284" w:right="567"/>
    </w:pPr>
    <w:rPr>
      <w:noProof/>
      <w:sz w:val="20"/>
      <w:szCs w:val="14"/>
    </w:rPr>
  </w:style>
  <w:style w:type="numbering" w:customStyle="1" w:styleId="BulletsOAIC">
    <w:name w:val="Bullets_OAIC"/>
    <w:uiPriority w:val="99"/>
    <w:rsid w:val="005E2E2F"/>
    <w:pPr>
      <w:numPr>
        <w:numId w:val="6"/>
      </w:numPr>
    </w:pPr>
  </w:style>
  <w:style w:type="paragraph" w:styleId="TOCHeading">
    <w:name w:val="TOC Heading"/>
    <w:basedOn w:val="Heading1"/>
    <w:next w:val="Normal"/>
    <w:uiPriority w:val="39"/>
    <w:qFormat/>
    <w:rsid w:val="00C24D76"/>
    <w:pPr>
      <w:spacing w:before="600" w:after="360"/>
      <w:outlineLvl w:val="9"/>
    </w:pPr>
    <w:rPr>
      <w:rFonts w:asciiTheme="majorHAnsi" w:hAnsiTheme="majorHAnsi"/>
      <w:sz w:val="42"/>
      <w:szCs w:val="42"/>
    </w:rPr>
  </w:style>
  <w:style w:type="paragraph" w:styleId="ListBullet">
    <w:name w:val="List Bullet"/>
    <w:basedOn w:val="Normal"/>
    <w:uiPriority w:val="99"/>
    <w:qFormat/>
    <w:rsid w:val="00B87055"/>
    <w:pPr>
      <w:numPr>
        <w:numId w:val="11"/>
      </w:numPr>
      <w:ind w:left="680" w:hanging="482"/>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972407"/>
    <w:pPr>
      <w:numPr>
        <w:ilvl w:val="1"/>
        <w:numId w:val="10"/>
      </w:numPr>
    </w:pPr>
  </w:style>
  <w:style w:type="character" w:customStyle="1" w:styleId="Heading6Char">
    <w:name w:val="Heading 6 Char"/>
    <w:basedOn w:val="DefaultParagraphFont"/>
    <w:link w:val="Heading6"/>
    <w:uiPriority w:val="9"/>
    <w:rsid w:val="002836FB"/>
    <w:rPr>
      <w:rFonts w:asciiTheme="majorHAnsi" w:eastAsiaTheme="majorEastAsia" w:hAnsiTheme="majorHAnsi" w:cstheme="majorBidi"/>
      <w:i/>
      <w:iCs/>
      <w:color w:val="002A3A" w:themeColor="text2"/>
      <w:sz w:val="22"/>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A105F1"/>
    <w:pPr>
      <w:numPr>
        <w:numId w:val="17"/>
      </w:numPr>
    </w:pPr>
  </w:style>
  <w:style w:type="paragraph" w:customStyle="1" w:styleId="IndentBullet2">
    <w:name w:val="Indent Bullet 2"/>
    <w:basedOn w:val="ListParagraph"/>
    <w:qFormat/>
    <w:rsid w:val="00057BDC"/>
    <w:pPr>
      <w:numPr>
        <w:ilvl w:val="1"/>
        <w:numId w:val="17"/>
      </w:numPr>
      <w:ind w:left="1475" w:hanging="284"/>
      <w:contextualSpacing w:val="0"/>
    </w:pPr>
  </w:style>
  <w:style w:type="numbering" w:customStyle="1" w:styleId="IndentNumbersOAIC">
    <w:name w:val="IndentNumbers_OAIC"/>
    <w:uiPriority w:val="99"/>
    <w:rsid w:val="00BA5180"/>
    <w:pPr>
      <w:numPr>
        <w:numId w:val="39"/>
      </w:numPr>
    </w:pPr>
  </w:style>
  <w:style w:type="paragraph" w:styleId="List">
    <w:name w:val="List"/>
    <w:basedOn w:val="Normal"/>
    <w:uiPriority w:val="99"/>
    <w:qFormat/>
    <w:rsid w:val="00990AED"/>
  </w:style>
  <w:style w:type="paragraph" w:styleId="List2">
    <w:name w:val="List 2"/>
    <w:basedOn w:val="Normal"/>
    <w:uiPriority w:val="99"/>
    <w:qFormat/>
    <w:rsid w:val="00486C46"/>
  </w:style>
  <w:style w:type="paragraph" w:styleId="List3">
    <w:name w:val="List 3"/>
    <w:basedOn w:val="Normal"/>
    <w:uiPriority w:val="99"/>
    <w:qFormat/>
    <w:rsid w:val="00F926CE"/>
  </w:style>
  <w:style w:type="paragraph" w:styleId="Quote">
    <w:name w:val="Quote"/>
    <w:basedOn w:val="Normal"/>
    <w:next w:val="Normal"/>
    <w:link w:val="QuoteChar"/>
    <w:autoRedefine/>
    <w:uiPriority w:val="2"/>
    <w:qFormat/>
    <w:rsid w:val="00B16297"/>
    <w:pPr>
      <w:spacing w:after="240"/>
      <w:ind w:left="567"/>
    </w:pPr>
    <w:rPr>
      <w:rFonts w:ascii="Calibri" w:eastAsiaTheme="minorHAnsi" w:hAnsi="Calibri"/>
      <w:lang w:eastAsia="en-US"/>
    </w:rPr>
  </w:style>
  <w:style w:type="character" w:customStyle="1" w:styleId="QuoteChar">
    <w:name w:val="Quote Char"/>
    <w:basedOn w:val="DefaultParagraphFont"/>
    <w:link w:val="Quote"/>
    <w:uiPriority w:val="2"/>
    <w:rsid w:val="00B16297"/>
    <w:rPr>
      <w:rFonts w:ascii="Calibri" w:eastAsiaTheme="minorHAnsi" w:hAnsi="Calibri"/>
      <w:sz w:val="22"/>
      <w:lang w:eastAsia="en-US"/>
    </w:rPr>
  </w:style>
  <w:style w:type="character" w:styleId="FootnoteReference">
    <w:name w:val="footnote reference"/>
    <w:basedOn w:val="DefaultParagraphFont"/>
    <w:uiPriority w:val="99"/>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uiPriority w:val="3"/>
    <w:qFormat/>
    <w:rsid w:val="00411F2F"/>
    <w:pPr>
      <w:framePr w:h="3969" w:hRule="exact" w:wrap="around"/>
      <w:numPr>
        <w:ilvl w:val="1"/>
      </w:numPr>
      <w:adjustRightInd/>
      <w:spacing w:after="380" w:line="245" w:lineRule="auto"/>
      <w:contextualSpacing/>
    </w:pPr>
    <w:rPr>
      <w:rFonts w:ascii="Source Sans Pro Light" w:eastAsiaTheme="minorEastAsia" w:hAnsi="Source Sans Pro Light"/>
      <w:color w:val="auto"/>
      <w:spacing w:val="-8"/>
      <w:sz w:val="44"/>
      <w:szCs w:val="56"/>
      <w:lang w:eastAsia="en-US"/>
    </w:rPr>
  </w:style>
  <w:style w:type="character" w:customStyle="1" w:styleId="SubtitleChar">
    <w:name w:val="Subtitle Char"/>
    <w:basedOn w:val="DefaultParagraphFont"/>
    <w:link w:val="Subtitle"/>
    <w:uiPriority w:val="3"/>
    <w:rsid w:val="00411F2F"/>
    <w:rPr>
      <w:rFonts w:ascii="Source Sans Pro Light" w:hAnsi="Source Sans Pro Light" w:cstheme="majorBidi"/>
      <w:spacing w:val="-8"/>
      <w:kern w:val="28"/>
      <w:sz w:val="44"/>
      <w:szCs w:val="56"/>
      <w:lang w:eastAsia="en-US"/>
    </w:rPr>
  </w:style>
  <w:style w:type="paragraph" w:customStyle="1" w:styleId="Details">
    <w:name w:val="Details"/>
    <w:basedOn w:val="NoSpacing"/>
    <w:link w:val="DetailsChar"/>
    <w:rsid w:val="002C2474"/>
    <w:pPr>
      <w:framePr w:w="9639" w:h="510" w:hRule="exact" w:wrap="around" w:vAnchor="page" w:hAnchor="page" w:x="1135" w:y="15877" w:anchorLock="1"/>
      <w:spacing w:line="228" w:lineRule="auto"/>
    </w:pPr>
    <w:rPr>
      <w:rFonts w:eastAsiaTheme="minorHAnsi" w:cstheme="minorBidi"/>
      <w:color w:val="002A3A" w:themeColor="text2"/>
      <w:spacing w:val="2"/>
      <w:szCs w:val="22"/>
      <w:lang w:eastAsia="en-US"/>
    </w:rPr>
  </w:style>
  <w:style w:type="paragraph" w:customStyle="1" w:styleId="URL">
    <w:name w:val="URL"/>
    <w:basedOn w:val="NoSpacing"/>
    <w:link w:val="URLChar"/>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2C2474"/>
    <w:rPr>
      <w:rFonts w:asciiTheme="minorHAnsi" w:eastAsiaTheme="minorHAnsi" w:hAnsiTheme="minorHAnsi" w:cstheme="minorBidi"/>
      <w:color w:val="002A3A" w:themeColor="text2"/>
      <w:spacing w:val="2"/>
      <w:sz w:val="22"/>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45"/>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contextualSpacing/>
    </w:pPr>
    <w:rPr>
      <w:rFonts w:eastAsia="Source Sans Pro"/>
      <w:spacing w:val="1"/>
      <w:szCs w:val="22"/>
      <w:lang w:eastAsia="en-US"/>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qFormat/>
    <w:rsid w:val="005C1740"/>
    <w:pPr>
      <w:pBdr>
        <w:top w:val="single" w:sz="4" w:space="10" w:color="F3DD6D" w:themeColor="accent2"/>
        <w:left w:val="single" w:sz="4" w:space="10" w:color="F3DD6D" w:themeColor="accent2"/>
        <w:bottom w:val="single" w:sz="4" w:space="10" w:color="F3DD6D" w:themeColor="accent2"/>
        <w:right w:val="single" w:sz="4" w:space="10" w:color="F3DD6D" w:themeColor="accent2"/>
      </w:pBdr>
      <w:shd w:val="clear" w:color="auto" w:fill="F3DD6D" w:themeFill="accent2"/>
      <w:ind w:left="227" w:right="227"/>
    </w:pPr>
    <w:rPr>
      <w:rFonts w:eastAsiaTheme="minorHAnsi" w:cstheme="minorBidi"/>
      <w:spacing w:val="1"/>
      <w:szCs w:val="22"/>
      <w:lang w:eastAsia="en-US"/>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qFormat/>
    <w:rsid w:val="005C1740"/>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DDD8D9" w:themeFill="accent1"/>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34"/>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NormalWeb">
    <w:name w:val="Normal (Web)"/>
    <w:basedOn w:val="Normal"/>
    <w:uiPriority w:val="99"/>
    <w:unhideWhenUsed/>
    <w:rsid w:val="00C24D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Instructiontext">
    <w:name w:val="Instruction text"/>
    <w:basedOn w:val="Normal"/>
    <w:next w:val="Normal"/>
    <w:uiPriority w:val="4"/>
    <w:qFormat/>
    <w:rsid w:val="00C24D76"/>
    <w:pPr>
      <w:spacing w:after="180" w:line="259" w:lineRule="auto"/>
    </w:pPr>
    <w:rPr>
      <w:rFonts w:eastAsiaTheme="minorHAnsi" w:cstheme="minorBidi"/>
      <w:i/>
      <w:color w:val="0070C0"/>
      <w:szCs w:val="22"/>
      <w:lang w:eastAsia="en-US"/>
    </w:rPr>
  </w:style>
  <w:style w:type="table" w:styleId="LightList-Accent1">
    <w:name w:val="Light List Accent 1"/>
    <w:basedOn w:val="TableNormal"/>
    <w:uiPriority w:val="61"/>
    <w:rsid w:val="00C24D76"/>
    <w:pPr>
      <w:ind w:left="0" w:firstLine="0"/>
    </w:pPr>
    <w:rPr>
      <w:rFonts w:ascii="Calibri" w:eastAsiaTheme="minorHAnsi" w:hAnsi="Calibri"/>
      <w:lang w:eastAsia="en-US"/>
    </w:rPr>
    <w:tblPr>
      <w:tblStyleRowBandSize w:val="1"/>
      <w:tblStyleColBandSize w:val="1"/>
      <w:tblBorders>
        <w:top w:val="single" w:sz="8" w:space="0" w:color="DDD8D9" w:themeColor="accent1"/>
        <w:left w:val="single" w:sz="8" w:space="0" w:color="DDD8D9" w:themeColor="accent1"/>
        <w:bottom w:val="single" w:sz="8" w:space="0" w:color="DDD8D9" w:themeColor="accent1"/>
        <w:right w:val="single" w:sz="8" w:space="0" w:color="DDD8D9" w:themeColor="accent1"/>
      </w:tblBorders>
    </w:tblPr>
    <w:tblStylePr w:type="firstRow">
      <w:pPr>
        <w:spacing w:before="0" w:after="0" w:line="240" w:lineRule="auto"/>
      </w:pPr>
      <w:rPr>
        <w:b/>
        <w:bCs/>
        <w:color w:val="FFFFFF" w:themeColor="background1"/>
      </w:rPr>
      <w:tblPr/>
      <w:tcPr>
        <w:shd w:val="clear" w:color="auto" w:fill="DDD8D9" w:themeFill="accent1"/>
      </w:tcPr>
    </w:tblStylePr>
    <w:tblStylePr w:type="lastRow">
      <w:pPr>
        <w:spacing w:before="0" w:after="0" w:line="240" w:lineRule="auto"/>
      </w:pPr>
      <w:rPr>
        <w:b/>
        <w:bCs/>
      </w:rPr>
      <w:tblPr/>
      <w:tcPr>
        <w:tcBorders>
          <w:top w:val="double" w:sz="6" w:space="0" w:color="DDD8D9" w:themeColor="accent1"/>
          <w:left w:val="single" w:sz="8" w:space="0" w:color="DDD8D9" w:themeColor="accent1"/>
          <w:bottom w:val="single" w:sz="8" w:space="0" w:color="DDD8D9" w:themeColor="accent1"/>
          <w:right w:val="single" w:sz="8" w:space="0" w:color="DDD8D9" w:themeColor="accent1"/>
        </w:tcBorders>
      </w:tcPr>
    </w:tblStylePr>
    <w:tblStylePr w:type="firstCol">
      <w:rPr>
        <w:b/>
        <w:bCs/>
      </w:rPr>
    </w:tblStylePr>
    <w:tblStylePr w:type="lastCol">
      <w:rPr>
        <w:b/>
        <w:bCs/>
      </w:rPr>
    </w:tblStylePr>
    <w:tblStylePr w:type="band1Vert">
      <w:tblPr/>
      <w:tcPr>
        <w:tcBorders>
          <w:top w:val="single" w:sz="8" w:space="0" w:color="DDD8D9" w:themeColor="accent1"/>
          <w:left w:val="single" w:sz="8" w:space="0" w:color="DDD8D9" w:themeColor="accent1"/>
          <w:bottom w:val="single" w:sz="8" w:space="0" w:color="DDD8D9" w:themeColor="accent1"/>
          <w:right w:val="single" w:sz="8" w:space="0" w:color="DDD8D9" w:themeColor="accent1"/>
        </w:tcBorders>
      </w:tcPr>
    </w:tblStylePr>
    <w:tblStylePr w:type="band1Horz">
      <w:tblPr/>
      <w:tcPr>
        <w:tcBorders>
          <w:top w:val="single" w:sz="8" w:space="0" w:color="DDD8D9" w:themeColor="accent1"/>
          <w:left w:val="single" w:sz="8" w:space="0" w:color="DDD8D9" w:themeColor="accent1"/>
          <w:bottom w:val="single" w:sz="8" w:space="0" w:color="DDD8D9" w:themeColor="accent1"/>
          <w:right w:val="single" w:sz="8" w:space="0" w:color="DDD8D9" w:themeColor="accent1"/>
        </w:tcBorders>
      </w:tcPr>
    </w:tblStylePr>
  </w:style>
  <w:style w:type="table" w:customStyle="1" w:styleId="OAICtable0">
    <w:name w:val="OAIC table"/>
    <w:basedOn w:val="TableNormal"/>
    <w:uiPriority w:val="99"/>
    <w:rsid w:val="00C24D76"/>
    <w:pPr>
      <w:ind w:left="0" w:firstLine="0"/>
    </w:pPr>
    <w:rPr>
      <w:rFonts w:ascii="Calibri" w:eastAsiaTheme="minorHAns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wordWrap/>
        <w:jc w:val="center"/>
      </w:pPr>
      <w:rPr>
        <w:b/>
      </w:rPr>
      <w:tblPr/>
      <w:tcPr>
        <w:shd w:val="clear" w:color="auto" w:fill="F2F2F2" w:themeFill="background1" w:themeFillShade="F2"/>
      </w:tcPr>
    </w:tblStylePr>
  </w:style>
  <w:style w:type="character" w:styleId="CommentReference">
    <w:name w:val="annotation reference"/>
    <w:basedOn w:val="DefaultParagraphFont"/>
    <w:uiPriority w:val="99"/>
    <w:unhideWhenUsed/>
    <w:rsid w:val="00C24D76"/>
    <w:rPr>
      <w:rFonts w:cs="Times New Roman"/>
      <w:sz w:val="16"/>
      <w:szCs w:val="16"/>
    </w:rPr>
  </w:style>
  <w:style w:type="paragraph" w:styleId="CommentText">
    <w:name w:val="annotation text"/>
    <w:basedOn w:val="Normal"/>
    <w:link w:val="CommentTextChar"/>
    <w:uiPriority w:val="99"/>
    <w:unhideWhenUsed/>
    <w:rsid w:val="00C24D76"/>
    <w:pPr>
      <w:spacing w:after="160" w:line="259" w:lineRule="auto"/>
    </w:pPr>
    <w:rPr>
      <w:rFonts w:eastAsiaTheme="minorHAnsi" w:cstheme="minorBidi"/>
      <w:sz w:val="20"/>
      <w:szCs w:val="22"/>
      <w:lang w:eastAsia="en-US"/>
    </w:rPr>
  </w:style>
  <w:style w:type="character" w:customStyle="1" w:styleId="CommentTextChar">
    <w:name w:val="Comment Text Char"/>
    <w:basedOn w:val="DefaultParagraphFont"/>
    <w:link w:val="CommentText"/>
    <w:uiPriority w:val="99"/>
    <w:rsid w:val="00C24D76"/>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uiPriority w:val="99"/>
    <w:semiHidden/>
    <w:unhideWhenUsed/>
    <w:rsid w:val="00C24D76"/>
    <w:rPr>
      <w:b/>
      <w:bCs/>
    </w:rPr>
  </w:style>
  <w:style w:type="character" w:customStyle="1" w:styleId="CommentSubjectChar">
    <w:name w:val="Comment Subject Char"/>
    <w:basedOn w:val="CommentTextChar"/>
    <w:link w:val="CommentSubject"/>
    <w:uiPriority w:val="99"/>
    <w:semiHidden/>
    <w:rsid w:val="00C24D76"/>
    <w:rPr>
      <w:rFonts w:asciiTheme="minorHAnsi" w:eastAsiaTheme="minorHAnsi" w:hAnsiTheme="minorHAnsi" w:cstheme="minorBidi"/>
      <w:b/>
      <w:bCs/>
      <w:szCs w:val="22"/>
      <w:lang w:eastAsia="en-US"/>
    </w:rPr>
  </w:style>
  <w:style w:type="paragraph" w:customStyle="1" w:styleId="WPNormal">
    <w:name w:val="WP_Normal"/>
    <w:basedOn w:val="Normal"/>
    <w:rsid w:val="00C24D76"/>
    <w:pPr>
      <w:keepNext/>
      <w:keepLines/>
      <w:autoSpaceDE w:val="0"/>
      <w:autoSpaceDN w:val="0"/>
      <w:adjustRightInd w:val="0"/>
      <w:spacing w:after="0" w:line="259" w:lineRule="auto"/>
    </w:pPr>
    <w:rPr>
      <w:rFonts w:ascii="Monaco" w:eastAsiaTheme="minorHAnsi" w:hAnsi="Monaco" w:cstheme="minorBidi"/>
      <w:sz w:val="20"/>
      <w:szCs w:val="24"/>
      <w:lang w:val="en-US" w:eastAsia="en-US"/>
    </w:rPr>
  </w:style>
  <w:style w:type="character" w:styleId="Emphasis">
    <w:name w:val="Emphasis"/>
    <w:basedOn w:val="DefaultParagraphFont"/>
    <w:uiPriority w:val="20"/>
    <w:qFormat/>
    <w:rsid w:val="00C24D76"/>
    <w:rPr>
      <w:rFonts w:cs="Times New Roman"/>
      <w:i/>
      <w:iCs/>
    </w:rPr>
  </w:style>
  <w:style w:type="paragraph" w:customStyle="1" w:styleId="Default">
    <w:name w:val="Default"/>
    <w:rsid w:val="00C24D76"/>
    <w:pPr>
      <w:autoSpaceDE w:val="0"/>
      <w:autoSpaceDN w:val="0"/>
      <w:adjustRightInd w:val="0"/>
      <w:ind w:left="0" w:firstLine="0"/>
    </w:pPr>
    <w:rPr>
      <w:rFonts w:ascii="Times New Roman" w:eastAsia="Times New Roman" w:hAnsi="Times New Roman"/>
      <w:color w:val="000000"/>
      <w:sz w:val="24"/>
      <w:szCs w:val="24"/>
      <w:lang w:eastAsia="en-US"/>
    </w:rPr>
  </w:style>
  <w:style w:type="character" w:styleId="FollowedHyperlink">
    <w:name w:val="FollowedHyperlink"/>
    <w:basedOn w:val="DefaultParagraphFont"/>
    <w:uiPriority w:val="99"/>
    <w:semiHidden/>
    <w:unhideWhenUsed/>
    <w:rsid w:val="00C24D76"/>
    <w:rPr>
      <w:rFonts w:cs="Times New Roman"/>
      <w:color w:val="000000" w:themeColor="followedHyperlink"/>
      <w:u w:val="single"/>
    </w:rPr>
  </w:style>
  <w:style w:type="paragraph" w:styleId="Revision">
    <w:name w:val="Revision"/>
    <w:hidden/>
    <w:uiPriority w:val="99"/>
    <w:semiHidden/>
    <w:rsid w:val="00C24D76"/>
    <w:pPr>
      <w:ind w:left="0" w:firstLine="0"/>
    </w:pPr>
    <w:rPr>
      <w:rFonts w:ascii="Calibri" w:eastAsia="Times New Roman" w:hAnsi="Calibri"/>
      <w:sz w:val="24"/>
      <w:lang w:eastAsia="en-US"/>
    </w:rPr>
  </w:style>
  <w:style w:type="paragraph" w:customStyle="1" w:styleId="numberedpara1">
    <w:name w:val="numbered para 1"/>
    <w:basedOn w:val="Normal"/>
    <w:rsid w:val="00C24D76"/>
    <w:pPr>
      <w:numPr>
        <w:numId w:val="18"/>
      </w:numPr>
      <w:tabs>
        <w:tab w:val="left" w:pos="709"/>
      </w:tabs>
      <w:spacing w:after="160" w:line="259" w:lineRule="auto"/>
    </w:pPr>
    <w:rPr>
      <w:rFonts w:eastAsiaTheme="minorHAnsi" w:cstheme="minorBidi"/>
      <w:szCs w:val="22"/>
      <w:lang w:eastAsia="en-US"/>
    </w:rPr>
  </w:style>
  <w:style w:type="paragraph" w:customStyle="1" w:styleId="11paras">
    <w:name w:val="1.1 paras"/>
    <w:basedOn w:val="numberedpara1"/>
    <w:qFormat/>
    <w:rsid w:val="00C24D76"/>
    <w:pPr>
      <w:tabs>
        <w:tab w:val="left" w:pos="0"/>
      </w:tabs>
      <w:spacing w:before="120" w:after="120"/>
      <w:ind w:left="0" w:firstLine="0"/>
    </w:pPr>
  </w:style>
  <w:style w:type="paragraph" w:customStyle="1" w:styleId="21paras">
    <w:name w:val="2.1 paras"/>
    <w:basedOn w:val="ListParagraph"/>
    <w:rsid w:val="00C24D76"/>
    <w:pPr>
      <w:numPr>
        <w:numId w:val="19"/>
      </w:numPr>
      <w:tabs>
        <w:tab w:val="left" w:pos="709"/>
      </w:tabs>
      <w:spacing w:before="120" w:line="259" w:lineRule="auto"/>
      <w:contextualSpacing w:val="0"/>
    </w:pPr>
    <w:rPr>
      <w:rFonts w:eastAsiaTheme="minorHAnsi" w:cstheme="minorBidi"/>
      <w:szCs w:val="22"/>
      <w:lang w:eastAsia="en-US"/>
    </w:rPr>
  </w:style>
  <w:style w:type="paragraph" w:customStyle="1" w:styleId="51numbers">
    <w:name w:val="5.1 numbers"/>
    <w:basedOn w:val="ListParagraph"/>
    <w:qFormat/>
    <w:rsid w:val="00C24D76"/>
    <w:pPr>
      <w:numPr>
        <w:numId w:val="20"/>
      </w:numPr>
      <w:spacing w:before="120" w:line="259" w:lineRule="auto"/>
      <w:contextualSpacing w:val="0"/>
    </w:pPr>
    <w:rPr>
      <w:rFonts w:eastAsia="Times New Roman" w:cstheme="minorBidi"/>
      <w:szCs w:val="22"/>
      <w:lang w:eastAsia="en-US"/>
    </w:rPr>
  </w:style>
  <w:style w:type="paragraph" w:customStyle="1" w:styleId="21paragraphs">
    <w:name w:val="2.1 paragraphs"/>
    <w:basedOn w:val="21paras"/>
    <w:qFormat/>
    <w:rsid w:val="00910648"/>
    <w:pPr>
      <w:numPr>
        <w:numId w:val="12"/>
      </w:numPr>
      <w:tabs>
        <w:tab w:val="clear" w:pos="709"/>
        <w:tab w:val="left" w:pos="0"/>
      </w:tabs>
      <w:spacing w:line="240" w:lineRule="auto"/>
      <w:ind w:left="0" w:firstLine="0"/>
    </w:pPr>
    <w:rPr>
      <w:rFonts w:ascii="Calibri" w:eastAsia="Times New Roman" w:hAnsi="Calibri" w:cs="Times New Roman"/>
      <w:sz w:val="24"/>
      <w:szCs w:val="20"/>
    </w:rPr>
  </w:style>
  <w:style w:type="paragraph" w:customStyle="1" w:styleId="definition">
    <w:name w:val="definition"/>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paragraph">
    <w:name w:val="paragraph"/>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subsection2">
    <w:name w:val="subsection2"/>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numberpara3">
    <w:name w:val="number para 3"/>
    <w:basedOn w:val="Normal"/>
    <w:qFormat/>
    <w:rsid w:val="00627076"/>
    <w:pPr>
      <w:spacing w:after="160" w:line="259" w:lineRule="auto"/>
    </w:pPr>
    <w:rPr>
      <w:rFonts w:eastAsiaTheme="minorHAnsi" w:cstheme="minorBidi"/>
      <w:szCs w:val="22"/>
      <w:lang w:eastAsia="en-US"/>
    </w:rPr>
  </w:style>
  <w:style w:type="paragraph" w:customStyle="1" w:styleId="61paras">
    <w:name w:val="6.1 paras"/>
    <w:basedOn w:val="numberpara3"/>
    <w:qFormat/>
    <w:rsid w:val="00627076"/>
    <w:pPr>
      <w:numPr>
        <w:numId w:val="23"/>
      </w:numPr>
      <w:spacing w:before="120" w:after="120"/>
      <w:ind w:left="0" w:firstLine="0"/>
    </w:pPr>
  </w:style>
  <w:style w:type="paragraph" w:customStyle="1" w:styleId="APPGuidelinenumbering">
    <w:name w:val="APP Guideline numbering"/>
    <w:basedOn w:val="ListParagraph"/>
    <w:qFormat/>
    <w:rsid w:val="00627076"/>
    <w:pPr>
      <w:numPr>
        <w:ilvl w:val="1"/>
        <w:numId w:val="24"/>
      </w:numPr>
      <w:tabs>
        <w:tab w:val="left" w:pos="709"/>
      </w:tabs>
      <w:spacing w:before="120" w:line="259" w:lineRule="auto"/>
      <w:ind w:left="0" w:firstLine="0"/>
      <w:contextualSpacing w:val="0"/>
    </w:pPr>
    <w:rPr>
      <w:rFonts w:eastAsiaTheme="minorHAnsi" w:cstheme="minorBidi"/>
      <w:szCs w:val="22"/>
      <w:lang w:val="en-GB" w:eastAsia="en-US"/>
    </w:rPr>
  </w:style>
  <w:style w:type="paragraph" w:customStyle="1" w:styleId="Numberedparagraph">
    <w:name w:val="Numbered paragraph"/>
    <w:basedOn w:val="Normal"/>
    <w:qFormat/>
    <w:rsid w:val="00627076"/>
    <w:pPr>
      <w:numPr>
        <w:numId w:val="25"/>
      </w:numPr>
      <w:spacing w:after="160" w:line="259" w:lineRule="auto"/>
      <w:ind w:left="0" w:firstLine="0"/>
    </w:pPr>
    <w:rPr>
      <w:rFonts w:eastAsiaTheme="minorHAnsi" w:cs="Calibri"/>
      <w:szCs w:val="24"/>
      <w:lang w:eastAsia="en-US"/>
    </w:rPr>
  </w:style>
  <w:style w:type="paragraph" w:customStyle="1" w:styleId="Numberpara13">
    <w:name w:val="Number para 13"/>
    <w:basedOn w:val="numberedpara1"/>
    <w:qFormat/>
    <w:rsid w:val="00627076"/>
    <w:pPr>
      <w:numPr>
        <w:numId w:val="26"/>
      </w:numPr>
      <w:spacing w:before="120"/>
    </w:pPr>
    <w:rPr>
      <w:rFonts w:eastAsia="Times New Roman"/>
      <w:lang w:bidi="en-US"/>
    </w:rPr>
  </w:style>
  <w:style w:type="paragraph" w:customStyle="1" w:styleId="Numberedpara7">
    <w:name w:val="Numbered para 7"/>
    <w:basedOn w:val="ListParagraph"/>
    <w:qFormat/>
    <w:rsid w:val="00627076"/>
    <w:pPr>
      <w:numPr>
        <w:numId w:val="27"/>
      </w:numPr>
      <w:tabs>
        <w:tab w:val="left" w:pos="709"/>
      </w:tabs>
      <w:spacing w:before="120" w:after="240" w:line="259" w:lineRule="auto"/>
      <w:contextualSpacing w:val="0"/>
    </w:pPr>
    <w:rPr>
      <w:rFonts w:eastAsiaTheme="minorHAnsi" w:cstheme="minorBidi"/>
      <w:szCs w:val="22"/>
      <w:lang w:eastAsia="en-US"/>
    </w:rPr>
  </w:style>
  <w:style w:type="paragraph" w:styleId="TOC5">
    <w:name w:val="toc 5"/>
    <w:basedOn w:val="Normal"/>
    <w:next w:val="Normal"/>
    <w:autoRedefine/>
    <w:uiPriority w:val="39"/>
    <w:unhideWhenUsed/>
    <w:rsid w:val="00627076"/>
    <w:pPr>
      <w:spacing w:after="100" w:line="259" w:lineRule="auto"/>
      <w:ind w:left="960"/>
    </w:pPr>
    <w:rPr>
      <w:rFonts w:eastAsiaTheme="minorHAnsi" w:cstheme="minorBidi"/>
      <w:szCs w:val="22"/>
      <w:lang w:eastAsia="en-US"/>
    </w:rPr>
  </w:style>
  <w:style w:type="character" w:styleId="UnresolvedMention">
    <w:name w:val="Unresolved Mention"/>
    <w:basedOn w:val="DefaultParagraphFont"/>
    <w:uiPriority w:val="99"/>
    <w:semiHidden/>
    <w:unhideWhenUsed/>
    <w:rsid w:val="00627076"/>
    <w:rPr>
      <w:color w:val="605E5C"/>
      <w:shd w:val="clear" w:color="auto" w:fill="E1DFDD"/>
    </w:rPr>
  </w:style>
  <w:style w:type="paragraph" w:customStyle="1" w:styleId="101numbering">
    <w:name w:val="10.1 numbering"/>
    <w:basedOn w:val="ListParagraph"/>
    <w:rsid w:val="00392295"/>
    <w:pPr>
      <w:numPr>
        <w:numId w:val="28"/>
      </w:numPr>
      <w:spacing w:before="120"/>
      <w:ind w:left="720"/>
      <w:contextualSpacing w:val="0"/>
    </w:pPr>
    <w:rPr>
      <w:rFonts w:ascii="Calibri" w:eastAsiaTheme="minorHAnsi" w:hAnsi="Calibri"/>
      <w:sz w:val="24"/>
      <w:lang w:eastAsia="en-US"/>
    </w:rPr>
  </w:style>
  <w:style w:type="paragraph" w:customStyle="1" w:styleId="101nums">
    <w:name w:val="10.1 nums"/>
    <w:basedOn w:val="Normal"/>
    <w:qFormat/>
    <w:rsid w:val="00392295"/>
    <w:pPr>
      <w:spacing w:before="120"/>
    </w:pPr>
    <w:rPr>
      <w:rFonts w:ascii="Calibri" w:eastAsiaTheme="minorHAnsi" w:hAnsi="Calibri"/>
      <w:sz w:val="24"/>
      <w:lang w:eastAsia="en-US"/>
      <w14:scene3d>
        <w14:camera w14:prst="orthographicFront"/>
        <w14:lightRig w14:rig="threePt" w14:dir="t">
          <w14:rot w14:lat="0" w14:lon="0" w14:rev="0"/>
        </w14:lightRig>
      </w14:scene3d>
    </w:rPr>
  </w:style>
  <w:style w:type="paragraph" w:styleId="HTMLPreformatted">
    <w:name w:val="HTML Preformatted"/>
    <w:basedOn w:val="Normal"/>
    <w:link w:val="HTMLPreformattedChar"/>
    <w:uiPriority w:val="99"/>
    <w:semiHidden/>
    <w:unhideWhenUsed/>
    <w:rsid w:val="00580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cs="Consolas"/>
      <w:color w:val="000000"/>
      <w:sz w:val="20"/>
      <w:lang w:eastAsia="en-AU"/>
    </w:rPr>
  </w:style>
  <w:style w:type="character" w:customStyle="1" w:styleId="HTMLPreformattedChar">
    <w:name w:val="HTML Preformatted Char"/>
    <w:basedOn w:val="DefaultParagraphFont"/>
    <w:link w:val="HTMLPreformatted"/>
    <w:uiPriority w:val="99"/>
    <w:semiHidden/>
    <w:rsid w:val="005808E9"/>
    <w:rPr>
      <w:rFonts w:ascii="Consolas" w:eastAsia="Times New Roman" w:hAnsi="Consolas" w:cs="Consolas"/>
      <w:color w:val="000000"/>
      <w:lang w:eastAsia="en-AU"/>
    </w:rPr>
  </w:style>
  <w:style w:type="paragraph" w:customStyle="1" w:styleId="C1style">
    <w:name w:val="C.1 style"/>
    <w:basedOn w:val="ListParagraph"/>
    <w:qFormat/>
    <w:rsid w:val="005808E9"/>
    <w:pPr>
      <w:numPr>
        <w:numId w:val="29"/>
      </w:numPr>
      <w:spacing w:before="120"/>
      <w:contextualSpacing w:val="0"/>
    </w:pPr>
    <w:rPr>
      <w:rFonts w:ascii="Calibri" w:eastAsiaTheme="minorHAnsi" w:hAnsi="Calibri"/>
      <w:sz w:val="24"/>
      <w:lang w:eastAsia="en-US"/>
    </w:rPr>
  </w:style>
  <w:style w:type="paragraph" w:customStyle="1" w:styleId="121paras">
    <w:name w:val="12.1 paras"/>
    <w:basedOn w:val="numberedpara1"/>
    <w:qFormat/>
    <w:rsid w:val="005808E9"/>
    <w:pPr>
      <w:numPr>
        <w:numId w:val="21"/>
      </w:numPr>
      <w:spacing w:before="120" w:after="120" w:line="240" w:lineRule="auto"/>
      <w:ind w:left="0" w:firstLine="0"/>
    </w:pPr>
    <w:rPr>
      <w:rFonts w:ascii="Calibri" w:hAnsi="Calibri" w:cs="Times New Roman"/>
      <w:sz w:val="24"/>
      <w:szCs w:val="20"/>
    </w:rPr>
  </w:style>
  <w:style w:type="paragraph" w:customStyle="1" w:styleId="Pa4">
    <w:name w:val="Pa4"/>
    <w:basedOn w:val="Default"/>
    <w:next w:val="Default"/>
    <w:uiPriority w:val="99"/>
    <w:rsid w:val="005808E9"/>
    <w:pPr>
      <w:spacing w:line="241" w:lineRule="atLeast"/>
    </w:pPr>
    <w:rPr>
      <w:rFonts w:ascii="Calibri" w:eastAsiaTheme="minorHAnsi" w:hAnsi="Calibri"/>
      <w:color w:val="auto"/>
    </w:rPr>
  </w:style>
  <w:style w:type="character" w:customStyle="1" w:styleId="A4">
    <w:name w:val="A4"/>
    <w:uiPriority w:val="99"/>
    <w:rsid w:val="005808E9"/>
    <w:rPr>
      <w:rFonts w:cs="Calibri"/>
      <w:color w:val="000000"/>
    </w:rPr>
  </w:style>
  <w:style w:type="paragraph" w:styleId="EndnoteText">
    <w:name w:val="endnote text"/>
    <w:basedOn w:val="Normal"/>
    <w:link w:val="EndnoteTextChar"/>
    <w:uiPriority w:val="99"/>
    <w:unhideWhenUsed/>
    <w:rsid w:val="005808E9"/>
    <w:pPr>
      <w:spacing w:after="0"/>
    </w:pPr>
    <w:rPr>
      <w:rFonts w:ascii="Calibri" w:eastAsiaTheme="minorHAnsi" w:hAnsi="Calibri"/>
      <w:sz w:val="20"/>
      <w:lang w:eastAsia="en-US"/>
    </w:rPr>
  </w:style>
  <w:style w:type="character" w:customStyle="1" w:styleId="EndnoteTextChar">
    <w:name w:val="Endnote Text Char"/>
    <w:basedOn w:val="DefaultParagraphFont"/>
    <w:link w:val="EndnoteText"/>
    <w:uiPriority w:val="99"/>
    <w:rsid w:val="005808E9"/>
    <w:rPr>
      <w:rFonts w:ascii="Calibri" w:eastAsiaTheme="minorHAnsi" w:hAnsi="Calibri"/>
      <w:lang w:eastAsia="en-US"/>
    </w:rPr>
  </w:style>
  <w:style w:type="character" w:styleId="EndnoteReference">
    <w:name w:val="endnote reference"/>
    <w:basedOn w:val="DefaultParagraphFont"/>
    <w:uiPriority w:val="99"/>
    <w:semiHidden/>
    <w:unhideWhenUsed/>
    <w:rsid w:val="005808E9"/>
    <w:rPr>
      <w:vertAlign w:val="superscript"/>
    </w:rPr>
  </w:style>
  <w:style w:type="paragraph" w:customStyle="1" w:styleId="subsection">
    <w:name w:val="subsection"/>
    <w:aliases w:val="ss"/>
    <w:basedOn w:val="Normal"/>
    <w:link w:val="subsectionChar"/>
    <w:rsid w:val="003B0559"/>
    <w:pPr>
      <w:tabs>
        <w:tab w:val="right" w:pos="1021"/>
      </w:tabs>
      <w:spacing w:before="180" w:after="0"/>
      <w:ind w:left="1134" w:hanging="1134"/>
    </w:pPr>
    <w:rPr>
      <w:rFonts w:ascii="Times New Roman" w:eastAsia="Times New Roman" w:hAnsi="Times New Roman"/>
      <w:lang w:eastAsia="en-AU"/>
    </w:rPr>
  </w:style>
  <w:style w:type="character" w:customStyle="1" w:styleId="subsectionChar">
    <w:name w:val="subsection Char"/>
    <w:aliases w:val="ss Char"/>
    <w:link w:val="subsection"/>
    <w:rsid w:val="003B0559"/>
    <w:rPr>
      <w:rFonts w:ascii="Times New Roman" w:eastAsia="Times New Roman" w:hAnsi="Times New Roman"/>
      <w:sz w:val="22"/>
      <w:lang w:eastAsia="en-AU"/>
    </w:rPr>
  </w:style>
  <w:style w:type="character" w:styleId="HTMLDefinition">
    <w:name w:val="HTML Definition"/>
    <w:basedOn w:val="DefaultParagraphFont"/>
    <w:uiPriority w:val="99"/>
    <w:semiHidden/>
    <w:unhideWhenUsed/>
    <w:rsid w:val="003B0559"/>
    <w:rPr>
      <w:i/>
      <w:iCs/>
    </w:rPr>
  </w:style>
  <w:style w:type="paragraph" w:customStyle="1" w:styleId="101">
    <w:name w:val="10.1"/>
    <w:basedOn w:val="Normal"/>
    <w:rsid w:val="003B0559"/>
    <w:pPr>
      <w:spacing w:before="120"/>
      <w:ind w:left="1080" w:hanging="360"/>
    </w:pPr>
    <w:rPr>
      <w:rFonts w:ascii="Calibri" w:eastAsiaTheme="minorHAnsi" w:hAnsi="Calibri"/>
      <w:sz w:val="24"/>
      <w:lang w:eastAsia="en-US"/>
    </w:rPr>
  </w:style>
  <w:style w:type="paragraph" w:customStyle="1" w:styleId="Numberedpara10">
    <w:name w:val="Numbered para 1"/>
    <w:basedOn w:val="ListParagraph"/>
    <w:rsid w:val="003B0559"/>
    <w:pPr>
      <w:numPr>
        <w:numId w:val="30"/>
      </w:numPr>
      <w:tabs>
        <w:tab w:val="left" w:pos="709"/>
      </w:tabs>
      <w:spacing w:before="120" w:after="240"/>
      <w:contextualSpacing w:val="0"/>
    </w:pPr>
    <w:rPr>
      <w:rFonts w:ascii="Calibri" w:eastAsia="Times New Roman" w:hAnsi="Calibri"/>
      <w:sz w:val="24"/>
      <w:szCs w:val="22"/>
      <w:lang w:val="en-US" w:eastAsia="en-US" w:bidi="en-US"/>
    </w:rPr>
  </w:style>
  <w:style w:type="paragraph" w:customStyle="1" w:styleId="chunk">
    <w:name w:val="chunk"/>
    <w:basedOn w:val="Normal"/>
    <w:rsid w:val="003B0559"/>
    <w:pPr>
      <w:spacing w:after="0"/>
    </w:pPr>
    <w:rPr>
      <w:rFonts w:ascii="Times New Roman" w:eastAsia="Times New Roman" w:hAnsi="Times New Roman"/>
      <w:sz w:val="24"/>
      <w:szCs w:val="24"/>
      <w:lang w:eastAsia="en-AU"/>
    </w:rPr>
  </w:style>
  <w:style w:type="paragraph" w:customStyle="1" w:styleId="def">
    <w:name w:val="def"/>
    <w:basedOn w:val="Normal"/>
    <w:rsid w:val="003B0559"/>
    <w:pPr>
      <w:spacing w:after="0"/>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3B0559"/>
    <w:rPr>
      <w:i/>
      <w:iCs/>
    </w:rPr>
  </w:style>
  <w:style w:type="paragraph" w:styleId="BodyText">
    <w:name w:val="Body Text"/>
    <w:basedOn w:val="Normal"/>
    <w:link w:val="BodyTextChar"/>
    <w:uiPriority w:val="1"/>
    <w:qFormat/>
    <w:rsid w:val="00990AED"/>
    <w:pPr>
      <w:widowControl w:val="0"/>
      <w:spacing w:after="0"/>
      <w:ind w:left="140"/>
    </w:pPr>
    <w:rPr>
      <w:rFonts w:ascii="Calibri" w:eastAsia="Calibri" w:hAnsi="Calibri" w:cstheme="minorBidi"/>
      <w:sz w:val="24"/>
      <w:szCs w:val="24"/>
      <w:lang w:val="en-US" w:eastAsia="en-US"/>
    </w:rPr>
  </w:style>
  <w:style w:type="character" w:customStyle="1" w:styleId="BodyTextChar">
    <w:name w:val="Body Text Char"/>
    <w:basedOn w:val="DefaultParagraphFont"/>
    <w:link w:val="BodyText"/>
    <w:uiPriority w:val="1"/>
    <w:rsid w:val="00990AED"/>
    <w:rPr>
      <w:rFonts w:ascii="Calibri" w:eastAsia="Calibri" w:hAnsi="Calibri" w:cstheme="minorBidi"/>
      <w:sz w:val="24"/>
      <w:szCs w:val="24"/>
      <w:lang w:val="en-US" w:eastAsia="en-US"/>
    </w:rPr>
  </w:style>
  <w:style w:type="paragraph" w:customStyle="1" w:styleId="TableParagraph">
    <w:name w:val="Table Paragraph"/>
    <w:basedOn w:val="Normal"/>
    <w:uiPriority w:val="1"/>
    <w:qFormat/>
    <w:rsid w:val="00990AED"/>
    <w:pPr>
      <w:widowControl w:val="0"/>
      <w:spacing w:after="0"/>
    </w:pPr>
    <w:rPr>
      <w:rFonts w:eastAsiaTheme="minorHAnsi" w:cstheme="minorBidi"/>
      <w:szCs w:val="22"/>
      <w:lang w:val="en-US" w:eastAsia="en-US"/>
    </w:rPr>
  </w:style>
  <w:style w:type="character" w:styleId="HTMLAcronym">
    <w:name w:val="HTML Acronym"/>
    <w:basedOn w:val="DefaultParagraphFont"/>
    <w:uiPriority w:val="99"/>
    <w:semiHidden/>
    <w:unhideWhenUsed/>
    <w:rsid w:val="00990AED"/>
  </w:style>
  <w:style w:type="paragraph" w:customStyle="1" w:styleId="PARAZ">
    <w:name w:val="PARAZ"/>
    <w:basedOn w:val="BodyText"/>
    <w:link w:val="PARAZChar"/>
    <w:uiPriority w:val="1"/>
    <w:qFormat/>
    <w:rsid w:val="00990AED"/>
    <w:pPr>
      <w:numPr>
        <w:ilvl w:val="1"/>
        <w:numId w:val="31"/>
      </w:numPr>
      <w:tabs>
        <w:tab w:val="left" w:pos="848"/>
      </w:tabs>
      <w:spacing w:before="179"/>
      <w:ind w:right="523" w:firstLine="0"/>
    </w:pPr>
  </w:style>
  <w:style w:type="character" w:customStyle="1" w:styleId="PARAZChar">
    <w:name w:val="PARAZ Char"/>
    <w:basedOn w:val="BodyTextChar"/>
    <w:link w:val="PARAZ"/>
    <w:uiPriority w:val="1"/>
    <w:rsid w:val="00990AED"/>
    <w:rPr>
      <w:rFonts w:ascii="Calibri" w:eastAsia="Calibri" w:hAnsi="Calibri" w:cstheme="minorBidi"/>
      <w:sz w:val="24"/>
      <w:szCs w:val="24"/>
      <w:lang w:val="en-US" w:eastAsia="en-US"/>
    </w:rPr>
  </w:style>
  <w:style w:type="paragraph" w:customStyle="1" w:styleId="acthead5">
    <w:name w:val="acthead5"/>
    <w:basedOn w:val="Normal"/>
    <w:rsid w:val="00990AED"/>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990AED"/>
  </w:style>
  <w:style w:type="paragraph" w:customStyle="1" w:styleId="subsectionhead">
    <w:name w:val="subsectionhead"/>
    <w:basedOn w:val="Normal"/>
    <w:rsid w:val="00990AED"/>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990AED"/>
    <w:pPr>
      <w:spacing w:before="100" w:beforeAutospacing="1" w:after="100" w:afterAutospacing="1"/>
    </w:pPr>
    <w:rPr>
      <w:rFonts w:ascii="Times New Roman" w:eastAsia="Times New Roman" w:hAnsi="Times New Roman"/>
      <w:sz w:val="24"/>
      <w:szCs w:val="24"/>
      <w:lang w:eastAsia="en-AU"/>
    </w:rPr>
  </w:style>
  <w:style w:type="paragraph" w:customStyle="1" w:styleId="acthead3">
    <w:name w:val="acthead3"/>
    <w:basedOn w:val="Normal"/>
    <w:rsid w:val="00990AED"/>
    <w:pPr>
      <w:spacing w:before="100" w:beforeAutospacing="1" w:after="100" w:afterAutospacing="1"/>
    </w:pPr>
    <w:rPr>
      <w:rFonts w:ascii="Times New Roman" w:eastAsia="Times New Roman" w:hAnsi="Times New Roman"/>
      <w:sz w:val="24"/>
      <w:szCs w:val="24"/>
      <w:lang w:eastAsia="en-AU"/>
    </w:rPr>
  </w:style>
  <w:style w:type="character" w:customStyle="1" w:styleId="chardivno">
    <w:name w:val="chardivno"/>
    <w:basedOn w:val="DefaultParagraphFont"/>
    <w:rsid w:val="00990AED"/>
  </w:style>
  <w:style w:type="character" w:customStyle="1" w:styleId="chardivtext">
    <w:name w:val="chardivtext"/>
    <w:basedOn w:val="DefaultParagraphFont"/>
    <w:rsid w:val="00990AED"/>
  </w:style>
  <w:style w:type="paragraph" w:customStyle="1" w:styleId="CA">
    <w:name w:val="CA"/>
    <w:basedOn w:val="ListParagraph"/>
    <w:link w:val="CAChar"/>
    <w:uiPriority w:val="1"/>
    <w:qFormat/>
    <w:rsid w:val="00990AED"/>
    <w:pPr>
      <w:widowControl w:val="0"/>
      <w:numPr>
        <w:ilvl w:val="1"/>
        <w:numId w:val="32"/>
      </w:numPr>
      <w:tabs>
        <w:tab w:val="left" w:pos="567"/>
        <w:tab w:val="left" w:pos="851"/>
      </w:tabs>
      <w:spacing w:before="2" w:after="0"/>
      <w:contextualSpacing w:val="0"/>
    </w:pPr>
    <w:rPr>
      <w:rFonts w:eastAsia="Calibri" w:cs="Calibri"/>
      <w:sz w:val="24"/>
      <w:szCs w:val="24"/>
      <w:lang w:val="en-US" w:eastAsia="en-US"/>
    </w:rPr>
  </w:style>
  <w:style w:type="paragraph" w:customStyle="1" w:styleId="aaaa">
    <w:name w:val="aaaa"/>
    <w:basedOn w:val="CA"/>
    <w:link w:val="aaaaChar"/>
    <w:uiPriority w:val="1"/>
    <w:qFormat/>
    <w:rsid w:val="00990AED"/>
    <w:pPr>
      <w:tabs>
        <w:tab w:val="clear" w:pos="567"/>
        <w:tab w:val="left" w:pos="709"/>
      </w:tabs>
      <w:ind w:left="709" w:hanging="567"/>
    </w:pPr>
  </w:style>
  <w:style w:type="character" w:customStyle="1" w:styleId="ListParagraphChar">
    <w:name w:val="List Paragraph Char"/>
    <w:aliases w:val="Bullet Char"/>
    <w:basedOn w:val="DefaultParagraphFont"/>
    <w:link w:val="ListParagraph"/>
    <w:uiPriority w:val="34"/>
    <w:rsid w:val="00990AED"/>
    <w:rPr>
      <w:rFonts w:asciiTheme="minorHAnsi" w:hAnsiTheme="minorHAnsi"/>
      <w:sz w:val="22"/>
    </w:rPr>
  </w:style>
  <w:style w:type="character" w:customStyle="1" w:styleId="CAChar">
    <w:name w:val="CA Char"/>
    <w:basedOn w:val="ListParagraphChar"/>
    <w:link w:val="CA"/>
    <w:uiPriority w:val="1"/>
    <w:rsid w:val="00990AED"/>
    <w:rPr>
      <w:rFonts w:asciiTheme="minorHAnsi" w:eastAsia="Calibri" w:hAnsiTheme="minorHAnsi" w:cs="Calibri"/>
      <w:sz w:val="24"/>
      <w:szCs w:val="24"/>
      <w:lang w:val="en-US" w:eastAsia="en-US"/>
    </w:rPr>
  </w:style>
  <w:style w:type="character" w:customStyle="1" w:styleId="aaaaChar">
    <w:name w:val="aaaa Char"/>
    <w:basedOn w:val="CAChar"/>
    <w:link w:val="aaaa"/>
    <w:uiPriority w:val="1"/>
    <w:rsid w:val="00990AED"/>
    <w:rPr>
      <w:rFonts w:asciiTheme="minorHAnsi" w:eastAsia="Calibri" w:hAnsiTheme="minorHAnsi" w:cs="Calibri"/>
      <w:sz w:val="24"/>
      <w:szCs w:val="24"/>
      <w:lang w:val="en-US" w:eastAsia="en-US"/>
    </w:rPr>
  </w:style>
  <w:style w:type="character" w:customStyle="1" w:styleId="wffiletext">
    <w:name w:val="wf_file_text"/>
    <w:basedOn w:val="DefaultParagraphFont"/>
    <w:rsid w:val="00990AED"/>
  </w:style>
  <w:style w:type="character" w:customStyle="1" w:styleId="wffilesize1">
    <w:name w:val="wf_file_size1"/>
    <w:basedOn w:val="DefaultParagraphFont"/>
    <w:rsid w:val="00990AED"/>
    <w:rPr>
      <w:sz w:val="18"/>
      <w:szCs w:val="18"/>
    </w:rPr>
  </w:style>
  <w:style w:type="paragraph" w:customStyle="1" w:styleId="UZE">
    <w:name w:val="UZE"/>
    <w:basedOn w:val="PARAZ"/>
    <w:link w:val="UZEChar"/>
    <w:uiPriority w:val="1"/>
    <w:qFormat/>
    <w:rsid w:val="00990AED"/>
    <w:pPr>
      <w:spacing w:before="240"/>
    </w:pPr>
  </w:style>
  <w:style w:type="paragraph" w:customStyle="1" w:styleId="abulet">
    <w:name w:val="abulet"/>
    <w:basedOn w:val="BodyText"/>
    <w:link w:val="abuletChar"/>
    <w:uiPriority w:val="1"/>
    <w:qFormat/>
    <w:rsid w:val="00990AED"/>
    <w:pPr>
      <w:numPr>
        <w:ilvl w:val="2"/>
        <w:numId w:val="31"/>
      </w:numPr>
      <w:tabs>
        <w:tab w:val="left" w:pos="707"/>
      </w:tabs>
      <w:ind w:left="706" w:right="223"/>
    </w:pPr>
  </w:style>
  <w:style w:type="character" w:customStyle="1" w:styleId="UZEChar">
    <w:name w:val="UZE Char"/>
    <w:basedOn w:val="PARAZChar"/>
    <w:link w:val="UZE"/>
    <w:uiPriority w:val="1"/>
    <w:rsid w:val="00990AED"/>
    <w:rPr>
      <w:rFonts w:ascii="Calibri" w:eastAsia="Calibri" w:hAnsi="Calibri" w:cstheme="minorBidi"/>
      <w:sz w:val="24"/>
      <w:szCs w:val="24"/>
      <w:lang w:val="en-US" w:eastAsia="en-US"/>
    </w:rPr>
  </w:style>
  <w:style w:type="character" w:customStyle="1" w:styleId="abuletChar">
    <w:name w:val="abulet Char"/>
    <w:basedOn w:val="BodyTextChar"/>
    <w:link w:val="abulet"/>
    <w:uiPriority w:val="1"/>
    <w:rsid w:val="00990AED"/>
    <w:rPr>
      <w:rFonts w:ascii="Calibri" w:eastAsia="Calibri" w:hAnsi="Calibri" w:cstheme="minorBidi"/>
      <w:sz w:val="24"/>
      <w:szCs w:val="24"/>
      <w:lang w:val="en-US" w:eastAsia="en-US"/>
    </w:rPr>
  </w:style>
  <w:style w:type="character" w:customStyle="1" w:styleId="h1">
    <w:name w:val="h1"/>
    <w:basedOn w:val="DefaultParagraphFont"/>
    <w:rsid w:val="00990AED"/>
  </w:style>
  <w:style w:type="paragraph" w:customStyle="1" w:styleId="aaaa1">
    <w:name w:val="aaaa1"/>
    <w:basedOn w:val="Normal"/>
    <w:link w:val="aaaa1Char"/>
    <w:uiPriority w:val="1"/>
    <w:qFormat/>
    <w:rsid w:val="00990AED"/>
    <w:pPr>
      <w:widowControl w:val="0"/>
      <w:spacing w:before="81" w:after="0" w:line="634" w:lineRule="exact"/>
      <w:ind w:left="100"/>
    </w:pPr>
    <w:rPr>
      <w:rFonts w:ascii="Calibri" w:eastAsia="Calibri" w:hAnsi="Calibri" w:cs="Calibri"/>
      <w:b/>
      <w:bCs/>
      <w:spacing w:val="4"/>
      <w:sz w:val="52"/>
      <w:szCs w:val="52"/>
      <w:lang w:val="en-US" w:eastAsia="en-US"/>
    </w:rPr>
  </w:style>
  <w:style w:type="character" w:customStyle="1" w:styleId="aaaa1Char">
    <w:name w:val="aaaa1 Char"/>
    <w:basedOn w:val="DefaultParagraphFont"/>
    <w:link w:val="aaaa1"/>
    <w:uiPriority w:val="1"/>
    <w:rsid w:val="00990AED"/>
    <w:rPr>
      <w:rFonts w:ascii="Calibri" w:eastAsia="Calibri" w:hAnsi="Calibri" w:cs="Calibri"/>
      <w:b/>
      <w:bCs/>
      <w:spacing w:val="4"/>
      <w:sz w:val="52"/>
      <w:szCs w:val="52"/>
      <w:lang w:val="en-US" w:eastAsia="en-US"/>
    </w:rPr>
  </w:style>
  <w:style w:type="paragraph" w:customStyle="1" w:styleId="paragraphsub">
    <w:name w:val="paragraphsub"/>
    <w:basedOn w:val="Normal"/>
    <w:rsid w:val="00990AED"/>
    <w:pPr>
      <w:spacing w:before="100" w:beforeAutospacing="1" w:after="100" w:afterAutospacing="1"/>
    </w:pPr>
    <w:rPr>
      <w:rFonts w:ascii="Times New Roman" w:eastAsia="Times New Roman" w:hAnsi="Times New Roman"/>
      <w:sz w:val="24"/>
      <w:szCs w:val="24"/>
      <w:lang w:eastAsia="en-AU"/>
    </w:rPr>
  </w:style>
  <w:style w:type="table" w:styleId="GridTable5Dark">
    <w:name w:val="Grid Table 5 Dark"/>
    <w:basedOn w:val="TableNormal"/>
    <w:uiPriority w:val="50"/>
    <w:rsid w:val="0011183E"/>
    <w:pPr>
      <w:ind w:left="0" w:firstLine="0"/>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DefaultParagraphFont"/>
    <w:rsid w:val="0011183E"/>
  </w:style>
  <w:style w:type="table" w:customStyle="1" w:styleId="GridTable5Dark1">
    <w:name w:val="Grid Table 5 Dark1"/>
    <w:basedOn w:val="TableNormal"/>
    <w:uiPriority w:val="50"/>
    <w:rsid w:val="0011183E"/>
    <w:pPr>
      <w:ind w:left="0" w:firstLine="0"/>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lockText">
    <w:name w:val="Block Text"/>
    <w:basedOn w:val="Normal"/>
    <w:uiPriority w:val="99"/>
    <w:unhideWhenUsed/>
    <w:rsid w:val="00C20488"/>
    <w:pPr>
      <w:spacing w:before="240" w:after="240"/>
      <w:ind w:left="1134" w:right="567"/>
    </w:pPr>
  </w:style>
  <w:style w:type="paragraph" w:customStyle="1" w:styleId="Paragraphnumberkc">
    <w:name w:val="Paragraph numberkc"/>
    <w:basedOn w:val="BodyText"/>
    <w:link w:val="ParagraphnumberkcChar"/>
    <w:uiPriority w:val="1"/>
    <w:qFormat/>
    <w:rsid w:val="003D7C59"/>
    <w:pPr>
      <w:numPr>
        <w:ilvl w:val="1"/>
        <w:numId w:val="33"/>
      </w:numPr>
      <w:tabs>
        <w:tab w:val="left" w:pos="848"/>
      </w:tabs>
      <w:spacing w:line="292" w:lineRule="exact"/>
      <w:ind w:right="215" w:firstLine="0"/>
    </w:pPr>
  </w:style>
  <w:style w:type="character" w:customStyle="1" w:styleId="ParagraphnumberkcChar">
    <w:name w:val="Paragraph numberkc Char"/>
    <w:basedOn w:val="BodyTextChar"/>
    <w:link w:val="Paragraphnumberkc"/>
    <w:uiPriority w:val="1"/>
    <w:rsid w:val="003D7C59"/>
    <w:rPr>
      <w:rFonts w:ascii="Calibri" w:eastAsia="Calibri" w:hAnsi="Calibri" w:cstheme="minorBidi"/>
      <w:sz w:val="24"/>
      <w:szCs w:val="24"/>
      <w:lang w:val="en-US" w:eastAsia="en-US"/>
    </w:rPr>
  </w:style>
  <w:style w:type="paragraph" w:customStyle="1" w:styleId="Style1">
    <w:name w:val="Style1"/>
    <w:basedOn w:val="Heading2"/>
    <w:link w:val="Style1Char"/>
    <w:uiPriority w:val="1"/>
    <w:qFormat/>
    <w:rsid w:val="00F4121A"/>
    <w:pPr>
      <w:keepNext w:val="0"/>
      <w:keepLines w:val="0"/>
      <w:widowControl w:val="0"/>
      <w:spacing w:before="0" w:after="0" w:line="240" w:lineRule="auto"/>
      <w:ind w:left="140"/>
    </w:pPr>
    <w:rPr>
      <w:rFonts w:ascii="Calibri" w:eastAsia="Calibri" w:hAnsi="Calibri" w:cstheme="minorBidi"/>
      <w:b/>
      <w:bCs/>
      <w:i/>
      <w:spacing w:val="-1"/>
      <w:sz w:val="24"/>
      <w:szCs w:val="24"/>
      <w:lang w:val="en-US"/>
    </w:rPr>
  </w:style>
  <w:style w:type="character" w:customStyle="1" w:styleId="Style1Char">
    <w:name w:val="Style1 Char"/>
    <w:basedOn w:val="Heading2Char"/>
    <w:link w:val="Style1"/>
    <w:uiPriority w:val="1"/>
    <w:rsid w:val="00F4121A"/>
    <w:rPr>
      <w:rFonts w:ascii="Calibri" w:eastAsia="Calibri" w:hAnsi="Calibri" w:cstheme="minorBidi"/>
      <w:b/>
      <w:bCs/>
      <w:i/>
      <w:color w:val="002A3A" w:themeColor="text2"/>
      <w:spacing w:val="-1"/>
      <w:sz w:val="24"/>
      <w:szCs w:val="24"/>
      <w:lang w:val="en-US" w:eastAsia="en-US"/>
    </w:rPr>
  </w:style>
  <w:style w:type="paragraph" w:customStyle="1" w:styleId="Numberedpara4">
    <w:name w:val="Numbered para 4"/>
    <w:basedOn w:val="Normal"/>
    <w:qFormat/>
    <w:rsid w:val="00BB0A82"/>
    <w:pPr>
      <w:numPr>
        <w:numId w:val="35"/>
      </w:numPr>
      <w:tabs>
        <w:tab w:val="left" w:pos="709"/>
      </w:tabs>
      <w:spacing w:before="120" w:after="240"/>
      <w:ind w:left="0" w:firstLine="0"/>
    </w:pPr>
    <w:rPr>
      <w:rFonts w:ascii="Calibri" w:eastAsia="Calibri" w:hAnsi="Calibri"/>
      <w:sz w:val="24"/>
      <w:szCs w:val="22"/>
      <w:lang w:eastAsia="en-US"/>
    </w:rPr>
  </w:style>
  <w:style w:type="paragraph" w:customStyle="1" w:styleId="Sub-bullets">
    <w:name w:val="Sub-bullets"/>
    <w:qFormat/>
    <w:rsid w:val="00BB0A82"/>
    <w:pPr>
      <w:tabs>
        <w:tab w:val="left" w:pos="567"/>
      </w:tabs>
      <w:spacing w:before="120"/>
      <w:ind w:left="1134" w:hanging="357"/>
    </w:pPr>
    <w:rPr>
      <w:rFonts w:ascii="Calibri" w:eastAsia="Calibri" w:hAnsi="Calibri"/>
      <w:sz w:val="24"/>
      <w:szCs w:val="22"/>
      <w:lang w:eastAsia="en-US"/>
    </w:rPr>
  </w:style>
  <w:style w:type="paragraph" w:customStyle="1" w:styleId="numberedpara6">
    <w:name w:val="numbered para 6"/>
    <w:basedOn w:val="ListParagraph"/>
    <w:link w:val="numberedpara6Char"/>
    <w:qFormat/>
    <w:rsid w:val="00BB0A82"/>
    <w:pPr>
      <w:numPr>
        <w:numId w:val="36"/>
      </w:numPr>
      <w:tabs>
        <w:tab w:val="left" w:pos="709"/>
      </w:tabs>
      <w:spacing w:before="120" w:after="240"/>
      <w:ind w:left="0" w:firstLine="0"/>
      <w:contextualSpacing w:val="0"/>
    </w:pPr>
    <w:rPr>
      <w:rFonts w:ascii="Calibri" w:eastAsia="Times New Roman" w:hAnsi="Calibri"/>
      <w:sz w:val="24"/>
      <w:szCs w:val="24"/>
      <w:lang w:eastAsia="en-AU"/>
    </w:rPr>
  </w:style>
  <w:style w:type="paragraph" w:customStyle="1" w:styleId="numberedparaa">
    <w:name w:val="numbered para (a)"/>
    <w:basedOn w:val="ListParagraph"/>
    <w:qFormat/>
    <w:rsid w:val="00BB0A82"/>
    <w:pPr>
      <w:numPr>
        <w:numId w:val="37"/>
      </w:numPr>
      <w:spacing w:before="120"/>
      <w:ind w:left="567" w:hanging="425"/>
      <w:contextualSpacing w:val="0"/>
    </w:pPr>
    <w:rPr>
      <w:rFonts w:ascii="Calibri" w:eastAsia="Times New Roman" w:hAnsi="Calibri"/>
      <w:sz w:val="24"/>
      <w:szCs w:val="24"/>
      <w:lang w:eastAsia="en-AU"/>
    </w:rPr>
  </w:style>
  <w:style w:type="character" w:customStyle="1" w:styleId="numberedpara6Char">
    <w:name w:val="numbered para 6 Char"/>
    <w:link w:val="numberedpara6"/>
    <w:rsid w:val="00BB0A82"/>
    <w:rPr>
      <w:rFonts w:ascii="Calibri" w:eastAsia="Times New Roman" w:hAnsi="Calibri"/>
      <w:sz w:val="24"/>
      <w:szCs w:val="24"/>
      <w:lang w:eastAsia="en-AU"/>
    </w:rPr>
  </w:style>
  <w:style w:type="character" w:customStyle="1" w:styleId="partynames">
    <w:name w:val="partynames"/>
    <w:rsid w:val="00BB0A82"/>
    <w:rPr>
      <w:rFonts w:ascii="Verdana" w:hAnsi="Verdana" w:hint="default"/>
      <w:sz w:val="16"/>
      <w:szCs w:val="16"/>
    </w:rPr>
  </w:style>
  <w:style w:type="character" w:customStyle="1" w:styleId="BulletsChar1">
    <w:name w:val="Bullets Char1"/>
    <w:rsid w:val="00BB0A82"/>
    <w:rPr>
      <w:rFonts w:ascii="Calibri" w:eastAsia="Calibri" w:hAnsi="Calibri" w:cs="Times New Roman"/>
      <w:sz w:val="24"/>
      <w:lang w:val="en-AU"/>
    </w:rPr>
  </w:style>
  <w:style w:type="table" w:styleId="LightList">
    <w:name w:val="Light List"/>
    <w:basedOn w:val="TableNormal"/>
    <w:uiPriority w:val="61"/>
    <w:rsid w:val="00BB0A82"/>
    <w:pPr>
      <w:ind w:left="0" w:firstLine="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F1364"/>
    <w:pPr>
      <w:ind w:left="0"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ov-is-numbered-paragraph">
    <w:name w:val="gov-is-numbered-paragraph"/>
    <w:basedOn w:val="Normal"/>
    <w:rsid w:val="009020CF"/>
    <w:pPr>
      <w:spacing w:before="100" w:beforeAutospacing="1" w:after="100" w:afterAutospacing="1"/>
    </w:pPr>
    <w:rPr>
      <w:rFonts w:ascii="Times New Roman" w:eastAsia="Times New Roman" w:hAnsi="Times New Roman"/>
      <w:sz w:val="24"/>
      <w:szCs w:val="24"/>
      <w:lang w:eastAsia="en-AU"/>
    </w:rPr>
  </w:style>
  <w:style w:type="character" w:customStyle="1" w:styleId="citation">
    <w:name w:val="citation"/>
    <w:basedOn w:val="DefaultParagraphFont"/>
    <w:rsid w:val="00606296"/>
  </w:style>
  <w:style w:type="character" w:customStyle="1" w:styleId="cf01">
    <w:name w:val="cf01"/>
    <w:basedOn w:val="DefaultParagraphFont"/>
    <w:rsid w:val="00F7301B"/>
    <w:rPr>
      <w:rFonts w:ascii="Segoe UI" w:hAnsi="Segoe UI" w:cs="Segoe UI" w:hint="default"/>
      <w:color w:val="333333"/>
      <w:sz w:val="18"/>
      <w:szCs w:val="18"/>
      <w:shd w:val="clear" w:color="auto" w:fill="FFFFFF"/>
    </w:rPr>
  </w:style>
  <w:style w:type="paragraph" w:customStyle="1" w:styleId="h6">
    <w:name w:val="h6"/>
    <w:basedOn w:val="Normal"/>
    <w:rsid w:val="00DC34FB"/>
    <w:pPr>
      <w:spacing w:before="100" w:beforeAutospacing="1" w:after="100" w:afterAutospacing="1"/>
    </w:pPr>
    <w:rPr>
      <w:rFonts w:ascii="Times New Roman" w:eastAsia="Times New Roman" w:hAnsi="Times New Roman"/>
      <w:sz w:val="24"/>
      <w:szCs w:val="24"/>
      <w:lang w:eastAsia="en-AU"/>
    </w:rPr>
  </w:style>
  <w:style w:type="character" w:customStyle="1" w:styleId="cf11">
    <w:name w:val="cf11"/>
    <w:basedOn w:val="DefaultParagraphFont"/>
    <w:rsid w:val="00FB7D28"/>
    <w:rPr>
      <w:rFonts w:ascii="Segoe UI" w:hAnsi="Segoe UI" w:cs="Segoe UI" w:hint="default"/>
      <w:color w:val="333333"/>
      <w:sz w:val="18"/>
      <w:szCs w:val="18"/>
      <w:shd w:val="clear" w:color="auto" w:fill="FFFFFF"/>
    </w:rPr>
  </w:style>
  <w:style w:type="character" w:customStyle="1" w:styleId="cf21">
    <w:name w:val="cf21"/>
    <w:basedOn w:val="DefaultParagraphFont"/>
    <w:rsid w:val="00FB7D28"/>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68">
      <w:bodyDiv w:val="1"/>
      <w:marLeft w:val="0"/>
      <w:marRight w:val="0"/>
      <w:marTop w:val="0"/>
      <w:marBottom w:val="0"/>
      <w:divBdr>
        <w:top w:val="none" w:sz="0" w:space="0" w:color="auto"/>
        <w:left w:val="none" w:sz="0" w:space="0" w:color="auto"/>
        <w:bottom w:val="none" w:sz="0" w:space="0" w:color="auto"/>
        <w:right w:val="none" w:sz="0" w:space="0" w:color="auto"/>
      </w:divBdr>
    </w:div>
    <w:div w:id="25301693">
      <w:bodyDiv w:val="1"/>
      <w:marLeft w:val="0"/>
      <w:marRight w:val="0"/>
      <w:marTop w:val="0"/>
      <w:marBottom w:val="0"/>
      <w:divBdr>
        <w:top w:val="none" w:sz="0" w:space="0" w:color="auto"/>
        <w:left w:val="none" w:sz="0" w:space="0" w:color="auto"/>
        <w:bottom w:val="none" w:sz="0" w:space="0" w:color="auto"/>
        <w:right w:val="none" w:sz="0" w:space="0" w:color="auto"/>
      </w:divBdr>
    </w:div>
    <w:div w:id="25719435">
      <w:bodyDiv w:val="1"/>
      <w:marLeft w:val="0"/>
      <w:marRight w:val="0"/>
      <w:marTop w:val="0"/>
      <w:marBottom w:val="0"/>
      <w:divBdr>
        <w:top w:val="none" w:sz="0" w:space="0" w:color="auto"/>
        <w:left w:val="none" w:sz="0" w:space="0" w:color="auto"/>
        <w:bottom w:val="none" w:sz="0" w:space="0" w:color="auto"/>
        <w:right w:val="none" w:sz="0" w:space="0" w:color="auto"/>
      </w:divBdr>
    </w:div>
    <w:div w:id="129397124">
      <w:bodyDiv w:val="1"/>
      <w:marLeft w:val="0"/>
      <w:marRight w:val="0"/>
      <w:marTop w:val="0"/>
      <w:marBottom w:val="0"/>
      <w:divBdr>
        <w:top w:val="none" w:sz="0" w:space="0" w:color="auto"/>
        <w:left w:val="none" w:sz="0" w:space="0" w:color="auto"/>
        <w:bottom w:val="none" w:sz="0" w:space="0" w:color="auto"/>
        <w:right w:val="none" w:sz="0" w:space="0" w:color="auto"/>
      </w:divBdr>
    </w:div>
    <w:div w:id="249311749">
      <w:bodyDiv w:val="1"/>
      <w:marLeft w:val="0"/>
      <w:marRight w:val="0"/>
      <w:marTop w:val="0"/>
      <w:marBottom w:val="0"/>
      <w:divBdr>
        <w:top w:val="none" w:sz="0" w:space="0" w:color="auto"/>
        <w:left w:val="none" w:sz="0" w:space="0" w:color="auto"/>
        <w:bottom w:val="none" w:sz="0" w:space="0" w:color="auto"/>
        <w:right w:val="none" w:sz="0" w:space="0" w:color="auto"/>
      </w:divBdr>
    </w:div>
    <w:div w:id="256325942">
      <w:bodyDiv w:val="1"/>
      <w:marLeft w:val="0"/>
      <w:marRight w:val="0"/>
      <w:marTop w:val="0"/>
      <w:marBottom w:val="0"/>
      <w:divBdr>
        <w:top w:val="none" w:sz="0" w:space="0" w:color="auto"/>
        <w:left w:val="none" w:sz="0" w:space="0" w:color="auto"/>
        <w:bottom w:val="none" w:sz="0" w:space="0" w:color="auto"/>
        <w:right w:val="none" w:sz="0" w:space="0" w:color="auto"/>
      </w:divBdr>
    </w:div>
    <w:div w:id="434445409">
      <w:bodyDiv w:val="1"/>
      <w:marLeft w:val="0"/>
      <w:marRight w:val="0"/>
      <w:marTop w:val="0"/>
      <w:marBottom w:val="0"/>
      <w:divBdr>
        <w:top w:val="none" w:sz="0" w:space="0" w:color="auto"/>
        <w:left w:val="none" w:sz="0" w:space="0" w:color="auto"/>
        <w:bottom w:val="none" w:sz="0" w:space="0" w:color="auto"/>
        <w:right w:val="none" w:sz="0" w:space="0" w:color="auto"/>
      </w:divBdr>
    </w:div>
    <w:div w:id="492792631">
      <w:bodyDiv w:val="1"/>
      <w:marLeft w:val="0"/>
      <w:marRight w:val="0"/>
      <w:marTop w:val="0"/>
      <w:marBottom w:val="0"/>
      <w:divBdr>
        <w:top w:val="none" w:sz="0" w:space="0" w:color="auto"/>
        <w:left w:val="none" w:sz="0" w:space="0" w:color="auto"/>
        <w:bottom w:val="none" w:sz="0" w:space="0" w:color="auto"/>
        <w:right w:val="none" w:sz="0" w:space="0" w:color="auto"/>
      </w:divBdr>
    </w:div>
    <w:div w:id="528763351">
      <w:bodyDiv w:val="1"/>
      <w:marLeft w:val="0"/>
      <w:marRight w:val="0"/>
      <w:marTop w:val="0"/>
      <w:marBottom w:val="0"/>
      <w:divBdr>
        <w:top w:val="none" w:sz="0" w:space="0" w:color="auto"/>
        <w:left w:val="none" w:sz="0" w:space="0" w:color="auto"/>
        <w:bottom w:val="none" w:sz="0" w:space="0" w:color="auto"/>
        <w:right w:val="none" w:sz="0" w:space="0" w:color="auto"/>
      </w:divBdr>
    </w:div>
    <w:div w:id="542790703">
      <w:bodyDiv w:val="1"/>
      <w:marLeft w:val="0"/>
      <w:marRight w:val="0"/>
      <w:marTop w:val="0"/>
      <w:marBottom w:val="0"/>
      <w:divBdr>
        <w:top w:val="none" w:sz="0" w:space="0" w:color="auto"/>
        <w:left w:val="none" w:sz="0" w:space="0" w:color="auto"/>
        <w:bottom w:val="none" w:sz="0" w:space="0" w:color="auto"/>
        <w:right w:val="none" w:sz="0" w:space="0" w:color="auto"/>
      </w:divBdr>
    </w:div>
    <w:div w:id="696346888">
      <w:bodyDiv w:val="1"/>
      <w:marLeft w:val="0"/>
      <w:marRight w:val="0"/>
      <w:marTop w:val="0"/>
      <w:marBottom w:val="0"/>
      <w:divBdr>
        <w:top w:val="none" w:sz="0" w:space="0" w:color="auto"/>
        <w:left w:val="none" w:sz="0" w:space="0" w:color="auto"/>
        <w:bottom w:val="none" w:sz="0" w:space="0" w:color="auto"/>
        <w:right w:val="none" w:sz="0" w:space="0" w:color="auto"/>
      </w:divBdr>
    </w:div>
    <w:div w:id="708139846">
      <w:bodyDiv w:val="1"/>
      <w:marLeft w:val="0"/>
      <w:marRight w:val="0"/>
      <w:marTop w:val="0"/>
      <w:marBottom w:val="0"/>
      <w:divBdr>
        <w:top w:val="none" w:sz="0" w:space="0" w:color="auto"/>
        <w:left w:val="none" w:sz="0" w:space="0" w:color="auto"/>
        <w:bottom w:val="none" w:sz="0" w:space="0" w:color="auto"/>
        <w:right w:val="none" w:sz="0" w:space="0" w:color="auto"/>
      </w:divBdr>
    </w:div>
    <w:div w:id="754280212">
      <w:bodyDiv w:val="1"/>
      <w:marLeft w:val="0"/>
      <w:marRight w:val="0"/>
      <w:marTop w:val="0"/>
      <w:marBottom w:val="0"/>
      <w:divBdr>
        <w:top w:val="none" w:sz="0" w:space="0" w:color="auto"/>
        <w:left w:val="none" w:sz="0" w:space="0" w:color="auto"/>
        <w:bottom w:val="none" w:sz="0" w:space="0" w:color="auto"/>
        <w:right w:val="none" w:sz="0" w:space="0" w:color="auto"/>
      </w:divBdr>
    </w:div>
    <w:div w:id="762996395">
      <w:bodyDiv w:val="1"/>
      <w:marLeft w:val="0"/>
      <w:marRight w:val="0"/>
      <w:marTop w:val="0"/>
      <w:marBottom w:val="0"/>
      <w:divBdr>
        <w:top w:val="none" w:sz="0" w:space="0" w:color="auto"/>
        <w:left w:val="none" w:sz="0" w:space="0" w:color="auto"/>
        <w:bottom w:val="none" w:sz="0" w:space="0" w:color="auto"/>
        <w:right w:val="none" w:sz="0" w:space="0" w:color="auto"/>
      </w:divBdr>
    </w:div>
    <w:div w:id="774373604">
      <w:bodyDiv w:val="1"/>
      <w:marLeft w:val="0"/>
      <w:marRight w:val="0"/>
      <w:marTop w:val="0"/>
      <w:marBottom w:val="0"/>
      <w:divBdr>
        <w:top w:val="none" w:sz="0" w:space="0" w:color="auto"/>
        <w:left w:val="none" w:sz="0" w:space="0" w:color="auto"/>
        <w:bottom w:val="none" w:sz="0" w:space="0" w:color="auto"/>
        <w:right w:val="none" w:sz="0" w:space="0" w:color="auto"/>
      </w:divBdr>
    </w:div>
    <w:div w:id="776409819">
      <w:bodyDiv w:val="1"/>
      <w:marLeft w:val="0"/>
      <w:marRight w:val="0"/>
      <w:marTop w:val="0"/>
      <w:marBottom w:val="0"/>
      <w:divBdr>
        <w:top w:val="none" w:sz="0" w:space="0" w:color="auto"/>
        <w:left w:val="none" w:sz="0" w:space="0" w:color="auto"/>
        <w:bottom w:val="none" w:sz="0" w:space="0" w:color="auto"/>
        <w:right w:val="none" w:sz="0" w:space="0" w:color="auto"/>
      </w:divBdr>
    </w:div>
    <w:div w:id="861671999">
      <w:bodyDiv w:val="1"/>
      <w:marLeft w:val="0"/>
      <w:marRight w:val="0"/>
      <w:marTop w:val="0"/>
      <w:marBottom w:val="0"/>
      <w:divBdr>
        <w:top w:val="none" w:sz="0" w:space="0" w:color="auto"/>
        <w:left w:val="none" w:sz="0" w:space="0" w:color="auto"/>
        <w:bottom w:val="none" w:sz="0" w:space="0" w:color="auto"/>
        <w:right w:val="none" w:sz="0" w:space="0" w:color="auto"/>
      </w:divBdr>
    </w:div>
    <w:div w:id="975644150">
      <w:bodyDiv w:val="1"/>
      <w:marLeft w:val="0"/>
      <w:marRight w:val="0"/>
      <w:marTop w:val="0"/>
      <w:marBottom w:val="0"/>
      <w:divBdr>
        <w:top w:val="none" w:sz="0" w:space="0" w:color="auto"/>
        <w:left w:val="none" w:sz="0" w:space="0" w:color="auto"/>
        <w:bottom w:val="none" w:sz="0" w:space="0" w:color="auto"/>
        <w:right w:val="none" w:sz="0" w:space="0" w:color="auto"/>
      </w:divBdr>
    </w:div>
    <w:div w:id="1006057285">
      <w:bodyDiv w:val="1"/>
      <w:marLeft w:val="0"/>
      <w:marRight w:val="0"/>
      <w:marTop w:val="0"/>
      <w:marBottom w:val="0"/>
      <w:divBdr>
        <w:top w:val="none" w:sz="0" w:space="0" w:color="auto"/>
        <w:left w:val="none" w:sz="0" w:space="0" w:color="auto"/>
        <w:bottom w:val="none" w:sz="0" w:space="0" w:color="auto"/>
        <w:right w:val="none" w:sz="0" w:space="0" w:color="auto"/>
      </w:divBdr>
    </w:div>
    <w:div w:id="1030882848">
      <w:bodyDiv w:val="1"/>
      <w:marLeft w:val="0"/>
      <w:marRight w:val="0"/>
      <w:marTop w:val="0"/>
      <w:marBottom w:val="0"/>
      <w:divBdr>
        <w:top w:val="none" w:sz="0" w:space="0" w:color="auto"/>
        <w:left w:val="none" w:sz="0" w:space="0" w:color="auto"/>
        <w:bottom w:val="none" w:sz="0" w:space="0" w:color="auto"/>
        <w:right w:val="none" w:sz="0" w:space="0" w:color="auto"/>
      </w:divBdr>
      <w:divsChild>
        <w:div w:id="792401713">
          <w:marLeft w:val="0"/>
          <w:marRight w:val="0"/>
          <w:marTop w:val="0"/>
          <w:marBottom w:val="120"/>
          <w:divBdr>
            <w:top w:val="none" w:sz="0" w:space="0" w:color="auto"/>
            <w:left w:val="none" w:sz="0" w:space="0" w:color="auto"/>
            <w:bottom w:val="none" w:sz="0" w:space="0" w:color="auto"/>
            <w:right w:val="none" w:sz="0" w:space="0" w:color="auto"/>
          </w:divBdr>
        </w:div>
      </w:divsChild>
    </w:div>
    <w:div w:id="1075130128">
      <w:bodyDiv w:val="1"/>
      <w:marLeft w:val="0"/>
      <w:marRight w:val="0"/>
      <w:marTop w:val="0"/>
      <w:marBottom w:val="0"/>
      <w:divBdr>
        <w:top w:val="none" w:sz="0" w:space="0" w:color="auto"/>
        <w:left w:val="none" w:sz="0" w:space="0" w:color="auto"/>
        <w:bottom w:val="none" w:sz="0" w:space="0" w:color="auto"/>
        <w:right w:val="none" w:sz="0" w:space="0" w:color="auto"/>
      </w:divBdr>
    </w:div>
    <w:div w:id="1176961393">
      <w:bodyDiv w:val="1"/>
      <w:marLeft w:val="0"/>
      <w:marRight w:val="0"/>
      <w:marTop w:val="0"/>
      <w:marBottom w:val="0"/>
      <w:divBdr>
        <w:top w:val="none" w:sz="0" w:space="0" w:color="auto"/>
        <w:left w:val="none" w:sz="0" w:space="0" w:color="auto"/>
        <w:bottom w:val="none" w:sz="0" w:space="0" w:color="auto"/>
        <w:right w:val="none" w:sz="0" w:space="0" w:color="auto"/>
      </w:divBdr>
    </w:div>
    <w:div w:id="1229345004">
      <w:bodyDiv w:val="1"/>
      <w:marLeft w:val="0"/>
      <w:marRight w:val="0"/>
      <w:marTop w:val="0"/>
      <w:marBottom w:val="0"/>
      <w:divBdr>
        <w:top w:val="none" w:sz="0" w:space="0" w:color="auto"/>
        <w:left w:val="none" w:sz="0" w:space="0" w:color="auto"/>
        <w:bottom w:val="none" w:sz="0" w:space="0" w:color="auto"/>
        <w:right w:val="none" w:sz="0" w:space="0" w:color="auto"/>
      </w:divBdr>
    </w:div>
    <w:div w:id="1260143807">
      <w:bodyDiv w:val="1"/>
      <w:marLeft w:val="0"/>
      <w:marRight w:val="0"/>
      <w:marTop w:val="0"/>
      <w:marBottom w:val="0"/>
      <w:divBdr>
        <w:top w:val="none" w:sz="0" w:space="0" w:color="auto"/>
        <w:left w:val="none" w:sz="0" w:space="0" w:color="auto"/>
        <w:bottom w:val="none" w:sz="0" w:space="0" w:color="auto"/>
        <w:right w:val="none" w:sz="0" w:space="0" w:color="auto"/>
      </w:divBdr>
    </w:div>
    <w:div w:id="1446657269">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604605751">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50971412">
      <w:bodyDiv w:val="1"/>
      <w:marLeft w:val="0"/>
      <w:marRight w:val="0"/>
      <w:marTop w:val="0"/>
      <w:marBottom w:val="0"/>
      <w:divBdr>
        <w:top w:val="none" w:sz="0" w:space="0" w:color="auto"/>
        <w:left w:val="none" w:sz="0" w:space="0" w:color="auto"/>
        <w:bottom w:val="none" w:sz="0" w:space="0" w:color="auto"/>
        <w:right w:val="none" w:sz="0" w:space="0" w:color="auto"/>
      </w:divBdr>
    </w:div>
    <w:div w:id="2026400666">
      <w:bodyDiv w:val="1"/>
      <w:marLeft w:val="0"/>
      <w:marRight w:val="0"/>
      <w:marTop w:val="0"/>
      <w:marBottom w:val="0"/>
      <w:divBdr>
        <w:top w:val="none" w:sz="0" w:space="0" w:color="auto"/>
        <w:left w:val="none" w:sz="0" w:space="0" w:color="auto"/>
        <w:bottom w:val="none" w:sz="0" w:space="0" w:color="auto"/>
        <w:right w:val="none" w:sz="0" w:space="0" w:color="auto"/>
      </w:divBdr>
    </w:div>
    <w:div w:id="2061392267">
      <w:bodyDiv w:val="1"/>
      <w:marLeft w:val="0"/>
      <w:marRight w:val="0"/>
      <w:marTop w:val="0"/>
      <w:marBottom w:val="0"/>
      <w:divBdr>
        <w:top w:val="none" w:sz="0" w:space="0" w:color="auto"/>
        <w:left w:val="none" w:sz="0" w:space="0" w:color="auto"/>
        <w:bottom w:val="none" w:sz="0" w:space="0" w:color="auto"/>
        <w:right w:val="none" w:sz="0" w:space="0" w:color="auto"/>
      </w:divBdr>
    </w:div>
    <w:div w:id="2099053115">
      <w:bodyDiv w:val="1"/>
      <w:marLeft w:val="0"/>
      <w:marRight w:val="0"/>
      <w:marTop w:val="0"/>
      <w:marBottom w:val="0"/>
      <w:divBdr>
        <w:top w:val="none" w:sz="0" w:space="0" w:color="auto"/>
        <w:left w:val="none" w:sz="0" w:space="0" w:color="auto"/>
        <w:bottom w:val="none" w:sz="0" w:space="0" w:color="auto"/>
        <w:right w:val="none" w:sz="0" w:space="0" w:color="auto"/>
      </w:divBdr>
    </w:div>
    <w:div w:id="21098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ustlii.edu.au/cgi-bin/viewdoc/au/cases/cth/AICmr/2023/30.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austlii.edu.au/cgi-bin/viewdoc/au/cases/cth/AATA/2020/4557.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lii.edu.au/cgi-bin/viewdoc/au/cases/cth/AICmr/2013/6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stlii.edu.au/cgi-bin/viewdoc/au/cases/cth/AICmr/2014/9.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ustlii.edu.au/cgi-bin/viewdoc/au/cases/cth/AATA/2015/462.html" TargetMode="External"/><Relationship Id="rId23" Type="http://schemas.openxmlformats.org/officeDocument/2006/relationships/fontTable" Target="fontTable.xml"/><Relationship Id="rId10" Type="http://schemas.openxmlformats.org/officeDocument/2006/relationships/hyperlink" Target="http://www.oaic.gov.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ustlii.edu.au/cgi-bin/viewdoc/au/cases/cth/AICmr/2015/51.htm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17" Type="http://schemas.openxmlformats.org/officeDocument/2006/relationships/hyperlink" Target="https://www.austlii.edu.au/cgi-bin/viewdoc/au/cases/cth/AATA/1993/328.html" TargetMode="External"/><Relationship Id="rId21" Type="http://schemas.openxmlformats.org/officeDocument/2006/relationships/hyperlink" Target="https://www.austlii.edu.au/cgi-bin/viewdoc/au/cases/cth/AATA/1986/141.html" TargetMode="External"/><Relationship Id="rId63" Type="http://schemas.openxmlformats.org/officeDocument/2006/relationships/hyperlink" Target="http://www.austlii.edu.au/cgi-bin/sinodisp/au/cases/cth/FCA/2001/1375.html?query=" TargetMode="External"/><Relationship Id="rId159" Type="http://schemas.openxmlformats.org/officeDocument/2006/relationships/hyperlink" Target="https://www.austlii.edu.au/cgi-bin/viewdoc/au/cases/cth/AATA/2008/477.html" TargetMode="External"/><Relationship Id="rId170" Type="http://schemas.openxmlformats.org/officeDocument/2006/relationships/hyperlink" Target="https://www.austlii.edu.au/cgi-bin/viewdoc/au/cases/cth/AATA/2010/244.html" TargetMode="External"/><Relationship Id="rId226" Type="http://schemas.openxmlformats.org/officeDocument/2006/relationships/hyperlink" Target="http://uniset.ca/terr/css/britishsteel.html" TargetMode="External"/><Relationship Id="rId268" Type="http://schemas.openxmlformats.org/officeDocument/2006/relationships/hyperlink" Target="https://www.austlii.edu.au/cgi-bin/viewdoc/au/cases/cth/AATA/2015/462.html" TargetMode="External"/><Relationship Id="rId32" Type="http://schemas.openxmlformats.org/officeDocument/2006/relationships/hyperlink" Target="https://www.austlii.edu.au/cgi-bin/viewdoc/au/cases/cth/AATA/2016/506.html?context=1;query=%22foia1982222%20s47b%22;mask_path=" TargetMode="External"/><Relationship Id="rId74" Type="http://schemas.openxmlformats.org/officeDocument/2006/relationships/hyperlink" Target="https://www.austlii.edu.au/cgi-bin/viewdoc/au/cases/cth/AATA/1984/518.html" TargetMode="External"/><Relationship Id="rId128" Type="http://schemas.openxmlformats.org/officeDocument/2006/relationships/hyperlink" Target="https://www.austlii.edu.au/cgi-bin/viewdoc/au/cases/cth/AICmr/2023/37.html" TargetMode="External"/><Relationship Id="rId5" Type="http://schemas.openxmlformats.org/officeDocument/2006/relationships/hyperlink" Target="https://www.austlii.edu.au/cgi-bin/viewdoc/au/cases/cth/AICmr/2022/16.html" TargetMode="External"/><Relationship Id="rId181" Type="http://schemas.openxmlformats.org/officeDocument/2006/relationships/hyperlink" Target="https://www.austlii.edu.au/cgi-bin/viewdoc/au/cases/cth/AICmr/2022/44.html" TargetMode="External"/><Relationship Id="rId237" Type="http://schemas.openxmlformats.org/officeDocument/2006/relationships/hyperlink" Target="https://www.austlii.edu.au/cgi-bin/viewdoc/au/cases/cth/AICmr/2021/57.html" TargetMode="External"/><Relationship Id="rId258" Type="http://schemas.openxmlformats.org/officeDocument/2006/relationships/hyperlink" Target="https://www.austlii.edu.au/cgi-bin/viewdoc/au/cases/cth/AATA/2015/945.html" TargetMode="External"/><Relationship Id="rId279" Type="http://schemas.openxmlformats.org/officeDocument/2006/relationships/hyperlink" Target="https://www.austlii.edu.au/cgi-bin/viewdoc/au/cases/cth/AICmr/2017/117.html" TargetMode="External"/><Relationship Id="rId22" Type="http://schemas.openxmlformats.org/officeDocument/2006/relationships/hyperlink" Target="https://www.austlii.edu.au/cgi-bin/viewdoc/au/cases/cth/FCA/1979/85.html" TargetMode="External"/><Relationship Id="rId43" Type="http://schemas.openxmlformats.org/officeDocument/2006/relationships/hyperlink" Target="https://www.austlii.edu.au/cgi-bin/viewdoc/au/cases/cth/AATA/1985/180.html" TargetMode="External"/><Relationship Id="rId64" Type="http://schemas.openxmlformats.org/officeDocument/2006/relationships/hyperlink" Target="https://www.austlii.edu.au/cgi-bin/viewdoc/au/cases/cth/AATA/1989/107.html" TargetMode="External"/><Relationship Id="rId118" Type="http://schemas.openxmlformats.org/officeDocument/2006/relationships/hyperlink" Target="https://www.austlii.edu.au/cgi-bin/viewdoc/au/cases/cth/FCA/1988/148.html" TargetMode="External"/><Relationship Id="rId139" Type="http://schemas.openxmlformats.org/officeDocument/2006/relationships/hyperlink" Target="https://www.austlii.edu.au/cgi-bin/viewdoc/au/cases/cth/AATA/2023/458.html?context=1;query=%22freedom%20of%20information%20act%22%20or%20title(freedom%20of%20information);mask_path=au/cases/cth/AATA" TargetMode="External"/><Relationship Id="rId85" Type="http://schemas.openxmlformats.org/officeDocument/2006/relationships/hyperlink" Target="https://www.austlii.edu.au/cgi-bin/viewdoc/au/cases/cth/AICmr/2013/70.html" TargetMode="External"/><Relationship Id="rId150" Type="http://schemas.openxmlformats.org/officeDocument/2006/relationships/hyperlink" Target="https://www.austlii.edu.au/cgi-bin/viewdoc/au/cases/cth/AICmr/2016/27.html" TargetMode="External"/><Relationship Id="rId171" Type="http://schemas.openxmlformats.org/officeDocument/2006/relationships/hyperlink" Target="https://www.austlii.edu.au/cgi-bin/viewdoc/au/cases/cth/AATA/1986/79.html" TargetMode="External"/><Relationship Id="rId192" Type="http://schemas.openxmlformats.org/officeDocument/2006/relationships/hyperlink" Target="https://www.austlii.edu.au/cgi-bin/viewdoc/au/cases/cth/AICmr/2023/58.html" TargetMode="External"/><Relationship Id="rId206" Type="http://schemas.openxmlformats.org/officeDocument/2006/relationships/hyperlink" Target="https://www.austlii.edu.au/cgi-bin/viewdoc/au/cases/cth/AICmr/2015/67.html" TargetMode="External"/><Relationship Id="rId227" Type="http://schemas.openxmlformats.org/officeDocument/2006/relationships/hyperlink" Target="https://nla.gov.au/nla.obj-2656889842/view?partId=nla.obj-2657171600" TargetMode="External"/><Relationship Id="rId248" Type="http://schemas.openxmlformats.org/officeDocument/2006/relationships/hyperlink" Target="https://www.austlii.edu.au/cgi-bin/viewdoc/au/cases/cth/AICmr/2019/33.html" TargetMode="External"/><Relationship Id="rId269" Type="http://schemas.openxmlformats.org/officeDocument/2006/relationships/hyperlink" Target="https://www.austlii.edu.au/cgi-bin/viewdoc/au/cases/cth/AATA/2015/962.html" TargetMode="External"/><Relationship Id="rId12" Type="http://schemas.openxmlformats.org/officeDocument/2006/relationships/hyperlink" Target="https://www.austlii.edu.au/cgi-bin/viewdoc/au/cases/cth/AICmr/2022/4.html" TargetMode="External"/><Relationship Id="rId33" Type="http://schemas.openxmlformats.org/officeDocument/2006/relationships/hyperlink" Target="https://www.austlii.edu.au/cgi-bin/viewdoc/au/cases/cth/AICmr/2013/57.html" TargetMode="External"/><Relationship Id="rId108" Type="http://schemas.openxmlformats.org/officeDocument/2006/relationships/hyperlink" Target="https://www.austlii.edu.au/cgi-bin/viewdoc/au/cases/cth/AICmr/2022/65.html" TargetMode="External"/><Relationship Id="rId129" Type="http://schemas.openxmlformats.org/officeDocument/2006/relationships/hyperlink" Target="https://www.austlii.edu.au/cgi-bin/viewdoc/au/cases/cth/AICmr/2023/37.html" TargetMode="External"/><Relationship Id="rId54" Type="http://schemas.openxmlformats.org/officeDocument/2006/relationships/hyperlink" Target="https://www.austlii.edu.au/cgi-bin/viewdoc/au/cases/cth/AICmr/2011/5.html" TargetMode="External"/><Relationship Id="rId75" Type="http://schemas.openxmlformats.org/officeDocument/2006/relationships/hyperlink" Target="https://www.austlii.edu.au/cgi-bin/viewdoc/au/cases/cth/FCA/1984/8.html" TargetMode="External"/><Relationship Id="rId96" Type="http://schemas.openxmlformats.org/officeDocument/2006/relationships/hyperlink" Target="https://www.austlii.edu.au/cgi-bin/viewdoc/au/cases/cth/AATA/1984/501.html" TargetMode="External"/><Relationship Id="rId140" Type="http://schemas.openxmlformats.org/officeDocument/2006/relationships/hyperlink" Target="https://www.austlii.edu.au/cgi-bin/viewdoc/au/cases/cth/AATA/2023/458.html?context=1;query=%22freedom%20of%20information%20act%22%20or%20title(freedom%20of%20information);mask_path=au/cases/cth/AATA" TargetMode="External"/><Relationship Id="rId161" Type="http://schemas.openxmlformats.org/officeDocument/2006/relationships/hyperlink" Target="https://www.austlii.edu.au/cgi-bin/viewdoc/au/cases/cth/AICmr/2014/9.html" TargetMode="External"/><Relationship Id="rId182" Type="http://schemas.openxmlformats.org/officeDocument/2006/relationships/hyperlink" Target="https://www.austlii.edu.au/cgi-bin/viewdoc/au/cases/cth/AICmr/2023/38.html" TargetMode="External"/><Relationship Id="rId217" Type="http://schemas.openxmlformats.org/officeDocument/2006/relationships/hyperlink" Target="https://www.austlii.edu.au/cgi-bin/viewdoc/au/cases/cth/AATA/2000/71.html" TargetMode="External"/><Relationship Id="rId6" Type="http://schemas.openxmlformats.org/officeDocument/2006/relationships/hyperlink" Target="https://www.austlii.edu.au/cgi-bin/viewdoc/au/cases/cth/AICmr/2013/69.html" TargetMode="External"/><Relationship Id="rId238" Type="http://schemas.openxmlformats.org/officeDocument/2006/relationships/hyperlink" Target="https://www.austlii.edu.au/cgi-bin/viewdoc/au/cases/cth/AICmr/2012/30.html" TargetMode="External"/><Relationship Id="rId259" Type="http://schemas.openxmlformats.org/officeDocument/2006/relationships/hyperlink" Target="https://www.austlii.edu.au/cgi-bin/viewdoc/au/cases/cth/AICmr/2023/26.html" TargetMode="External"/><Relationship Id="rId23" Type="http://schemas.openxmlformats.org/officeDocument/2006/relationships/hyperlink" Target="https://www.austlii.edu.au/cgi-bin/viewdoc/au/cases/cth/FCA/1986/260.html" TargetMode="External"/><Relationship Id="rId119" Type="http://schemas.openxmlformats.org/officeDocument/2006/relationships/hyperlink" Target="https://www.austlii.edu.au/cgi-bin/viewdoc/au/cases/cth/AATA/2016/230.html" TargetMode="External"/><Relationship Id="rId270" Type="http://schemas.openxmlformats.org/officeDocument/2006/relationships/hyperlink" Target="https://www.austlii.edu.au/cgi-bin/viewdoc/au/cases/cth/AICmr/2015/51.html" TargetMode="External"/><Relationship Id="rId44" Type="http://schemas.openxmlformats.org/officeDocument/2006/relationships/hyperlink" Target="https://www.austlii.edu.au/cgi-bin/viewdoc/au/cases/cth/AATA/1986/224.html" TargetMode="External"/><Relationship Id="rId65" Type="http://schemas.openxmlformats.org/officeDocument/2006/relationships/hyperlink" Target="https://www.austlii.edu.au/cgi-bin/viewdoc/au/cases/cth/AATA/1997/31.html" TargetMode="External"/><Relationship Id="rId86" Type="http://schemas.openxmlformats.org/officeDocument/2006/relationships/hyperlink" Target="https://www.austlii.edu.au/cgi-bin/viewdoc/au/cases/cth/AICmr/2014/4.html" TargetMode="External"/><Relationship Id="rId130" Type="http://schemas.openxmlformats.org/officeDocument/2006/relationships/hyperlink" Target="https://www.austlii.edu.au/cgi-bin/viewdoc/au/cases/cth/AICmr/2018/1.html" TargetMode="External"/><Relationship Id="rId151" Type="http://schemas.openxmlformats.org/officeDocument/2006/relationships/hyperlink" Target="https://www.austlii.edu.au/cgi-bin/viewdoc/au/cases/cth/FCAFC/2017/4.html" TargetMode="External"/><Relationship Id="rId172" Type="http://schemas.openxmlformats.org/officeDocument/2006/relationships/hyperlink" Target="https://www.austlii.edu.au/cgi-bin/viewdoc/au/cases/cth/AATA/1995/364.html" TargetMode="External"/><Relationship Id="rId193" Type="http://schemas.openxmlformats.org/officeDocument/2006/relationships/hyperlink" Target="https://www.austlii.edu.au/cgi-bin/viewdoc/au/cases/cth/AICmr/2015/70.html" TargetMode="External"/><Relationship Id="rId207" Type="http://schemas.openxmlformats.org/officeDocument/2006/relationships/hyperlink" Target="https://www.austlii.edu.au/cgi-bin/viewdoc/au/cases/cth/AATA/1985/69.html" TargetMode="External"/><Relationship Id="rId228" Type="http://schemas.openxmlformats.org/officeDocument/2006/relationships/hyperlink" Target="https://www.austlii.edu.au/cgi-bin/viewdoc/au/cases/cth/HCA/1904/43.html" TargetMode="External"/><Relationship Id="rId249" Type="http://schemas.openxmlformats.org/officeDocument/2006/relationships/hyperlink" Target="https://www.austlii.edu.au/cgi-bin/viewdoc/au/cases/cth/AICmr/2019/8.html" TargetMode="External"/><Relationship Id="rId13" Type="http://schemas.openxmlformats.org/officeDocument/2006/relationships/hyperlink" Target="https://www.austlii.edu.au/cgi-bin/viewdoc/au/cases/cth/AATA/2021/2719.html" TargetMode="External"/><Relationship Id="rId109" Type="http://schemas.openxmlformats.org/officeDocument/2006/relationships/hyperlink" Target="https://www.austlii.edu.au/cgi-bin/viewdoc/au/cases/cth/AICmr/2013/19.html" TargetMode="External"/><Relationship Id="rId260" Type="http://schemas.openxmlformats.org/officeDocument/2006/relationships/hyperlink" Target="https://www.austlii.edu.au/cgi-bin/viewdoc/au/cases/cth/AICmr/2018/70.html" TargetMode="External"/><Relationship Id="rId34" Type="http://schemas.openxmlformats.org/officeDocument/2006/relationships/hyperlink" Target="https://www.austlii.edu.au/cgi-bin/viewdoc/au/cases/cth/FCA/1986/35.html" TargetMode="External"/><Relationship Id="rId55" Type="http://schemas.openxmlformats.org/officeDocument/2006/relationships/hyperlink" Target="https://www.austlii.edu.au/cgi-bin/viewdoc/au/cases/cth/AATA/2020/4964.html" TargetMode="External"/><Relationship Id="rId76" Type="http://schemas.openxmlformats.org/officeDocument/2006/relationships/hyperlink" Target="https://www.austlii.edu.au/cgi-bin/viewdoc/au/cases/cth/AATA/2015/962.html" TargetMode="External"/><Relationship Id="rId97" Type="http://schemas.openxmlformats.org/officeDocument/2006/relationships/hyperlink" Target="https://www.austlii.edu.au/cgi-bin/viewdoc/au/cases/cth/AICmr/2023/51.html" TargetMode="External"/><Relationship Id="rId120" Type="http://schemas.openxmlformats.org/officeDocument/2006/relationships/hyperlink" Target="https://www.austlii.edu.au/cgi-bin/viewdoc/au/cases/cth/AATA/2020/4729.html" TargetMode="External"/><Relationship Id="rId141" Type="http://schemas.openxmlformats.org/officeDocument/2006/relationships/hyperlink" Target="https://www.austlii.edu.au/cgi-bin/viewdoc/au/cases/cth/AATA/1992/252.html" TargetMode="External"/><Relationship Id="rId7" Type="http://schemas.openxmlformats.org/officeDocument/2006/relationships/hyperlink" Target="https://www.austlii.edu.au/cgi-bin/viewdoc/au/cases/cth/AICmr/2013/71.html" TargetMode="External"/><Relationship Id="rId162" Type="http://schemas.openxmlformats.org/officeDocument/2006/relationships/hyperlink" Target="https://www.austlii.edu.au/cgi-bin/viewdoc/au/cases/cth/FCA/1991/152.html" TargetMode="External"/><Relationship Id="rId183" Type="http://schemas.openxmlformats.org/officeDocument/2006/relationships/hyperlink" Target="https://www.austlii.edu.au/cgi-bin/viewdoc/au/cases/cth/AICmr/2015/85.html" TargetMode="External"/><Relationship Id="rId218" Type="http://schemas.openxmlformats.org/officeDocument/2006/relationships/hyperlink" Target="https://www.austlii.edu.au/cgi-bin/viewdoc/au/cases/cth/AATA/1993/187.html" TargetMode="External"/><Relationship Id="rId239" Type="http://schemas.openxmlformats.org/officeDocument/2006/relationships/hyperlink" Target="https://www.austlii.edu.au/cgi-bin/viewdoc/au/cases/cth/AICmr/2019/8.html" TargetMode="External"/><Relationship Id="rId250" Type="http://schemas.openxmlformats.org/officeDocument/2006/relationships/hyperlink" Target="https://www.austlii.edu.au/cgi-bin/viewdoc/au/cases/cth/AATA/2023/458.html" TargetMode="External"/><Relationship Id="rId271" Type="http://schemas.openxmlformats.org/officeDocument/2006/relationships/hyperlink" Target="https://www.austlii.edu.au/cgi-bin/viewdoc/au/cases/cth/AICmr/2023/26.html" TargetMode="External"/><Relationship Id="rId24" Type="http://schemas.openxmlformats.org/officeDocument/2006/relationships/hyperlink" Target="https://www.austlii.edu.au/cgi-bin/viewdoc/au/cases/cth/AATA/1984/501.html" TargetMode="External"/><Relationship Id="rId45" Type="http://schemas.openxmlformats.org/officeDocument/2006/relationships/hyperlink" Target="https://www.austlii.edu.au/cgi-bin/viewdoc/au/cases/cth/AATA/2021/3984.html" TargetMode="External"/><Relationship Id="rId66" Type="http://schemas.openxmlformats.org/officeDocument/2006/relationships/hyperlink" Target="https://www.austlii.edu.au/cgi-bin/viewdoc/au/cases/cth/AATA/1996/210.html" TargetMode="External"/><Relationship Id="rId87" Type="http://schemas.openxmlformats.org/officeDocument/2006/relationships/hyperlink" Target="https://www.austlii.edu.au/cgi-bin/viewdoc/au/cases/cth/AICmr/2014/27.html" TargetMode="External"/><Relationship Id="rId110" Type="http://schemas.openxmlformats.org/officeDocument/2006/relationships/hyperlink" Target="https://www.austlii.edu.au/cgi-bin/viewdoc/au/cases/cth/AATA/1986/108.html" TargetMode="External"/><Relationship Id="rId131" Type="http://schemas.openxmlformats.org/officeDocument/2006/relationships/hyperlink" Target="https://www.austlii.edu.au/cgi-bin/viewdoc/au/cases/cth/AICmr/2018/1.html" TargetMode="External"/><Relationship Id="rId152" Type="http://schemas.openxmlformats.org/officeDocument/2006/relationships/hyperlink" Target="https://www.austlii.edu.au/cgi-bin/viewdoc/au/cases/cth/AATA/1984/437.html" TargetMode="External"/><Relationship Id="rId173" Type="http://schemas.openxmlformats.org/officeDocument/2006/relationships/hyperlink" Target="https://www.austlii.edu.au/cgi-bin/viewdoc/au/cases/cth/AATA/2018/1273.html" TargetMode="External"/><Relationship Id="rId194" Type="http://schemas.openxmlformats.org/officeDocument/2006/relationships/hyperlink" Target="https://www.austlii.edu.au/cgi-bin/viewdoc/au/cases/cth/AICmr/2015/21.html" TargetMode="External"/><Relationship Id="rId208" Type="http://schemas.openxmlformats.org/officeDocument/2006/relationships/hyperlink" Target="https://www.austlii.edu.au/cgi-bin/viewdoc/au/cases/cth/AATA/2008/1075.html" TargetMode="External"/><Relationship Id="rId229" Type="http://schemas.openxmlformats.org/officeDocument/2006/relationships/hyperlink" Target="https://www.austlii.edu.au/cgi-bin/viewdoc/au/cases/cth/AATA/2015/945.html" TargetMode="External"/><Relationship Id="rId240" Type="http://schemas.openxmlformats.org/officeDocument/2006/relationships/hyperlink" Target="https://www.austlii.edu.au/cgi-bin/viewdoc/au/cases/cth/AICmr/2023/31.html" TargetMode="External"/><Relationship Id="rId261" Type="http://schemas.openxmlformats.org/officeDocument/2006/relationships/hyperlink" Target="https://www.austlii.edu.au/cgi-bin/viewdoc/au/cases/cth/AICmr/2023/30.html" TargetMode="External"/><Relationship Id="rId14" Type="http://schemas.openxmlformats.org/officeDocument/2006/relationships/hyperlink" Target="https://www.austlii.edu.au/cgi-bin/viewdoc/au/cases/cth/AATA/2015/494.html" TargetMode="External"/><Relationship Id="rId35" Type="http://schemas.openxmlformats.org/officeDocument/2006/relationships/hyperlink" Target="https://www.austlii.edu.au/cgi-bin/viewdoc/au/cases/cth/AICmr/2019/75.html" TargetMode="External"/><Relationship Id="rId56" Type="http://schemas.openxmlformats.org/officeDocument/2006/relationships/hyperlink" Target="https://www.austlii.edu.au/cgi-bin/viewdoc/au/cases/cth/AATA/1984/249.html" TargetMode="External"/><Relationship Id="rId77" Type="http://schemas.openxmlformats.org/officeDocument/2006/relationships/hyperlink" Target="https://www.oic.qld.gov.au/decisions/eccleston-and-department-of-family-services-and-aboriginal-and-islander-affairs" TargetMode="External"/><Relationship Id="rId100" Type="http://schemas.openxmlformats.org/officeDocument/2006/relationships/hyperlink" Target="https://www.austlii.edu.au/cgi-bin/viewdoc/au/cases/cth/AICmr/2016/71.html" TargetMode="External"/><Relationship Id="rId8" Type="http://schemas.openxmlformats.org/officeDocument/2006/relationships/hyperlink" Target="https://www.austlii.edu.au/cgi-bin/viewdoc/au/cases/cth/AICmr/2015/28.html" TargetMode="External"/><Relationship Id="rId98" Type="http://schemas.openxmlformats.org/officeDocument/2006/relationships/hyperlink" Target="https://www.austlii.edu.au/cgi-bin/viewdoc/au/cases/cth/AATA/2010/499.html" TargetMode="External"/><Relationship Id="rId121" Type="http://schemas.openxmlformats.org/officeDocument/2006/relationships/hyperlink" Target="https://www.austlii.edu.au/cgi-bin/viewdoc/au/cases/cth/AICmr/2017/31.html" TargetMode="External"/><Relationship Id="rId142" Type="http://schemas.openxmlformats.org/officeDocument/2006/relationships/hyperlink" Target="https://www.austlii.edu.au/cgi-bin/viewdoc/au/cases/cth/AATA/1984/249.html" TargetMode="External"/><Relationship Id="rId163" Type="http://schemas.openxmlformats.org/officeDocument/2006/relationships/hyperlink" Target="https://www.austlii.edu.au/cgi-bin/viewdoc/au/cases/cth/AICmr/2014/9.html" TargetMode="External"/><Relationship Id="rId184" Type="http://schemas.openxmlformats.org/officeDocument/2006/relationships/hyperlink" Target="https://www.austlii.edu.au/cgi-bin/viewdoc/au/cases/cth/AICmr/2014/9.html" TargetMode="External"/><Relationship Id="rId219" Type="http://schemas.openxmlformats.org/officeDocument/2006/relationships/hyperlink" Target="https://www.austlii.edu.au/cgi-bin/viewdoc/au/cases/wa/WAICmr/1994/5.html" TargetMode="External"/><Relationship Id="rId230" Type="http://schemas.openxmlformats.org/officeDocument/2006/relationships/hyperlink" Target="https://www.austlii.edu.au/cgi-bin/viewdoc/au/cases/cth/FCAFC/2005/142.html" TargetMode="External"/><Relationship Id="rId251" Type="http://schemas.openxmlformats.org/officeDocument/2006/relationships/hyperlink" Target="https://www.austlii.edu.au/cgi-bin/viewdoc/au/cases/cth/AATA/2016/506.html?context=1;query=%22foia1982222%20s47b%22;mask_path=" TargetMode="External"/><Relationship Id="rId25" Type="http://schemas.openxmlformats.org/officeDocument/2006/relationships/hyperlink" Target="https://www.austlii.edu.au/cgi-bin/viewdoc/au/cases/cth/FCA/1987/148.html" TargetMode="External"/><Relationship Id="rId46" Type="http://schemas.openxmlformats.org/officeDocument/2006/relationships/hyperlink" Target="https://www.austlii.edu.au/cgi-bin/viewdoc/au/cases/cth/AATA/1998/585.html" TargetMode="External"/><Relationship Id="rId67" Type="http://schemas.openxmlformats.org/officeDocument/2006/relationships/hyperlink" Target="https://www.austlii.edu.au/cgi-bin/viewdoc/au/cases/cth/AICmr/2012/19.html" TargetMode="External"/><Relationship Id="rId272" Type="http://schemas.openxmlformats.org/officeDocument/2006/relationships/hyperlink" Target="https://www.austlii.edu.au/cgi-bin/viewdoc/au/cases/cth/AICmr/2023/13.html" TargetMode="External"/><Relationship Id="rId88" Type="http://schemas.openxmlformats.org/officeDocument/2006/relationships/hyperlink" Target="https://www.austlii.edu.au/cgi-bin/viewdoc/au/cases/cth/AICmr/2014/66.html" TargetMode="External"/><Relationship Id="rId111" Type="http://schemas.openxmlformats.org/officeDocument/2006/relationships/hyperlink" Target="https://www.austlii.edu.au/cgi-bin/viewdoc/au/cases/cth/AATA/1986/108.html" TargetMode="External"/><Relationship Id="rId132" Type="http://schemas.openxmlformats.org/officeDocument/2006/relationships/hyperlink" Target="https://www.austlii.edu.au/cgi-bin/viewdoc/au/cases/cth/AATA/1996/347.html" TargetMode="External"/><Relationship Id="rId153" Type="http://schemas.openxmlformats.org/officeDocument/2006/relationships/hyperlink" Target="https://www.austlii.edu.au/cgi-bin/viewdoc/au/cases/cth/AICmr/2012/31.html" TargetMode="External"/><Relationship Id="rId174" Type="http://schemas.openxmlformats.org/officeDocument/2006/relationships/hyperlink" Target="https://www.austlii.edu.au/cgi-bin/viewdoc/au/cases/cth/AICmr/2023/38.html" TargetMode="External"/><Relationship Id="rId195" Type="http://schemas.openxmlformats.org/officeDocument/2006/relationships/hyperlink" Target="https://www.austlii.edu.au/cgi-bin/viewdoc/au/cases/cth/AICmr/2023/38.html" TargetMode="External"/><Relationship Id="rId209" Type="http://schemas.openxmlformats.org/officeDocument/2006/relationships/hyperlink" Target="https://www.austlii.edu.au/cgi-bin/viewdoc/au/cases/cth/AICmr/2020/29.html" TargetMode="External"/><Relationship Id="rId220" Type="http://schemas.openxmlformats.org/officeDocument/2006/relationships/hyperlink" Target="https://www.austlii.edu.au/cgi-bin/viewdoc/au/cases/cth/AICmr/2016/7.html" TargetMode="External"/><Relationship Id="rId241" Type="http://schemas.openxmlformats.org/officeDocument/2006/relationships/hyperlink" Target="https://www.austlii.edu.au/cgi-bin/viewdoc/au/cases/cth/AICmr/2015/44.html" TargetMode="External"/><Relationship Id="rId15" Type="http://schemas.openxmlformats.org/officeDocument/2006/relationships/hyperlink" Target="https://www.austlii.edu.au/cgi-bin/viewdoc/au/cases/cth/AATA/2019/3667.html?context=1;query=xenophon;mask_path=" TargetMode="External"/><Relationship Id="rId36" Type="http://schemas.openxmlformats.org/officeDocument/2006/relationships/hyperlink" Target="https://www.austlii.edu.au/cgi-bin/viewdoc/au/cases/cth/AICmr/2020/33.html" TargetMode="External"/><Relationship Id="rId57" Type="http://schemas.openxmlformats.org/officeDocument/2006/relationships/hyperlink" Target="https://www.austlii.edu.au/cgi-bin/viewdoc/au/cases/cth/AATA/1986/437.html" TargetMode="External"/><Relationship Id="rId262" Type="http://schemas.openxmlformats.org/officeDocument/2006/relationships/hyperlink" Target="https://www.austlii.edu.au/cgi-bin/viewdoc/au/cases/cth/AATA/2021/2719.html" TargetMode="External"/><Relationship Id="rId78" Type="http://schemas.openxmlformats.org/officeDocument/2006/relationships/hyperlink" Target="https://www.austlii.edu.au/cgi-bin/viewdoc/au/cases/cth/AATA/1996/210.html" TargetMode="External"/><Relationship Id="rId99" Type="http://schemas.openxmlformats.org/officeDocument/2006/relationships/hyperlink" Target="https://www.austlii.edu.au/cgi-bin/viewdoc/au/cases/cth/AATA/2007/1891.html" TargetMode="External"/><Relationship Id="rId101" Type="http://schemas.openxmlformats.org/officeDocument/2006/relationships/hyperlink" Target="https://www.austlii.edu.au/cgi-bin/viewdoc/au/cases/cth/AICmr/2013/19.html" TargetMode="External"/><Relationship Id="rId122" Type="http://schemas.openxmlformats.org/officeDocument/2006/relationships/hyperlink" Target="https://www.austlii.edu.au/cgi-bin/viewdoc/au/cases/cth/AICmr/2019/41.html" TargetMode="External"/><Relationship Id="rId143" Type="http://schemas.openxmlformats.org/officeDocument/2006/relationships/hyperlink" Target="https://www.austlii.edu.au/cgi-bin/viewdoc/au/cases/cth/AATA/2008/834.html" TargetMode="External"/><Relationship Id="rId164" Type="http://schemas.openxmlformats.org/officeDocument/2006/relationships/hyperlink" Target="https://www.austlii.edu.au/cgi-bin/viewdoc/au/cases/cth/AICmr/2013/64.html" TargetMode="External"/><Relationship Id="rId185" Type="http://schemas.openxmlformats.org/officeDocument/2006/relationships/hyperlink" Target="https://www.austlii.edu.au/cgi-bin/viewdoc/au/cases/cth/AICmr/2014/9.html" TargetMode="External"/><Relationship Id="rId9" Type="http://schemas.openxmlformats.org/officeDocument/2006/relationships/hyperlink" Target="https://www.austlii.edu.au/cgi-bin/viewdoc/au/cases/cth/AATA/2016/506.html?context=1;query=%22foia1982222%20s47b%22;mask_path=" TargetMode="External"/><Relationship Id="rId210" Type="http://schemas.openxmlformats.org/officeDocument/2006/relationships/hyperlink" Target="https://www.austlii.edu.au/cgi-bin/viewdoc/au/cases/cth/AICmr/2022/16.html" TargetMode="External"/><Relationship Id="rId26" Type="http://schemas.openxmlformats.org/officeDocument/2006/relationships/hyperlink" Target="https://www.austlii.edu.au/cgi-bin/viewdoc/au/cases/cth/FCA/1987/148.html" TargetMode="External"/><Relationship Id="rId231" Type="http://schemas.openxmlformats.org/officeDocument/2006/relationships/hyperlink" Target="https://www.austlii.edu.au/cgi-bin/viewdoc/au/cases/cth/HCA/1978/43.html" TargetMode="External"/><Relationship Id="rId252" Type="http://schemas.openxmlformats.org/officeDocument/2006/relationships/hyperlink" Target="https://www.austlii.edu.au/cgi-bin/viewdoc/au/cases/cth/AICmr/2011/11.html" TargetMode="External"/><Relationship Id="rId273" Type="http://schemas.openxmlformats.org/officeDocument/2006/relationships/hyperlink" Target="https://www.austlii.edu.au/cgi-bin/viewdoc/au/cases/cth/AATA/2015/945.html" TargetMode="External"/><Relationship Id="rId47" Type="http://schemas.openxmlformats.org/officeDocument/2006/relationships/hyperlink" Target="https://www.austlii.edu.au/cgi-bin/viewdoc/au/cases/cth/AICmr/2021/57.html" TargetMode="External"/><Relationship Id="rId68" Type="http://schemas.openxmlformats.org/officeDocument/2006/relationships/hyperlink" Target="https://www.austlii.edu.au/cgi-bin/viewdoc/au/cases/cth/AICmr/2012/22.html" TargetMode="External"/><Relationship Id="rId89" Type="http://schemas.openxmlformats.org/officeDocument/2006/relationships/hyperlink" Target="https://www.austlii.edu.au/cgi-bin/viewdoc/au/cases/cth/AICmr/2012/22.html" TargetMode="External"/><Relationship Id="rId112" Type="http://schemas.openxmlformats.org/officeDocument/2006/relationships/hyperlink" Target="https://www.austlii.edu.au/cgi-bin/viewdoc/au/cases/cth/AATA/2006/572.html" TargetMode="External"/><Relationship Id="rId133" Type="http://schemas.openxmlformats.org/officeDocument/2006/relationships/hyperlink" Target="https://www.austlii.edu.au/cgi-bin/viewdoc/au/cases/cth/AATA/1994/149.html" TargetMode="External"/><Relationship Id="rId154" Type="http://schemas.openxmlformats.org/officeDocument/2006/relationships/hyperlink" Target="https://www.austlii.edu.au/cgi-bin/viewdoc/au/cases/cth/AICmr/2012/32.html" TargetMode="External"/><Relationship Id="rId175" Type="http://schemas.openxmlformats.org/officeDocument/2006/relationships/hyperlink" Target="https://www.oaic.gov.au/freedom-of-information/freedom-of-information-guidance-for-government-agencies/guidance-on-handling-a-freedom-of-information-request/handling-personal-or-business-information/disclosure-of-public-servant-details-in-response-to-a-freedom-of-information-request" TargetMode="External"/><Relationship Id="rId196" Type="http://schemas.openxmlformats.org/officeDocument/2006/relationships/hyperlink" Target="https://www.austlii.edu.au/cgi-bin/viewdoc/au/cases/cth/AATA/1984/252.html" TargetMode="External"/><Relationship Id="rId200" Type="http://schemas.openxmlformats.org/officeDocument/2006/relationships/hyperlink" Target="https://www.austlii.edu.au/cgi-bin/viewdoc/au/cases/cth/FCA/2001/1375.html" TargetMode="External"/><Relationship Id="rId16" Type="http://schemas.openxmlformats.org/officeDocument/2006/relationships/hyperlink" Target="https://www.austlii.edu.au/cgi-bin/viewdoc/au/cases/cth/AATA/2009/28.html" TargetMode="External"/><Relationship Id="rId221" Type="http://schemas.openxmlformats.org/officeDocument/2006/relationships/hyperlink" Target="https://www.austlii.edu.au/cgi-bin/viewdoc/au/cases/cth/AICmr/2014/131.html" TargetMode="External"/><Relationship Id="rId242" Type="http://schemas.openxmlformats.org/officeDocument/2006/relationships/hyperlink" Target="https://www.austlii.edu.au/cgi-bin/viewdoc/au/cases/cth/AICmr/2016/2.html" TargetMode="External"/><Relationship Id="rId263" Type="http://schemas.openxmlformats.org/officeDocument/2006/relationships/hyperlink" Target="https://www.austlii.edu.au/cgi-bin/viewdoc/au/cases/cth/AATA/2015/462.html" TargetMode="External"/><Relationship Id="rId37" Type="http://schemas.openxmlformats.org/officeDocument/2006/relationships/hyperlink" Target="https://www.austlii.edu.au/cgi-bin/viewdoc/au/cases/cth/AATA/2014/707.html" TargetMode="External"/><Relationship Id="rId58" Type="http://schemas.openxmlformats.org/officeDocument/2006/relationships/hyperlink" Target="https://www.austlii.edu.au/cgi-bin/viewdoc/au/cases/cth/AATA/2002/473.html" TargetMode="External"/><Relationship Id="rId79" Type="http://schemas.openxmlformats.org/officeDocument/2006/relationships/hyperlink" Target="https://www.austlii.edu.au/cgi-bin/viewdoc/au/cases/cth/AICmr/2014/71.html" TargetMode="External"/><Relationship Id="rId102" Type="http://schemas.openxmlformats.org/officeDocument/2006/relationships/hyperlink" Target="https://www.austlii.edu.au/cgi-bin/viewdoc/au/cases/cth/AATA/2010/499.html" TargetMode="External"/><Relationship Id="rId123" Type="http://schemas.openxmlformats.org/officeDocument/2006/relationships/hyperlink" Target="https://www.austlii.edu.au/cgi-bin/viewdoc/au/cases/cth/AICmr/2020/1.html" TargetMode="External"/><Relationship Id="rId144" Type="http://schemas.openxmlformats.org/officeDocument/2006/relationships/hyperlink" Target="https://www.austlii.edu.au/cgi-bin/viewdoc/au/cases/cth/AATA/1984/448.html" TargetMode="External"/><Relationship Id="rId90" Type="http://schemas.openxmlformats.org/officeDocument/2006/relationships/hyperlink" Target="https://www.austlii.edu.au/cgi-bin/viewdoc/au/cases/cth/AATA/1994/167.html" TargetMode="External"/><Relationship Id="rId165" Type="http://schemas.openxmlformats.org/officeDocument/2006/relationships/hyperlink" Target="https://www.austlii.edu.au/cgi-bin/viewdoc/au/cases/cth/AICmr/2020/31.html" TargetMode="External"/><Relationship Id="rId186" Type="http://schemas.openxmlformats.org/officeDocument/2006/relationships/hyperlink" Target="https://www.austlii.edu.au/cgi-bin/viewdoc/au/cases/cth/AATA/2015/995.html" TargetMode="External"/><Relationship Id="rId211" Type="http://schemas.openxmlformats.org/officeDocument/2006/relationships/hyperlink" Target="https://www.austlii.edu.au/cgi-bin/viewdoc/au/cases/cth/AATA/2005/898.html" TargetMode="External"/><Relationship Id="rId232" Type="http://schemas.openxmlformats.org/officeDocument/2006/relationships/hyperlink" Target="https://www.austlii.edu.au/cgi-bin/viewdoc/au/cases/cth/HCA/1975/17.html" TargetMode="External"/><Relationship Id="rId253" Type="http://schemas.openxmlformats.org/officeDocument/2006/relationships/hyperlink" Target="https://www.austlii.edu.au/cgi-bin/viewdoc/au/cases/cth/AICmr/2023/37.html" TargetMode="External"/><Relationship Id="rId274" Type="http://schemas.openxmlformats.org/officeDocument/2006/relationships/hyperlink" Target="https://www.austlii.edu.au/cgi-bin/viewdoc/au/cases/cth/AICmr/2013/69.html" TargetMode="External"/><Relationship Id="rId27" Type="http://schemas.openxmlformats.org/officeDocument/2006/relationships/hyperlink" Target="https://www.austlii.edu.au/cgi-bin/viewdoc/au/cases/cth/AICmr/2021/57.html" TargetMode="External"/><Relationship Id="rId48" Type="http://schemas.openxmlformats.org/officeDocument/2006/relationships/hyperlink" Target="https://www.austlii.edu.au/cgi-bin/viewdoc/au/cases/cth/AICmr/2021/57.html" TargetMode="External"/><Relationship Id="rId69" Type="http://schemas.openxmlformats.org/officeDocument/2006/relationships/hyperlink" Target="https://www.austlii.edu.au/cgi-bin/viewdoc/au/cases/cth/FCA/2001/1375.html" TargetMode="External"/><Relationship Id="rId113" Type="http://schemas.openxmlformats.org/officeDocument/2006/relationships/hyperlink" Target="https://www.austlii.edu.au/cgi-bin/viewdoc/au/cases/cth/AATA/1995/389.html" TargetMode="External"/><Relationship Id="rId134" Type="http://schemas.openxmlformats.org/officeDocument/2006/relationships/hyperlink" Target="https://www.austlii.edu.au/cgi-bin/viewdoc/au/cases/cth/AATA/2000/71.html" TargetMode="External"/><Relationship Id="rId80" Type="http://schemas.openxmlformats.org/officeDocument/2006/relationships/hyperlink" Target="https://www.austlii.edu.au/cgi-bin/viewdoc/au/cases/cth/FCA/1983/242.html" TargetMode="External"/><Relationship Id="rId155" Type="http://schemas.openxmlformats.org/officeDocument/2006/relationships/hyperlink" Target="https://www.austlii.edu.au/cgi-bin/viewdoc/au/cases/cth/AATA/1984/437.html" TargetMode="External"/><Relationship Id="rId176" Type="http://schemas.openxmlformats.org/officeDocument/2006/relationships/hyperlink" Target="https://www.austlii.edu.au/cgi-bin/viewdoc/au/cases/cth/AATA/2020/4557.html" TargetMode="External"/><Relationship Id="rId197" Type="http://schemas.openxmlformats.org/officeDocument/2006/relationships/hyperlink" Target="https://www.austlii.edu.au/cgi-bin/viewdoc/au/cases/cth/AICmr/2019/3.html" TargetMode="External"/><Relationship Id="rId201" Type="http://schemas.openxmlformats.org/officeDocument/2006/relationships/hyperlink" Target="https://www.austlii.edu.au/cgi-bin/viewdoc/au/cases/cth/AATA/1985/69.html" TargetMode="External"/><Relationship Id="rId222" Type="http://schemas.openxmlformats.org/officeDocument/2006/relationships/hyperlink" Target="https://www.austlii.edu.au/cgi-bin/viewdoc/au/cases/cth/AICmr/2018/67.html" TargetMode="External"/><Relationship Id="rId243" Type="http://schemas.openxmlformats.org/officeDocument/2006/relationships/hyperlink" Target="https://www.austlii.edu.au/cgi-bin/viewdoc/au/cases/cth/AATA/2021/3984.html" TargetMode="External"/><Relationship Id="rId264" Type="http://schemas.openxmlformats.org/officeDocument/2006/relationships/hyperlink" Target="https://www.austlii.edu.au/cgi-bin/viewdoc/au/cases/cth/AICmr/2015/51.html" TargetMode="External"/><Relationship Id="rId17" Type="http://schemas.openxmlformats.org/officeDocument/2006/relationships/hyperlink" Target="https://www.austlii.edu.au/cgi-bin/viewdoc/au/cases/cth/FCA/1984/400.html" TargetMode="External"/><Relationship Id="rId38" Type="http://schemas.openxmlformats.org/officeDocument/2006/relationships/hyperlink" Target="https://www.austlii.edu.au/cgi-bin/viewdoc/au/cases/cth/AATA/2014/707.html" TargetMode="External"/><Relationship Id="rId59" Type="http://schemas.openxmlformats.org/officeDocument/2006/relationships/hyperlink" Target="https://www.austlii.edu.au/cgi-bin/viewdoc/au/cases/cth/AATA/1996/210.html" TargetMode="External"/><Relationship Id="rId103" Type="http://schemas.openxmlformats.org/officeDocument/2006/relationships/hyperlink" Target="https://www.austlii.edu.au/cgi-bin/viewdoc/au/cases/cth/AATA/1984/501.html" TargetMode="External"/><Relationship Id="rId124" Type="http://schemas.openxmlformats.org/officeDocument/2006/relationships/hyperlink" Target="https://www.austlii.edu.au/cgi-bin/viewdoc/au/cases/cth/AICmr/2016/2.html" TargetMode="External"/><Relationship Id="rId70" Type="http://schemas.openxmlformats.org/officeDocument/2006/relationships/hyperlink" Target="https://www.austlii.edu.au/cgi-bin/viewdoc/au/cases/cth/AATA/1993/97.html?context=1;query=susic;mask_path=au/cases/cth/AATA" TargetMode="External"/><Relationship Id="rId91" Type="http://schemas.openxmlformats.org/officeDocument/2006/relationships/hyperlink" Target="https://www.austlii.edu.au/cgi-bin/viewdoc/au/cases/cth/FCA/1983/242.html" TargetMode="External"/><Relationship Id="rId145" Type="http://schemas.openxmlformats.org/officeDocument/2006/relationships/hyperlink" Target="https://www.austlii.edu.au/cgi-bin/viewdoc/au/cases/cth/AICmr/2014/144.html" TargetMode="External"/><Relationship Id="rId166" Type="http://schemas.openxmlformats.org/officeDocument/2006/relationships/hyperlink" Target="https://www.austlii.edu.au/cgi-bin/viewdoc/au/cases/cth/AICmr/2013/43.html" TargetMode="External"/><Relationship Id="rId187" Type="http://schemas.openxmlformats.org/officeDocument/2006/relationships/hyperlink" Target="https://www.austlii.edu.au/cgi-bin/viewdoc/au/cases/cth/FCAFC/2016/119.html" TargetMode="External"/><Relationship Id="rId1" Type="http://schemas.openxmlformats.org/officeDocument/2006/relationships/hyperlink" Target="https://www.austlii.edu.au/cgi-bin/viewdoc/au/cases/cth/AATA/2015/494.html" TargetMode="External"/><Relationship Id="rId212" Type="http://schemas.openxmlformats.org/officeDocument/2006/relationships/hyperlink" Target="https://www.austlii.edu.au/cgi-bin/viewdoc/au/cases/cth/AICmr/2015/46.html" TargetMode="External"/><Relationship Id="rId233" Type="http://schemas.openxmlformats.org/officeDocument/2006/relationships/hyperlink" Target="https://www.austlii.edu.au/cgi-bin/viewdoc/au/cases/cth/AICmr/2021/57.html" TargetMode="External"/><Relationship Id="rId254" Type="http://schemas.openxmlformats.org/officeDocument/2006/relationships/hyperlink" Target="https://www.austlii.edu.au/cgi-bin/viewdoc/au/cases/cth/AICmr/2012/11.html" TargetMode="External"/><Relationship Id="rId28" Type="http://schemas.openxmlformats.org/officeDocument/2006/relationships/hyperlink" Target="https://www.austlii.edu.au/cgi-bin/viewdoc/au/cases/cth/AATA/1998/124.html" TargetMode="External"/><Relationship Id="rId49" Type="http://schemas.openxmlformats.org/officeDocument/2006/relationships/hyperlink" Target="https://www.austlii.edu.au/cgi-bin/viewdoc/au/cases/cth/AATA/2014/707.html?context=1;query=%22foia1982222%20s47b%22;mask_path=" TargetMode="External"/><Relationship Id="rId114" Type="http://schemas.openxmlformats.org/officeDocument/2006/relationships/hyperlink" Target="https://www.austlii.edu.au/cgi-bin/viewdoc/au/cases/cth/AATA/1987/140.html" TargetMode="External"/><Relationship Id="rId275" Type="http://schemas.openxmlformats.org/officeDocument/2006/relationships/hyperlink" Target="https://www.austlii.edu.au/cgi-bin/viewdoc/au/cases/cth/AICmr/2014/71.html" TargetMode="External"/><Relationship Id="rId60" Type="http://schemas.openxmlformats.org/officeDocument/2006/relationships/hyperlink" Target="https://www.austlii.edu.au/cgi-bin/viewdoc/au/cases/cth/AATA/2015/361.html" TargetMode="External"/><Relationship Id="rId81" Type="http://schemas.openxmlformats.org/officeDocument/2006/relationships/hyperlink" Target="https://www.austlii.edu.au/cgi-bin/viewdoc/au/cases/cth/AATA/1984/537.html" TargetMode="External"/><Relationship Id="rId135" Type="http://schemas.openxmlformats.org/officeDocument/2006/relationships/hyperlink" Target="https://www.austlii.edu.au/cgi-bin/viewdoc/au/cases/cth/AATA/2002/449.html" TargetMode="External"/><Relationship Id="rId156" Type="http://schemas.openxmlformats.org/officeDocument/2006/relationships/hyperlink" Target="https://www.austlii.edu.au/cgi-bin/viewdoc/au/cases/cth/AATA/2008/834.html" TargetMode="External"/><Relationship Id="rId177" Type="http://schemas.openxmlformats.org/officeDocument/2006/relationships/hyperlink" Target="https://www.austlii.edu.au/cgi-bin/viewdoc/au/cases/cth/AICmr/2021/67.html" TargetMode="External"/><Relationship Id="rId198" Type="http://schemas.openxmlformats.org/officeDocument/2006/relationships/hyperlink" Target="http://www.oaic.gov.au" TargetMode="External"/><Relationship Id="rId202" Type="http://schemas.openxmlformats.org/officeDocument/2006/relationships/hyperlink" Target="https://www.austlii.edu.au/cgi-bin/viewdoc/au/cases/cth/AATA/2015/494.html" TargetMode="External"/><Relationship Id="rId223" Type="http://schemas.openxmlformats.org/officeDocument/2006/relationships/hyperlink" Target="https://www.austlii.edu.au/cgi-bin/viewdoc/au/cases/cth/AICmr/2023/14.html" TargetMode="External"/><Relationship Id="rId244" Type="http://schemas.openxmlformats.org/officeDocument/2006/relationships/hyperlink" Target="https://www.austlii.edu.au/cgi-bin/viewdoc/au/cases/cth/AATA/2022/1451.html" TargetMode="External"/><Relationship Id="rId18" Type="http://schemas.openxmlformats.org/officeDocument/2006/relationships/hyperlink" Target="https://www.austlii.edu.au/cgi-bin/viewdoc/au/cases/cth/AATA/1985/180.html" TargetMode="External"/><Relationship Id="rId39" Type="http://schemas.openxmlformats.org/officeDocument/2006/relationships/hyperlink" Target="https://www.austlii.edu.au/cgi-bin/viewdoc/au/cases/cth/AATA/2021/2719.html" TargetMode="External"/><Relationship Id="rId265" Type="http://schemas.openxmlformats.org/officeDocument/2006/relationships/hyperlink" Target="https://www.austlii.edu.au/cgi-bin/viewdoc/au/cases/cth/AATA/2015/945.html" TargetMode="External"/><Relationship Id="rId50" Type="http://schemas.openxmlformats.org/officeDocument/2006/relationships/hyperlink" Target="https://www.austlii.edu.au/cgi-bin/viewdoc/au/cases/cth/HCA/1964/69.html" TargetMode="External"/><Relationship Id="rId104" Type="http://schemas.openxmlformats.org/officeDocument/2006/relationships/hyperlink" Target="https://www.austlii.edu.au/cgi-bin/viewdoc/au/cases/cth/AATA/2009/320.html" TargetMode="External"/><Relationship Id="rId125" Type="http://schemas.openxmlformats.org/officeDocument/2006/relationships/hyperlink" Target="https://www.austlii.edu.au/cgi-bin/viewdoc/au/cases/cth/AICmr/2023/1.html" TargetMode="External"/><Relationship Id="rId146" Type="http://schemas.openxmlformats.org/officeDocument/2006/relationships/hyperlink" Target="https://www.austlii.edu.au/cgi-bin/viewdoc/au/cases/cth/AICmr/2016/18.html" TargetMode="External"/><Relationship Id="rId167" Type="http://schemas.openxmlformats.org/officeDocument/2006/relationships/hyperlink" Target="https://www.austlii.edu.au/cgi-bin/viewdoc/au/cases/cth/AICmr/2015/26.html" TargetMode="External"/><Relationship Id="rId188" Type="http://schemas.openxmlformats.org/officeDocument/2006/relationships/hyperlink" Target="https://www.austlii.edu.au/cgi-bin/viewdoc/au/cases/cth/AICmr/2014/146.html" TargetMode="External"/><Relationship Id="rId71" Type="http://schemas.openxmlformats.org/officeDocument/2006/relationships/hyperlink" Target="https://www.austlii.edu.au/cgi-bin/viewdoc/au/cases/cth/AATA/1990/218.html?context=1;query=booker;mask_path=au/cases/cth/AATA" TargetMode="External"/><Relationship Id="rId92" Type="http://schemas.openxmlformats.org/officeDocument/2006/relationships/hyperlink" Target="https://www.austlii.edu.au/cgi-bin/viewdoc/au/cases/cth/FCA/2001/1375.html" TargetMode="External"/><Relationship Id="rId213" Type="http://schemas.openxmlformats.org/officeDocument/2006/relationships/hyperlink" Target="https://www.austlii.edu.au/cgi-bin/viewdoc/au/cases/act/ACTAAT/2005/14.html" TargetMode="External"/><Relationship Id="rId234" Type="http://schemas.openxmlformats.org/officeDocument/2006/relationships/hyperlink" Target="https://www.austlii.edu.au/cgi-bin/viewdoc/au/cases/cth/AICmr/2011/5.html" TargetMode="External"/><Relationship Id="rId2" Type="http://schemas.openxmlformats.org/officeDocument/2006/relationships/hyperlink" Target="https://www.austlii.edu.au/cgi-bin/viewdoc/au/cases/cth/AATA/2015/494.html" TargetMode="External"/><Relationship Id="rId29" Type="http://schemas.openxmlformats.org/officeDocument/2006/relationships/hyperlink" Target="https://www.austlii.edu.au/cgi-bin/viewdoc/au/cases/cth/FCA/1987/148.html" TargetMode="External"/><Relationship Id="rId255" Type="http://schemas.openxmlformats.org/officeDocument/2006/relationships/hyperlink" Target="http://www.austlii.edu.au/au/cases/cth/AICmr/2015/26.html" TargetMode="External"/><Relationship Id="rId276" Type="http://schemas.openxmlformats.org/officeDocument/2006/relationships/hyperlink" Target="https://www.austlii.edu.au/cgi-bin/viewdoc/au/cases/cth/AICmr/2013/69.html" TargetMode="External"/><Relationship Id="rId40" Type="http://schemas.openxmlformats.org/officeDocument/2006/relationships/hyperlink" Target="https://www.austlii.edu.au/cgi-bin/viewdoc/au/cases/cth/AATA/1985/144.html" TargetMode="External"/><Relationship Id="rId115" Type="http://schemas.openxmlformats.org/officeDocument/2006/relationships/hyperlink" Target="https://www.austlii.edu.au/cgi-bin/viewdoc/au/cases/cth/AATA/1987/140.html" TargetMode="External"/><Relationship Id="rId136" Type="http://schemas.openxmlformats.org/officeDocument/2006/relationships/hyperlink" Target="https://www.austlii.edu.au/cgi-bin/viewdoc/au/cases/cth/AATA/2018/1273.html" TargetMode="External"/><Relationship Id="rId157" Type="http://schemas.openxmlformats.org/officeDocument/2006/relationships/hyperlink" Target="https://www.austlii.edu.au/cgi-bin/viewdoc/au/cases/cth/AICmr/2012/30.html" TargetMode="External"/><Relationship Id="rId178" Type="http://schemas.openxmlformats.org/officeDocument/2006/relationships/hyperlink" Target="https://www.austlii.edu.au/cgi-bin/viewdoc/au/cases/cth/AICmr/2021/69.html" TargetMode="External"/><Relationship Id="rId61" Type="http://schemas.openxmlformats.org/officeDocument/2006/relationships/hyperlink" Target="https://www.austlii.edu.au/cgi-bin/viewdoc/au/cases/cth/AATA/2015/962.html" TargetMode="External"/><Relationship Id="rId82" Type="http://schemas.openxmlformats.org/officeDocument/2006/relationships/hyperlink" Target="https://www.austlii.edu.au/cgi-bin/viewdoc/au/cases/cth/FCA/1983/242.html" TargetMode="External"/><Relationship Id="rId199" Type="http://schemas.openxmlformats.org/officeDocument/2006/relationships/hyperlink" Target="https://www.austlii.edu.au/cgi-bin/viewdoc/au/cases/cth/FCA/1983/242.html" TargetMode="External"/><Relationship Id="rId203" Type="http://schemas.openxmlformats.org/officeDocument/2006/relationships/hyperlink" Target="https://www.austlii.edu.au/cgi-bin/viewdoc/au/cases/cth/FCA/1992/241.html" TargetMode="External"/><Relationship Id="rId19" Type="http://schemas.openxmlformats.org/officeDocument/2006/relationships/hyperlink" Target="https://www.austlii.edu.au/cgi-bin/LawCite?cit=%281985%29%207%20ALD%20731" TargetMode="External"/><Relationship Id="rId224" Type="http://schemas.openxmlformats.org/officeDocument/2006/relationships/hyperlink" Target="https://www.austlii.edu.au/cgi-bin/viewdoc/au/cases/cth/AICmr/2015/21.html" TargetMode="External"/><Relationship Id="rId245" Type="http://schemas.openxmlformats.org/officeDocument/2006/relationships/hyperlink" Target="https://www.austlii.edu.au/cgi-bin/viewdoc/au/cases/cth/AICmr/2019/33.html" TargetMode="External"/><Relationship Id="rId266" Type="http://schemas.openxmlformats.org/officeDocument/2006/relationships/hyperlink" Target="https://www.austlii.edu.au/cgi-bin/viewdoc/au/cases/cth/AATA/2015/962.html" TargetMode="External"/><Relationship Id="rId30" Type="http://schemas.openxmlformats.org/officeDocument/2006/relationships/hyperlink" Target="https://www.austlii.edu.au/cgi-bin/viewdoc/au/cases/cth/AATA/2004/119.html" TargetMode="External"/><Relationship Id="rId105" Type="http://schemas.openxmlformats.org/officeDocument/2006/relationships/hyperlink" Target="https://www.austlii.edu.au/cgi-bin/viewdoc/au/cases/cth/AATA/1986/108.html" TargetMode="External"/><Relationship Id="rId126" Type="http://schemas.openxmlformats.org/officeDocument/2006/relationships/hyperlink" Target="https://www.austlii.edu.au/cgi-bin/viewdoc/au/cases/cth/AICmr/2023/37.html" TargetMode="External"/><Relationship Id="rId147" Type="http://schemas.openxmlformats.org/officeDocument/2006/relationships/hyperlink" Target="https://www.austlii.edu.au/cgi-bin/viewdoc/au/cases/cth/AICmr/2016/19.html" TargetMode="External"/><Relationship Id="rId168" Type="http://schemas.openxmlformats.org/officeDocument/2006/relationships/hyperlink" Target="https://www.austlii.edu.au/cgi-bin/viewdoc/au/cases/cth/AICmr/2015/26.html" TargetMode="External"/><Relationship Id="rId51" Type="http://schemas.openxmlformats.org/officeDocument/2006/relationships/hyperlink" Target="https://www.austlii.edu.au/cgi-bin/viewdoc/au/cases/cth/HCA/1980/23.html" TargetMode="External"/><Relationship Id="rId72" Type="http://schemas.openxmlformats.org/officeDocument/2006/relationships/hyperlink" Target="https://www.austlii.edu.au/cgi-bin/viewdoc/au/cases/cth/AATA/1998/585.html" TargetMode="External"/><Relationship Id="rId93" Type="http://schemas.openxmlformats.org/officeDocument/2006/relationships/hyperlink" Target="https://www.austlii.edu.au/cgi-bin/viewdoc/au/cases/cth/AICmr/2019/75.html" TargetMode="External"/><Relationship Id="rId189" Type="http://schemas.openxmlformats.org/officeDocument/2006/relationships/hyperlink" Target="https://www.austlii.edu.au/cgi-bin/viewdoc/au/cases/cth/AICmr/2021/31.html" TargetMode="External"/><Relationship Id="rId3" Type="http://schemas.openxmlformats.org/officeDocument/2006/relationships/hyperlink" Target="https://www.austlii.edu.au/cgi-bin/viewdoc/au/cases/cth/AICmr/2015/67.html" TargetMode="External"/><Relationship Id="rId214" Type="http://schemas.openxmlformats.org/officeDocument/2006/relationships/hyperlink" Target="https://www.austlii.edu.au/cgi-bin/viewdoc/au/cases/cth/AICmr/2015/56.html" TargetMode="External"/><Relationship Id="rId235" Type="http://schemas.openxmlformats.org/officeDocument/2006/relationships/hyperlink" Target="http://www.austlii.edu.au/au/cases/cth/AICmr/2015/26.html" TargetMode="External"/><Relationship Id="rId256" Type="http://schemas.openxmlformats.org/officeDocument/2006/relationships/hyperlink" Target="https://www.austlii.edu.au/cgi-bin/viewdoc/au/cases/cth/AICmr/2023/37.html" TargetMode="External"/><Relationship Id="rId277" Type="http://schemas.openxmlformats.org/officeDocument/2006/relationships/hyperlink" Target="https://www.austlii.edu.au/cgi-bin/viewdoc/au/cases/cth/AICmr/2013/69.html" TargetMode="External"/><Relationship Id="rId116" Type="http://schemas.openxmlformats.org/officeDocument/2006/relationships/hyperlink" Target="https://www.austlii.edu.au/cgi-bin/viewdoc/au/cases/cth/FCA/1983/242.html" TargetMode="External"/><Relationship Id="rId137" Type="http://schemas.openxmlformats.org/officeDocument/2006/relationships/hyperlink" Target="https://www.austlii.edu.au/cgi-bin/viewdoc/au/cases/cth/AICmr/2012/11.html" TargetMode="External"/><Relationship Id="rId158" Type="http://schemas.openxmlformats.org/officeDocument/2006/relationships/hyperlink" Target="https://www.aph.gov.au/parliamentary_business/committees/senate/community_affairs/completed_inquiries/2008-10/recs_lost_innocents_forgotten_aust_rpts/report/index" TargetMode="External"/><Relationship Id="rId20" Type="http://schemas.openxmlformats.org/officeDocument/2006/relationships/hyperlink" Target="https://www.austlii.edu.au/cgi-bin/viewdoc/au/cases/cth/AATA/2013/623.html" TargetMode="External"/><Relationship Id="rId41" Type="http://schemas.openxmlformats.org/officeDocument/2006/relationships/hyperlink" Target="https://www.austlii.edu.au/cgi-bin/viewdoc/au/cases/cth/AATA/2016/506.html?context=1;query=%22foia1982222%20s47b%22;mask_path=" TargetMode="External"/><Relationship Id="rId62" Type="http://schemas.openxmlformats.org/officeDocument/2006/relationships/hyperlink" Target="https://www.austlii.edu.au/cgi-bin/viewdoc/au/cases/cth/AATA/2015/945.html" TargetMode="External"/><Relationship Id="rId83" Type="http://schemas.openxmlformats.org/officeDocument/2006/relationships/hyperlink" Target="https://www.austlii.edu.au/cgi-bin/viewdoc/au/cases/cth/AATA/1985/114.html" TargetMode="External"/><Relationship Id="rId179" Type="http://schemas.openxmlformats.org/officeDocument/2006/relationships/hyperlink" Target="https://www.austlii.edu.au/cgi-bin/viewdoc/au/cases/cth/AICmr/2021/72.html" TargetMode="External"/><Relationship Id="rId190" Type="http://schemas.openxmlformats.org/officeDocument/2006/relationships/hyperlink" Target="https://www.austlii.edu.au/cgi-bin/viewdoc/au/cases/cth/AICmr/2023/56.html" TargetMode="External"/><Relationship Id="rId204" Type="http://schemas.openxmlformats.org/officeDocument/2006/relationships/hyperlink" Target="https://www.austlii.edu.au/cgi-bin/viewdoc/au/cases/cth/AICmr/2012/3.html" TargetMode="External"/><Relationship Id="rId225" Type="http://schemas.openxmlformats.org/officeDocument/2006/relationships/hyperlink" Target="https://www.austlii.edu.au/cgi-bin/viewdoc/au/cases/cth/AICmr/2011/11.html" TargetMode="External"/><Relationship Id="rId246" Type="http://schemas.openxmlformats.org/officeDocument/2006/relationships/hyperlink" Target="https://www.austlii.edu.au/cgi-bin/viewdoc/au/cases/cth/AICmr/2019/8.html" TargetMode="External"/><Relationship Id="rId267" Type="http://schemas.openxmlformats.org/officeDocument/2006/relationships/hyperlink" Target="https://www.austlii.edu.au/cgi-bin/viewdoc/au/cases/cth/AICmr/2015/51.html" TargetMode="External"/><Relationship Id="rId106" Type="http://schemas.openxmlformats.org/officeDocument/2006/relationships/hyperlink" Target="https://www.austlii.edu.au/cgi-bin/viewdoc/au/cases/cth/AATA/2006/572.html" TargetMode="External"/><Relationship Id="rId127" Type="http://schemas.openxmlformats.org/officeDocument/2006/relationships/hyperlink" Target="http://www7.austlii.edu.au/cgi-bin/viewdoc/au/cases/cth/AICmr/2019/47.html" TargetMode="External"/><Relationship Id="rId10" Type="http://schemas.openxmlformats.org/officeDocument/2006/relationships/hyperlink" Target="http://www8.austlii.edu.au/cgi-bin/viewdoc/au/cases/cth/AICmr/2017/117.html" TargetMode="External"/><Relationship Id="rId31" Type="http://schemas.openxmlformats.org/officeDocument/2006/relationships/hyperlink" Target="https://www.austlii.edu.au/cgi-bin/viewdoc/au/cases/cth/AATA/1985/314.html" TargetMode="External"/><Relationship Id="rId52" Type="http://schemas.openxmlformats.org/officeDocument/2006/relationships/hyperlink" Target="https://www.austlii.edu.au/cgi-bin/viewdoc/au/cases/cth/AATA/1984/67.html" TargetMode="External"/><Relationship Id="rId73" Type="http://schemas.openxmlformats.org/officeDocument/2006/relationships/hyperlink" Target="https://www.austlii.edu.au/cgi-bin/viewdoc/au/cases/cth/AATA/1990/218.html?context=1;query=booker;mask_path=au/cases/cth/AATA" TargetMode="External"/><Relationship Id="rId94" Type="http://schemas.openxmlformats.org/officeDocument/2006/relationships/hyperlink" Target="https://www.austlii.edu.au/cgi-bin/viewdoc/au/cases/cth/AICmr/2014/105.html" TargetMode="External"/><Relationship Id="rId148" Type="http://schemas.openxmlformats.org/officeDocument/2006/relationships/hyperlink" Target="https://www.austlii.edu.au/cgi-bin/viewdoc/au/cases/cth/AICmr/2016/20.html" TargetMode="External"/><Relationship Id="rId169" Type="http://schemas.openxmlformats.org/officeDocument/2006/relationships/hyperlink" Target="https://www.austlii.edu.au/cgi-bin/viewdoc/au/cases/cth/AICmr/2015/26.html" TargetMode="External"/><Relationship Id="rId4" Type="http://schemas.openxmlformats.org/officeDocument/2006/relationships/hyperlink" Target="https://www.austlii.edu.au/cgi-bin/viewdoc/au/cases/cth/AICmr/2020/47.html" TargetMode="External"/><Relationship Id="rId180" Type="http://schemas.openxmlformats.org/officeDocument/2006/relationships/hyperlink" Target="https://www.austlii.edu.au/cgi-bin/viewdoc/au/cases/cth/AICmr/2022/34.html" TargetMode="External"/><Relationship Id="rId215" Type="http://schemas.openxmlformats.org/officeDocument/2006/relationships/hyperlink" Target="https://www.austlii.edu.au/cgi-bin/viewdoc/au/cases/cth/AATA/1985/314.html" TargetMode="External"/><Relationship Id="rId236" Type="http://schemas.openxmlformats.org/officeDocument/2006/relationships/hyperlink" Target="https://www.austlii.edu.au/cgi-bin/viewdoc/au/cases/cth/AICmr/2015/67.html" TargetMode="External"/><Relationship Id="rId257" Type="http://schemas.openxmlformats.org/officeDocument/2006/relationships/hyperlink" Target="https://www.austlii.edu.au/cgi-bin/viewdoc/au/cases/cth/AATA/2015/462.html?context=1;query=%22foia1982222%20s47j%22;mask_path=" TargetMode="External"/><Relationship Id="rId278" Type="http://schemas.openxmlformats.org/officeDocument/2006/relationships/hyperlink" Target="https://www.austlii.edu.au/cgi-bin/viewdoc/au/cases/cth/AICmr/2013/69.html" TargetMode="External"/><Relationship Id="rId42" Type="http://schemas.openxmlformats.org/officeDocument/2006/relationships/hyperlink" Target="https://www.austlii.edu.au/cgi-bin/viewdoc/au/cases/cth/AATA/1985/180.html" TargetMode="External"/><Relationship Id="rId84" Type="http://schemas.openxmlformats.org/officeDocument/2006/relationships/hyperlink" Target="https://www.austlii.edu.au/cgi-bin/viewdoc/au/cases/cth/AICmr/2013/70.html" TargetMode="External"/><Relationship Id="rId138" Type="http://schemas.openxmlformats.org/officeDocument/2006/relationships/hyperlink" Target="https://www.austlii.edu.au/cgi-bin/viewdoc/au/cases/cth/AICmr/2012/19.html" TargetMode="External"/><Relationship Id="rId191" Type="http://schemas.openxmlformats.org/officeDocument/2006/relationships/hyperlink" Target="https://www.austlii.edu.au/cgi-bin/viewdoc/au/cases/cth/AICmr/2023/59.html" TargetMode="External"/><Relationship Id="rId205" Type="http://schemas.openxmlformats.org/officeDocument/2006/relationships/hyperlink" Target="https://www.austlii.edu.au/cgi-bin/viewdoc/au/cases/cth/AATA/2015/494.html" TargetMode="External"/><Relationship Id="rId247" Type="http://schemas.openxmlformats.org/officeDocument/2006/relationships/hyperlink" Target="https://www.austlii.edu.au/cgi-bin/viewdoc/au/cases/cth/AATA/2023/458.html" TargetMode="External"/><Relationship Id="rId107" Type="http://schemas.openxmlformats.org/officeDocument/2006/relationships/hyperlink" Target="https://www.austlii.edu.au/cgi-bin/viewdoc/au/cases/cth/AATA/1986/108.html" TargetMode="External"/><Relationship Id="rId11" Type="http://schemas.openxmlformats.org/officeDocument/2006/relationships/hyperlink" Target="http://www8.austlii.edu.au/cgi-bin/viewdoc/au/cases/cth/AICmr/2022/27.html" TargetMode="External"/><Relationship Id="rId53" Type="http://schemas.openxmlformats.org/officeDocument/2006/relationships/hyperlink" Target="https://www.austlii.edu.au/cgi-bin/viewdoc/au/cases/cth/AICmr/2012/19.html" TargetMode="External"/><Relationship Id="rId149" Type="http://schemas.openxmlformats.org/officeDocument/2006/relationships/hyperlink" Target="https://www.austlii.edu.au/cgi-bin/viewdoc/au/cases/cth/FCAFC/2017/4.html" TargetMode="External"/><Relationship Id="rId95" Type="http://schemas.openxmlformats.org/officeDocument/2006/relationships/hyperlink" Target="https://www.austlii.edu.au/cgi-bin/viewdoc/au/cases/cth/AATA/2002/1190.html" TargetMode="External"/><Relationship Id="rId160" Type="http://schemas.openxmlformats.org/officeDocument/2006/relationships/hyperlink" Target="https://www.austlii.edu.au/cgi-bin/viewdoc/au/cases/cth/AICmr/2015/26.html" TargetMode="External"/><Relationship Id="rId216" Type="http://schemas.openxmlformats.org/officeDocument/2006/relationships/hyperlink" Target="https://www.austlii.edu.au/cgi-bin/viewdoc/au/cases/cth/AATA/1986/1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4250EA-81C6-410E-9791-D9ADB383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18502</Words>
  <Characters>105465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Chapter 13: Australian Privacy Principle 13 — Correction of personal information</vt:lpstr>
    </vt:vector>
  </TitlesOfParts>
  <Company>OAIC</Company>
  <LinksUpToDate>false</LinksUpToDate>
  <CharactersWithSpaces>123720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Australian Privacy Principle 13 — Correction of personal information</dc:title>
  <dc:subject/>
  <dc:creator>Amanda Kuek</dc:creator>
  <cp:keywords/>
  <dc:description/>
  <cp:lastModifiedBy>Anne Righton</cp:lastModifiedBy>
  <cp:revision>3</cp:revision>
  <cp:lastPrinted>2023-08-10T03:18:00Z</cp:lastPrinted>
  <dcterms:created xsi:type="dcterms:W3CDTF">2023-08-02T03:41:00Z</dcterms:created>
  <dcterms:modified xsi:type="dcterms:W3CDTF">2023-08-10T03:18:00Z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2023-05-04T01:49:03Z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07e9bb85-2dcb-48cb-8e77-fb14668950a1</vt:lpwstr>
  </property>
  <property fmtid="{D5CDD505-2E9C-101B-9397-08002B2CF9AE}" pid="8" name="MSIP_Label_79d889eb-932f-4752-8739-64d25806ef64_ContentBits">
    <vt:lpwstr>0</vt:lpwstr>
  </property>
</Properties>
</file>