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CEB7E" w14:textId="0A498B72" w:rsidR="00951843" w:rsidRPr="00374B2D" w:rsidRDefault="004E26DA" w:rsidP="00C579AF">
      <w:pPr>
        <w:spacing w:before="2000"/>
        <w:rPr>
          <w:color w:val="002A3A" w:themeColor="text2"/>
          <w:sz w:val="48"/>
          <w:szCs w:val="44"/>
        </w:rPr>
      </w:pPr>
      <w:r>
        <w:rPr>
          <w:color w:val="002A3A" w:themeColor="text2"/>
          <w:sz w:val="48"/>
          <w:szCs w:val="44"/>
        </w:rPr>
        <w:t xml:space="preserve"> </w:t>
      </w:r>
      <w:r w:rsidR="00C5179F">
        <w:rPr>
          <w:color w:val="002A3A" w:themeColor="text2"/>
          <w:sz w:val="48"/>
          <w:szCs w:val="44"/>
        </w:rPr>
        <w:t>Part</w:t>
      </w:r>
      <w:r w:rsidR="00151165">
        <w:rPr>
          <w:color w:val="002A3A" w:themeColor="text2"/>
          <w:sz w:val="48"/>
          <w:szCs w:val="44"/>
        </w:rPr>
        <w:t xml:space="preserve"> </w:t>
      </w:r>
      <w:r w:rsidR="00974F7E">
        <w:rPr>
          <w:color w:val="002A3A" w:themeColor="text2"/>
          <w:sz w:val="48"/>
          <w:szCs w:val="44"/>
        </w:rPr>
        <w:t>14</w:t>
      </w:r>
      <w:r w:rsidR="00E93C8F">
        <w:rPr>
          <w:color w:val="002A3A" w:themeColor="text2"/>
          <w:sz w:val="48"/>
          <w:szCs w:val="44"/>
        </w:rPr>
        <w:t xml:space="preserve"> </w:t>
      </w:r>
      <w:r w:rsidR="00C50D73" w:rsidRPr="00C50D73">
        <w:rPr>
          <w:color w:val="002A3A" w:themeColor="text2"/>
          <w:sz w:val="48"/>
          <w:szCs w:val="44"/>
        </w:rPr>
        <w:t>—</w:t>
      </w:r>
      <w:r w:rsidR="00151165">
        <w:rPr>
          <w:color w:val="002A3A" w:themeColor="text2"/>
          <w:sz w:val="48"/>
          <w:szCs w:val="44"/>
        </w:rPr>
        <w:t xml:space="preserve"> </w:t>
      </w:r>
    </w:p>
    <w:p w14:paraId="21ACA577" w14:textId="6C42DA91" w:rsidR="00951843" w:rsidRPr="00374B2D" w:rsidRDefault="00974F7E" w:rsidP="00951843">
      <w:pPr>
        <w:rPr>
          <w:color w:val="002A3A" w:themeColor="text2"/>
          <w:sz w:val="64"/>
          <w:szCs w:val="64"/>
        </w:rPr>
      </w:pPr>
      <w:r>
        <w:rPr>
          <w:color w:val="002A3A" w:themeColor="text2"/>
          <w:sz w:val="64"/>
          <w:szCs w:val="64"/>
        </w:rPr>
        <w:t>Disclosure log</w:t>
      </w:r>
    </w:p>
    <w:p w14:paraId="71C09947" w14:textId="336F2E44" w:rsidR="00951843" w:rsidRDefault="008A38DA">
      <w:pPr>
        <w:spacing w:after="0"/>
        <w:ind w:left="284" w:hanging="284"/>
      </w:pPr>
      <w:r>
        <w:t>Version 1.</w:t>
      </w:r>
      <w:r w:rsidR="001637EA">
        <w:t>8</w:t>
      </w:r>
      <w:r>
        <w:t xml:space="preserve">, </w:t>
      </w:r>
      <w:r w:rsidR="00D0051C">
        <w:t xml:space="preserve">August </w:t>
      </w:r>
      <w:r w:rsidR="001637EA">
        <w:t>2026</w:t>
      </w:r>
      <w:r w:rsidR="00D0051C">
        <w:t xml:space="preserve"> (Consultation Draft)</w:t>
      </w:r>
      <w:r w:rsidR="00951843">
        <w:br w:type="page"/>
      </w:r>
    </w:p>
    <w:sdt>
      <w:sdtPr>
        <w:rPr>
          <w:rFonts w:asciiTheme="minorHAnsi" w:eastAsiaTheme="minorEastAsia" w:hAnsiTheme="minorHAnsi"/>
          <w:color w:val="auto"/>
          <w:spacing w:val="0"/>
          <w:sz w:val="22"/>
          <w:szCs w:val="20"/>
          <w:lang w:eastAsia="ko-KR"/>
        </w:rPr>
        <w:id w:val="-1867591131"/>
        <w:docPartObj>
          <w:docPartGallery w:val="Table of Contents"/>
          <w:docPartUnique/>
        </w:docPartObj>
      </w:sdtPr>
      <w:sdtEndPr>
        <w:rPr>
          <w:b/>
          <w:bCs/>
          <w:noProof/>
        </w:rPr>
      </w:sdtEndPr>
      <w:sdtContent>
        <w:p w14:paraId="682B8D0D" w14:textId="5B28D3F1" w:rsidR="00951843" w:rsidRDefault="00951843">
          <w:pPr>
            <w:pStyle w:val="TOCHeading"/>
          </w:pPr>
          <w:r>
            <w:t>Contents</w:t>
          </w:r>
        </w:p>
        <w:p w14:paraId="0BFFC627" w14:textId="5F89A185" w:rsidR="00624E25" w:rsidRDefault="00951843">
          <w:pPr>
            <w:pStyle w:val="TOC2"/>
            <w:rPr>
              <w:rFonts w:asciiTheme="minorHAnsi" w:hAnsiTheme="minorHAnsi" w:cstheme="minorBidi"/>
              <w:kern w:val="2"/>
              <w:sz w:val="24"/>
              <w:szCs w:val="24"/>
              <w:lang w:eastAsia="en-AU"/>
              <w14:ligatures w14:val="standardContextual"/>
            </w:rPr>
          </w:pPr>
          <w:r>
            <w:fldChar w:fldCharType="begin"/>
          </w:r>
          <w:r>
            <w:instrText xml:space="preserve"> TOC \o "1-3" \h \z \u </w:instrText>
          </w:r>
          <w:r>
            <w:fldChar w:fldCharType="separate"/>
          </w:r>
          <w:hyperlink w:anchor="_Toc237248260" w:history="1">
            <w:r w:rsidR="00624E25" w:rsidRPr="00671403">
              <w:rPr>
                <w:rStyle w:val="Hyperlink"/>
              </w:rPr>
              <w:t>Introduction</w:t>
            </w:r>
            <w:r w:rsidR="00624E25">
              <w:rPr>
                <w:webHidden/>
              </w:rPr>
              <w:tab/>
            </w:r>
            <w:r w:rsidR="00624E25">
              <w:rPr>
                <w:webHidden/>
              </w:rPr>
              <w:fldChar w:fldCharType="begin"/>
            </w:r>
            <w:r w:rsidR="00624E25">
              <w:rPr>
                <w:webHidden/>
              </w:rPr>
              <w:instrText xml:space="preserve"> PAGEREF _Toc237248260 \h </w:instrText>
            </w:r>
            <w:r w:rsidR="00624E25">
              <w:rPr>
                <w:webHidden/>
              </w:rPr>
            </w:r>
            <w:r w:rsidR="00624E25">
              <w:rPr>
                <w:webHidden/>
              </w:rPr>
              <w:fldChar w:fldCharType="separate"/>
            </w:r>
            <w:r w:rsidR="00624E25">
              <w:rPr>
                <w:webHidden/>
              </w:rPr>
              <w:t>3</w:t>
            </w:r>
            <w:r w:rsidR="00624E25">
              <w:rPr>
                <w:webHidden/>
              </w:rPr>
              <w:fldChar w:fldCharType="end"/>
            </w:r>
          </w:hyperlink>
        </w:p>
        <w:p w14:paraId="6E61839B" w14:textId="16046E40" w:rsidR="00624E25" w:rsidRDefault="00624E25">
          <w:pPr>
            <w:pStyle w:val="TOC2"/>
            <w:rPr>
              <w:rFonts w:asciiTheme="minorHAnsi" w:hAnsiTheme="minorHAnsi" w:cstheme="minorBidi"/>
              <w:kern w:val="2"/>
              <w:sz w:val="24"/>
              <w:szCs w:val="24"/>
              <w:lang w:eastAsia="en-AU"/>
              <w14:ligatures w14:val="standardContextual"/>
            </w:rPr>
          </w:pPr>
          <w:hyperlink w:anchor="_Toc237248261" w:history="1">
            <w:r w:rsidRPr="00671403">
              <w:rPr>
                <w:rStyle w:val="Hyperlink"/>
              </w:rPr>
              <w:t>Nature and content of the disclosure log</w:t>
            </w:r>
            <w:r>
              <w:rPr>
                <w:webHidden/>
              </w:rPr>
              <w:tab/>
            </w:r>
            <w:r>
              <w:rPr>
                <w:webHidden/>
              </w:rPr>
              <w:fldChar w:fldCharType="begin"/>
            </w:r>
            <w:r>
              <w:rPr>
                <w:webHidden/>
              </w:rPr>
              <w:instrText xml:space="preserve"> PAGEREF _Toc237248261 \h </w:instrText>
            </w:r>
            <w:r>
              <w:rPr>
                <w:webHidden/>
              </w:rPr>
            </w:r>
            <w:r>
              <w:rPr>
                <w:webHidden/>
              </w:rPr>
              <w:fldChar w:fldCharType="separate"/>
            </w:r>
            <w:r>
              <w:rPr>
                <w:webHidden/>
              </w:rPr>
              <w:t>4</w:t>
            </w:r>
            <w:r>
              <w:rPr>
                <w:webHidden/>
              </w:rPr>
              <w:fldChar w:fldCharType="end"/>
            </w:r>
          </w:hyperlink>
        </w:p>
        <w:p w14:paraId="2E02CF6A" w14:textId="65BF4545" w:rsidR="00624E25" w:rsidRDefault="00624E25">
          <w:pPr>
            <w:pStyle w:val="TOC3"/>
            <w:rPr>
              <w:rFonts w:cstheme="minorBidi"/>
              <w:kern w:val="2"/>
              <w:sz w:val="24"/>
              <w:szCs w:val="24"/>
              <w:lang w:eastAsia="en-AU"/>
              <w14:ligatures w14:val="standardContextual"/>
            </w:rPr>
          </w:pPr>
          <w:hyperlink w:anchor="_Toc237248262" w:history="1">
            <w:r w:rsidRPr="00671403">
              <w:rPr>
                <w:rStyle w:val="Hyperlink"/>
              </w:rPr>
              <w:t>Deciding not to publish documents on the disclosure log</w:t>
            </w:r>
            <w:r>
              <w:rPr>
                <w:webHidden/>
              </w:rPr>
              <w:tab/>
            </w:r>
            <w:r>
              <w:rPr>
                <w:webHidden/>
              </w:rPr>
              <w:fldChar w:fldCharType="begin"/>
            </w:r>
            <w:r>
              <w:rPr>
                <w:webHidden/>
              </w:rPr>
              <w:instrText xml:space="preserve"> PAGEREF _Toc237248262 \h </w:instrText>
            </w:r>
            <w:r>
              <w:rPr>
                <w:webHidden/>
              </w:rPr>
            </w:r>
            <w:r>
              <w:rPr>
                <w:webHidden/>
              </w:rPr>
              <w:fldChar w:fldCharType="separate"/>
            </w:r>
            <w:r>
              <w:rPr>
                <w:webHidden/>
              </w:rPr>
              <w:t>5</w:t>
            </w:r>
            <w:r>
              <w:rPr>
                <w:webHidden/>
              </w:rPr>
              <w:fldChar w:fldCharType="end"/>
            </w:r>
          </w:hyperlink>
        </w:p>
        <w:p w14:paraId="3CDBE3F5" w14:textId="7A86542C" w:rsidR="00624E25" w:rsidRDefault="00624E25">
          <w:pPr>
            <w:pStyle w:val="TOC3"/>
            <w:rPr>
              <w:rFonts w:cstheme="minorBidi"/>
              <w:kern w:val="2"/>
              <w:sz w:val="24"/>
              <w:szCs w:val="24"/>
              <w:lang w:eastAsia="en-AU"/>
              <w14:ligatures w14:val="standardContextual"/>
            </w:rPr>
          </w:pPr>
          <w:hyperlink w:anchor="_Toc237248263" w:history="1">
            <w:r w:rsidRPr="00671403">
              <w:rPr>
                <w:rStyle w:val="Hyperlink"/>
              </w:rPr>
              <w:t>Disclosure log exceptions — when publication would be ‘unreasonable’</w:t>
            </w:r>
            <w:r>
              <w:rPr>
                <w:webHidden/>
              </w:rPr>
              <w:tab/>
            </w:r>
            <w:r>
              <w:rPr>
                <w:webHidden/>
              </w:rPr>
              <w:fldChar w:fldCharType="begin"/>
            </w:r>
            <w:r>
              <w:rPr>
                <w:webHidden/>
              </w:rPr>
              <w:instrText xml:space="preserve"> PAGEREF _Toc237248263 \h </w:instrText>
            </w:r>
            <w:r>
              <w:rPr>
                <w:webHidden/>
              </w:rPr>
            </w:r>
            <w:r>
              <w:rPr>
                <w:webHidden/>
              </w:rPr>
              <w:fldChar w:fldCharType="separate"/>
            </w:r>
            <w:r>
              <w:rPr>
                <w:webHidden/>
              </w:rPr>
              <w:t>7</w:t>
            </w:r>
            <w:r>
              <w:rPr>
                <w:webHidden/>
              </w:rPr>
              <w:fldChar w:fldCharType="end"/>
            </w:r>
          </w:hyperlink>
        </w:p>
        <w:p w14:paraId="5AC50EA9" w14:textId="61EB5577" w:rsidR="00624E25" w:rsidRDefault="00624E25">
          <w:pPr>
            <w:pStyle w:val="TOC2"/>
            <w:rPr>
              <w:rFonts w:asciiTheme="minorHAnsi" w:hAnsiTheme="minorHAnsi" w:cstheme="minorBidi"/>
              <w:kern w:val="2"/>
              <w:sz w:val="24"/>
              <w:szCs w:val="24"/>
              <w:lang w:eastAsia="en-AU"/>
              <w14:ligatures w14:val="standardContextual"/>
            </w:rPr>
          </w:pPr>
          <w:hyperlink w:anchor="_Toc237248264" w:history="1">
            <w:r w:rsidRPr="00671403">
              <w:rPr>
                <w:rStyle w:val="Hyperlink"/>
              </w:rPr>
              <w:t>Making information publicly available</w:t>
            </w:r>
            <w:r>
              <w:rPr>
                <w:webHidden/>
              </w:rPr>
              <w:tab/>
            </w:r>
            <w:r>
              <w:rPr>
                <w:webHidden/>
              </w:rPr>
              <w:fldChar w:fldCharType="begin"/>
            </w:r>
            <w:r>
              <w:rPr>
                <w:webHidden/>
              </w:rPr>
              <w:instrText xml:space="preserve"> PAGEREF _Toc237248264 \h </w:instrText>
            </w:r>
            <w:r>
              <w:rPr>
                <w:webHidden/>
              </w:rPr>
            </w:r>
            <w:r>
              <w:rPr>
                <w:webHidden/>
              </w:rPr>
              <w:fldChar w:fldCharType="separate"/>
            </w:r>
            <w:r>
              <w:rPr>
                <w:webHidden/>
              </w:rPr>
              <w:t>9</w:t>
            </w:r>
            <w:r>
              <w:rPr>
                <w:webHidden/>
              </w:rPr>
              <w:fldChar w:fldCharType="end"/>
            </w:r>
          </w:hyperlink>
        </w:p>
        <w:p w14:paraId="54D04F5F" w14:textId="0D84F66A" w:rsidR="00624E25" w:rsidRDefault="00624E25">
          <w:pPr>
            <w:pStyle w:val="TOC3"/>
            <w:rPr>
              <w:rFonts w:cstheme="minorBidi"/>
              <w:kern w:val="2"/>
              <w:sz w:val="24"/>
              <w:szCs w:val="24"/>
              <w:lang w:eastAsia="en-AU"/>
              <w14:ligatures w14:val="standardContextual"/>
            </w:rPr>
          </w:pPr>
          <w:hyperlink w:anchor="_Toc237248265" w:history="1">
            <w:r w:rsidRPr="00671403">
              <w:rPr>
                <w:rStyle w:val="Hyperlink"/>
              </w:rPr>
              <w:t>Time of publication</w:t>
            </w:r>
            <w:r>
              <w:rPr>
                <w:webHidden/>
              </w:rPr>
              <w:tab/>
            </w:r>
            <w:r>
              <w:rPr>
                <w:webHidden/>
              </w:rPr>
              <w:fldChar w:fldCharType="begin"/>
            </w:r>
            <w:r>
              <w:rPr>
                <w:webHidden/>
              </w:rPr>
              <w:instrText xml:space="preserve"> PAGEREF _Toc237248265 \h </w:instrText>
            </w:r>
            <w:r>
              <w:rPr>
                <w:webHidden/>
              </w:rPr>
            </w:r>
            <w:r>
              <w:rPr>
                <w:webHidden/>
              </w:rPr>
              <w:fldChar w:fldCharType="separate"/>
            </w:r>
            <w:r>
              <w:rPr>
                <w:webHidden/>
              </w:rPr>
              <w:t>9</w:t>
            </w:r>
            <w:r>
              <w:rPr>
                <w:webHidden/>
              </w:rPr>
              <w:fldChar w:fldCharType="end"/>
            </w:r>
          </w:hyperlink>
        </w:p>
        <w:p w14:paraId="5681D184" w14:textId="02A4C882" w:rsidR="00624E25" w:rsidRDefault="00624E25">
          <w:pPr>
            <w:pStyle w:val="TOC3"/>
            <w:rPr>
              <w:rFonts w:cstheme="minorBidi"/>
              <w:kern w:val="2"/>
              <w:sz w:val="24"/>
              <w:szCs w:val="24"/>
              <w:lang w:eastAsia="en-AU"/>
              <w14:ligatures w14:val="standardContextual"/>
            </w:rPr>
          </w:pPr>
          <w:hyperlink w:anchor="_Toc237248266" w:history="1">
            <w:r w:rsidRPr="00671403">
              <w:rPr>
                <w:rStyle w:val="Hyperlink"/>
              </w:rPr>
              <w:t>Design and contents of the disclosure log</w:t>
            </w:r>
            <w:r>
              <w:rPr>
                <w:webHidden/>
              </w:rPr>
              <w:tab/>
            </w:r>
            <w:r>
              <w:rPr>
                <w:webHidden/>
              </w:rPr>
              <w:fldChar w:fldCharType="begin"/>
            </w:r>
            <w:r>
              <w:rPr>
                <w:webHidden/>
              </w:rPr>
              <w:instrText xml:space="preserve"> PAGEREF _Toc237248266 \h </w:instrText>
            </w:r>
            <w:r>
              <w:rPr>
                <w:webHidden/>
              </w:rPr>
            </w:r>
            <w:r>
              <w:rPr>
                <w:webHidden/>
              </w:rPr>
              <w:fldChar w:fldCharType="separate"/>
            </w:r>
            <w:r>
              <w:rPr>
                <w:webHidden/>
              </w:rPr>
              <w:t>10</w:t>
            </w:r>
            <w:r>
              <w:rPr>
                <w:webHidden/>
              </w:rPr>
              <w:fldChar w:fldCharType="end"/>
            </w:r>
          </w:hyperlink>
        </w:p>
        <w:p w14:paraId="4D4FA545" w14:textId="30D21C43" w:rsidR="00624E25" w:rsidRDefault="00624E25">
          <w:pPr>
            <w:pStyle w:val="TOC2"/>
            <w:rPr>
              <w:rFonts w:asciiTheme="minorHAnsi" w:hAnsiTheme="minorHAnsi" w:cstheme="minorBidi"/>
              <w:kern w:val="2"/>
              <w:sz w:val="24"/>
              <w:szCs w:val="24"/>
              <w:lang w:eastAsia="en-AU"/>
              <w14:ligatures w14:val="standardContextual"/>
            </w:rPr>
          </w:pPr>
          <w:hyperlink w:anchor="_Toc237248267" w:history="1">
            <w:r w:rsidRPr="00671403">
              <w:rPr>
                <w:rStyle w:val="Hyperlink"/>
              </w:rPr>
              <w:t>Facilitating access</w:t>
            </w:r>
            <w:r>
              <w:rPr>
                <w:webHidden/>
              </w:rPr>
              <w:tab/>
            </w:r>
            <w:r>
              <w:rPr>
                <w:webHidden/>
              </w:rPr>
              <w:fldChar w:fldCharType="begin"/>
            </w:r>
            <w:r>
              <w:rPr>
                <w:webHidden/>
              </w:rPr>
              <w:instrText xml:space="preserve"> PAGEREF _Toc237248267 \h </w:instrText>
            </w:r>
            <w:r>
              <w:rPr>
                <w:webHidden/>
              </w:rPr>
            </w:r>
            <w:r>
              <w:rPr>
                <w:webHidden/>
              </w:rPr>
              <w:fldChar w:fldCharType="separate"/>
            </w:r>
            <w:r>
              <w:rPr>
                <w:webHidden/>
              </w:rPr>
              <w:t>12</w:t>
            </w:r>
            <w:r>
              <w:rPr>
                <w:webHidden/>
              </w:rPr>
              <w:fldChar w:fldCharType="end"/>
            </w:r>
          </w:hyperlink>
        </w:p>
        <w:p w14:paraId="03842CA0" w14:textId="2F9B2D83" w:rsidR="00624E25" w:rsidRDefault="00624E25">
          <w:pPr>
            <w:pStyle w:val="TOC3"/>
            <w:rPr>
              <w:rFonts w:cstheme="minorBidi"/>
              <w:kern w:val="2"/>
              <w:sz w:val="24"/>
              <w:szCs w:val="24"/>
              <w:lang w:eastAsia="en-AU"/>
              <w14:ligatures w14:val="standardContextual"/>
            </w:rPr>
          </w:pPr>
          <w:hyperlink w:anchor="_Toc237248268" w:history="1">
            <w:r w:rsidRPr="00671403">
              <w:rPr>
                <w:rStyle w:val="Hyperlink"/>
              </w:rPr>
              <w:t>Accessibility</w:t>
            </w:r>
            <w:r>
              <w:rPr>
                <w:webHidden/>
              </w:rPr>
              <w:tab/>
            </w:r>
            <w:r>
              <w:rPr>
                <w:webHidden/>
              </w:rPr>
              <w:fldChar w:fldCharType="begin"/>
            </w:r>
            <w:r>
              <w:rPr>
                <w:webHidden/>
              </w:rPr>
              <w:instrText xml:space="preserve"> PAGEREF _Toc237248268 \h </w:instrText>
            </w:r>
            <w:r>
              <w:rPr>
                <w:webHidden/>
              </w:rPr>
            </w:r>
            <w:r>
              <w:rPr>
                <w:webHidden/>
              </w:rPr>
              <w:fldChar w:fldCharType="separate"/>
            </w:r>
            <w:r>
              <w:rPr>
                <w:webHidden/>
              </w:rPr>
              <w:t>14</w:t>
            </w:r>
            <w:r>
              <w:rPr>
                <w:webHidden/>
              </w:rPr>
              <w:fldChar w:fldCharType="end"/>
            </w:r>
          </w:hyperlink>
        </w:p>
        <w:p w14:paraId="00B0A077" w14:textId="4CD23AD8" w:rsidR="00624E25" w:rsidRDefault="00624E25">
          <w:pPr>
            <w:pStyle w:val="TOC2"/>
            <w:rPr>
              <w:rFonts w:asciiTheme="minorHAnsi" w:hAnsiTheme="minorHAnsi" w:cstheme="minorBidi"/>
              <w:kern w:val="2"/>
              <w:sz w:val="24"/>
              <w:szCs w:val="24"/>
              <w:lang w:eastAsia="en-AU"/>
              <w14:ligatures w14:val="standardContextual"/>
            </w:rPr>
          </w:pPr>
          <w:hyperlink w:anchor="_Toc237248269" w:history="1">
            <w:r w:rsidRPr="00671403">
              <w:rPr>
                <w:rStyle w:val="Hyperlink"/>
              </w:rPr>
              <w:t>Charges</w:t>
            </w:r>
            <w:r>
              <w:rPr>
                <w:webHidden/>
              </w:rPr>
              <w:tab/>
            </w:r>
            <w:r>
              <w:rPr>
                <w:webHidden/>
              </w:rPr>
              <w:fldChar w:fldCharType="begin"/>
            </w:r>
            <w:r>
              <w:rPr>
                <w:webHidden/>
              </w:rPr>
              <w:instrText xml:space="preserve"> PAGEREF _Toc237248269 \h </w:instrText>
            </w:r>
            <w:r>
              <w:rPr>
                <w:webHidden/>
              </w:rPr>
            </w:r>
            <w:r>
              <w:rPr>
                <w:webHidden/>
              </w:rPr>
              <w:fldChar w:fldCharType="separate"/>
            </w:r>
            <w:r>
              <w:rPr>
                <w:webHidden/>
              </w:rPr>
              <w:t>15</w:t>
            </w:r>
            <w:r>
              <w:rPr>
                <w:webHidden/>
              </w:rPr>
              <w:fldChar w:fldCharType="end"/>
            </w:r>
          </w:hyperlink>
        </w:p>
        <w:p w14:paraId="13089A66" w14:textId="7BDD1432" w:rsidR="00624E25" w:rsidRDefault="00624E25">
          <w:pPr>
            <w:pStyle w:val="TOC2"/>
            <w:rPr>
              <w:rFonts w:asciiTheme="minorHAnsi" w:hAnsiTheme="minorHAnsi" w:cstheme="minorBidi"/>
              <w:kern w:val="2"/>
              <w:sz w:val="24"/>
              <w:szCs w:val="24"/>
              <w:lang w:eastAsia="en-AU"/>
              <w14:ligatures w14:val="standardContextual"/>
            </w:rPr>
          </w:pPr>
          <w:hyperlink w:anchor="_Toc237248270" w:history="1">
            <w:r w:rsidRPr="00671403">
              <w:rPr>
                <w:rStyle w:val="Hyperlink"/>
              </w:rPr>
              <w:t>Information Commissioner’s functions and powers</w:t>
            </w:r>
            <w:r>
              <w:rPr>
                <w:webHidden/>
              </w:rPr>
              <w:tab/>
            </w:r>
            <w:r>
              <w:rPr>
                <w:webHidden/>
              </w:rPr>
              <w:fldChar w:fldCharType="begin"/>
            </w:r>
            <w:r>
              <w:rPr>
                <w:webHidden/>
              </w:rPr>
              <w:instrText xml:space="preserve"> PAGEREF _Toc237248270 \h </w:instrText>
            </w:r>
            <w:r>
              <w:rPr>
                <w:webHidden/>
              </w:rPr>
            </w:r>
            <w:r>
              <w:rPr>
                <w:webHidden/>
              </w:rPr>
              <w:fldChar w:fldCharType="separate"/>
            </w:r>
            <w:r>
              <w:rPr>
                <w:webHidden/>
              </w:rPr>
              <w:t>16</w:t>
            </w:r>
            <w:r>
              <w:rPr>
                <w:webHidden/>
              </w:rPr>
              <w:fldChar w:fldCharType="end"/>
            </w:r>
          </w:hyperlink>
        </w:p>
        <w:p w14:paraId="4C17F221" w14:textId="617997CE" w:rsidR="00624E25" w:rsidRDefault="00624E25">
          <w:pPr>
            <w:pStyle w:val="TOC2"/>
            <w:rPr>
              <w:rFonts w:asciiTheme="minorHAnsi" w:hAnsiTheme="minorHAnsi" w:cstheme="minorBidi"/>
              <w:kern w:val="2"/>
              <w:sz w:val="24"/>
              <w:szCs w:val="24"/>
              <w:lang w:eastAsia="en-AU"/>
              <w14:ligatures w14:val="standardContextual"/>
            </w:rPr>
          </w:pPr>
          <w:hyperlink w:anchor="_Toc237248271" w:history="1">
            <w:r w:rsidRPr="00671403">
              <w:rPr>
                <w:rStyle w:val="Hyperlink"/>
              </w:rPr>
              <w:t>Additional publication considerations</w:t>
            </w:r>
            <w:r>
              <w:rPr>
                <w:webHidden/>
              </w:rPr>
              <w:tab/>
            </w:r>
            <w:r>
              <w:rPr>
                <w:webHidden/>
              </w:rPr>
              <w:fldChar w:fldCharType="begin"/>
            </w:r>
            <w:r>
              <w:rPr>
                <w:webHidden/>
              </w:rPr>
              <w:instrText xml:space="preserve"> PAGEREF _Toc237248271 \h </w:instrText>
            </w:r>
            <w:r>
              <w:rPr>
                <w:webHidden/>
              </w:rPr>
            </w:r>
            <w:r>
              <w:rPr>
                <w:webHidden/>
              </w:rPr>
              <w:fldChar w:fldCharType="separate"/>
            </w:r>
            <w:r>
              <w:rPr>
                <w:webHidden/>
              </w:rPr>
              <w:t>18</w:t>
            </w:r>
            <w:r>
              <w:rPr>
                <w:webHidden/>
              </w:rPr>
              <w:fldChar w:fldCharType="end"/>
            </w:r>
          </w:hyperlink>
        </w:p>
        <w:p w14:paraId="4DB0AE5F" w14:textId="71DA3103" w:rsidR="00624E25" w:rsidRDefault="00624E25">
          <w:pPr>
            <w:pStyle w:val="TOC3"/>
            <w:rPr>
              <w:rFonts w:cstheme="minorBidi"/>
              <w:kern w:val="2"/>
              <w:sz w:val="24"/>
              <w:szCs w:val="24"/>
              <w:lang w:eastAsia="en-AU"/>
              <w14:ligatures w14:val="standardContextual"/>
            </w:rPr>
          </w:pPr>
          <w:hyperlink w:anchor="_Toc237248272" w:history="1">
            <w:r w:rsidRPr="00671403">
              <w:rPr>
                <w:rStyle w:val="Hyperlink"/>
              </w:rPr>
              <w:t>Copyright</w:t>
            </w:r>
            <w:r>
              <w:rPr>
                <w:webHidden/>
              </w:rPr>
              <w:tab/>
            </w:r>
            <w:r>
              <w:rPr>
                <w:webHidden/>
              </w:rPr>
              <w:fldChar w:fldCharType="begin"/>
            </w:r>
            <w:r>
              <w:rPr>
                <w:webHidden/>
              </w:rPr>
              <w:instrText xml:space="preserve"> PAGEREF _Toc237248272 \h </w:instrText>
            </w:r>
            <w:r>
              <w:rPr>
                <w:webHidden/>
              </w:rPr>
            </w:r>
            <w:r>
              <w:rPr>
                <w:webHidden/>
              </w:rPr>
              <w:fldChar w:fldCharType="separate"/>
            </w:r>
            <w:r>
              <w:rPr>
                <w:webHidden/>
              </w:rPr>
              <w:t>18</w:t>
            </w:r>
            <w:r>
              <w:rPr>
                <w:webHidden/>
              </w:rPr>
              <w:fldChar w:fldCharType="end"/>
            </w:r>
          </w:hyperlink>
        </w:p>
        <w:p w14:paraId="0E1E5485" w14:textId="73F27860" w:rsidR="00624E25" w:rsidRDefault="00624E25">
          <w:pPr>
            <w:pStyle w:val="TOC3"/>
            <w:rPr>
              <w:rFonts w:cstheme="minorBidi"/>
              <w:kern w:val="2"/>
              <w:sz w:val="24"/>
              <w:szCs w:val="24"/>
              <w:lang w:eastAsia="en-AU"/>
              <w14:ligatures w14:val="standardContextual"/>
            </w:rPr>
          </w:pPr>
          <w:hyperlink w:anchor="_Toc237248273" w:history="1">
            <w:r w:rsidRPr="00671403">
              <w:rPr>
                <w:rStyle w:val="Hyperlink"/>
              </w:rPr>
              <w:t>Retaining and archiving disclosure log information</w:t>
            </w:r>
            <w:r>
              <w:rPr>
                <w:webHidden/>
              </w:rPr>
              <w:tab/>
            </w:r>
            <w:r>
              <w:rPr>
                <w:webHidden/>
              </w:rPr>
              <w:fldChar w:fldCharType="begin"/>
            </w:r>
            <w:r>
              <w:rPr>
                <w:webHidden/>
              </w:rPr>
              <w:instrText xml:space="preserve"> PAGEREF _Toc237248273 \h </w:instrText>
            </w:r>
            <w:r>
              <w:rPr>
                <w:webHidden/>
              </w:rPr>
            </w:r>
            <w:r>
              <w:rPr>
                <w:webHidden/>
              </w:rPr>
              <w:fldChar w:fldCharType="separate"/>
            </w:r>
            <w:r>
              <w:rPr>
                <w:webHidden/>
              </w:rPr>
              <w:t>18</w:t>
            </w:r>
            <w:r>
              <w:rPr>
                <w:webHidden/>
              </w:rPr>
              <w:fldChar w:fldCharType="end"/>
            </w:r>
          </w:hyperlink>
        </w:p>
        <w:p w14:paraId="3C9D3C45" w14:textId="160F3E39" w:rsidR="00624E25" w:rsidRDefault="00624E25">
          <w:pPr>
            <w:pStyle w:val="TOC3"/>
            <w:rPr>
              <w:rFonts w:cstheme="minorBidi"/>
              <w:kern w:val="2"/>
              <w:sz w:val="24"/>
              <w:szCs w:val="24"/>
              <w:lang w:eastAsia="en-AU"/>
              <w14:ligatures w14:val="standardContextual"/>
            </w:rPr>
          </w:pPr>
          <w:hyperlink w:anchor="_Toc237248274" w:history="1">
            <w:r w:rsidRPr="00671403">
              <w:rPr>
                <w:rStyle w:val="Hyperlink"/>
              </w:rPr>
              <w:t>Information Publication Scheme – routinely accessed information</w:t>
            </w:r>
            <w:r>
              <w:rPr>
                <w:webHidden/>
              </w:rPr>
              <w:tab/>
            </w:r>
            <w:r>
              <w:rPr>
                <w:webHidden/>
              </w:rPr>
              <w:fldChar w:fldCharType="begin"/>
            </w:r>
            <w:r>
              <w:rPr>
                <w:webHidden/>
              </w:rPr>
              <w:instrText xml:space="preserve"> PAGEREF _Toc237248274 \h </w:instrText>
            </w:r>
            <w:r>
              <w:rPr>
                <w:webHidden/>
              </w:rPr>
            </w:r>
            <w:r>
              <w:rPr>
                <w:webHidden/>
              </w:rPr>
              <w:fldChar w:fldCharType="separate"/>
            </w:r>
            <w:r>
              <w:rPr>
                <w:webHidden/>
              </w:rPr>
              <w:t>19</w:t>
            </w:r>
            <w:r>
              <w:rPr>
                <w:webHidden/>
              </w:rPr>
              <w:fldChar w:fldCharType="end"/>
            </w:r>
          </w:hyperlink>
        </w:p>
        <w:p w14:paraId="771E079E" w14:textId="6FED9786" w:rsidR="00624E25" w:rsidRDefault="00624E25">
          <w:pPr>
            <w:pStyle w:val="TOC3"/>
            <w:rPr>
              <w:rFonts w:cstheme="minorBidi"/>
              <w:kern w:val="2"/>
              <w:sz w:val="24"/>
              <w:szCs w:val="24"/>
              <w:lang w:eastAsia="en-AU"/>
              <w14:ligatures w14:val="standardContextual"/>
            </w:rPr>
          </w:pPr>
          <w:hyperlink w:anchor="_Toc237248275" w:history="1">
            <w:r w:rsidRPr="00671403">
              <w:rPr>
                <w:rStyle w:val="Hyperlink"/>
              </w:rPr>
              <w:t>Legal protection for disclosure log publication</w:t>
            </w:r>
            <w:r>
              <w:rPr>
                <w:webHidden/>
              </w:rPr>
              <w:tab/>
            </w:r>
            <w:r>
              <w:rPr>
                <w:webHidden/>
              </w:rPr>
              <w:fldChar w:fldCharType="begin"/>
            </w:r>
            <w:r>
              <w:rPr>
                <w:webHidden/>
              </w:rPr>
              <w:instrText xml:space="preserve"> PAGEREF _Toc237248275 \h </w:instrText>
            </w:r>
            <w:r>
              <w:rPr>
                <w:webHidden/>
              </w:rPr>
            </w:r>
            <w:r>
              <w:rPr>
                <w:webHidden/>
              </w:rPr>
              <w:fldChar w:fldCharType="separate"/>
            </w:r>
            <w:r>
              <w:rPr>
                <w:webHidden/>
              </w:rPr>
              <w:t>20</w:t>
            </w:r>
            <w:r>
              <w:rPr>
                <w:webHidden/>
              </w:rPr>
              <w:fldChar w:fldCharType="end"/>
            </w:r>
          </w:hyperlink>
        </w:p>
        <w:p w14:paraId="56172F75" w14:textId="526DE00F" w:rsidR="00624E25" w:rsidRDefault="00624E25">
          <w:pPr>
            <w:pStyle w:val="TOC2"/>
            <w:rPr>
              <w:rFonts w:asciiTheme="minorHAnsi" w:hAnsiTheme="minorHAnsi" w:cstheme="minorBidi"/>
              <w:kern w:val="2"/>
              <w:sz w:val="24"/>
              <w:szCs w:val="24"/>
              <w:lang w:eastAsia="en-AU"/>
              <w14:ligatures w14:val="standardContextual"/>
            </w:rPr>
          </w:pPr>
          <w:hyperlink w:anchor="_Toc237248276" w:history="1">
            <w:r w:rsidRPr="00671403">
              <w:rPr>
                <w:rStyle w:val="Hyperlink"/>
              </w:rPr>
              <w:t>Annexure A — Template disclosure log</w:t>
            </w:r>
            <w:r>
              <w:rPr>
                <w:webHidden/>
              </w:rPr>
              <w:tab/>
            </w:r>
            <w:r>
              <w:rPr>
                <w:webHidden/>
              </w:rPr>
              <w:fldChar w:fldCharType="begin"/>
            </w:r>
            <w:r>
              <w:rPr>
                <w:webHidden/>
              </w:rPr>
              <w:instrText xml:space="preserve"> PAGEREF _Toc237248276 \h </w:instrText>
            </w:r>
            <w:r>
              <w:rPr>
                <w:webHidden/>
              </w:rPr>
            </w:r>
            <w:r>
              <w:rPr>
                <w:webHidden/>
              </w:rPr>
              <w:fldChar w:fldCharType="separate"/>
            </w:r>
            <w:r>
              <w:rPr>
                <w:webHidden/>
              </w:rPr>
              <w:t>21</w:t>
            </w:r>
            <w:r>
              <w:rPr>
                <w:webHidden/>
              </w:rPr>
              <w:fldChar w:fldCharType="end"/>
            </w:r>
          </w:hyperlink>
        </w:p>
        <w:p w14:paraId="52848D78" w14:textId="22650F46" w:rsidR="00624E25" w:rsidRDefault="00624E25">
          <w:pPr>
            <w:pStyle w:val="TOC3"/>
            <w:rPr>
              <w:rFonts w:cstheme="minorBidi"/>
              <w:kern w:val="2"/>
              <w:sz w:val="24"/>
              <w:szCs w:val="24"/>
              <w:lang w:eastAsia="en-AU"/>
              <w14:ligatures w14:val="standardContextual"/>
            </w:rPr>
          </w:pPr>
          <w:hyperlink w:anchor="_Toc237248277" w:history="1">
            <w:r w:rsidRPr="00671403">
              <w:rPr>
                <w:rStyle w:val="Hyperlink"/>
              </w:rPr>
              <w:t>Template disclosure log</w:t>
            </w:r>
            <w:r>
              <w:rPr>
                <w:webHidden/>
              </w:rPr>
              <w:tab/>
            </w:r>
            <w:r>
              <w:rPr>
                <w:webHidden/>
              </w:rPr>
              <w:fldChar w:fldCharType="begin"/>
            </w:r>
            <w:r>
              <w:rPr>
                <w:webHidden/>
              </w:rPr>
              <w:instrText xml:space="preserve"> PAGEREF _Toc237248277 \h </w:instrText>
            </w:r>
            <w:r>
              <w:rPr>
                <w:webHidden/>
              </w:rPr>
            </w:r>
            <w:r>
              <w:rPr>
                <w:webHidden/>
              </w:rPr>
              <w:fldChar w:fldCharType="separate"/>
            </w:r>
            <w:r>
              <w:rPr>
                <w:webHidden/>
              </w:rPr>
              <w:t>23</w:t>
            </w:r>
            <w:r>
              <w:rPr>
                <w:webHidden/>
              </w:rPr>
              <w:fldChar w:fldCharType="end"/>
            </w:r>
          </w:hyperlink>
        </w:p>
        <w:p w14:paraId="423418FF" w14:textId="36357E44" w:rsidR="00624E25" w:rsidRDefault="00624E25">
          <w:pPr>
            <w:pStyle w:val="TOC2"/>
            <w:rPr>
              <w:rFonts w:asciiTheme="minorHAnsi" w:hAnsiTheme="minorHAnsi" w:cstheme="minorBidi"/>
              <w:kern w:val="2"/>
              <w:sz w:val="24"/>
              <w:szCs w:val="24"/>
              <w:lang w:eastAsia="en-AU"/>
              <w14:ligatures w14:val="standardContextual"/>
            </w:rPr>
          </w:pPr>
          <w:hyperlink w:anchor="_Toc237248278" w:history="1">
            <w:r w:rsidRPr="00671403">
              <w:rPr>
                <w:rStyle w:val="Hyperlink"/>
                <w:rFonts w:eastAsiaTheme="majorEastAsia" w:cstheme="majorBidi"/>
                <w:bCs/>
                <w:lang w:eastAsia="en-AU"/>
              </w:rPr>
              <w:t>Annexure B — Disclosure log checklist</w:t>
            </w:r>
            <w:r>
              <w:rPr>
                <w:webHidden/>
              </w:rPr>
              <w:tab/>
            </w:r>
            <w:r>
              <w:rPr>
                <w:webHidden/>
              </w:rPr>
              <w:fldChar w:fldCharType="begin"/>
            </w:r>
            <w:r>
              <w:rPr>
                <w:webHidden/>
              </w:rPr>
              <w:instrText xml:space="preserve"> PAGEREF _Toc237248278 \h </w:instrText>
            </w:r>
            <w:r>
              <w:rPr>
                <w:webHidden/>
              </w:rPr>
            </w:r>
            <w:r>
              <w:rPr>
                <w:webHidden/>
              </w:rPr>
              <w:fldChar w:fldCharType="separate"/>
            </w:r>
            <w:r>
              <w:rPr>
                <w:webHidden/>
              </w:rPr>
              <w:t>24</w:t>
            </w:r>
            <w:r>
              <w:rPr>
                <w:webHidden/>
              </w:rPr>
              <w:fldChar w:fldCharType="end"/>
            </w:r>
          </w:hyperlink>
        </w:p>
        <w:p w14:paraId="69CF0F86" w14:textId="63AFD7C2" w:rsidR="00951843" w:rsidRDefault="00951843">
          <w:r>
            <w:rPr>
              <w:b/>
              <w:bCs/>
              <w:noProof/>
            </w:rPr>
            <w:fldChar w:fldCharType="end"/>
          </w:r>
        </w:p>
      </w:sdtContent>
    </w:sdt>
    <w:p w14:paraId="65530DA2" w14:textId="77777777" w:rsidR="00455B47" w:rsidRPr="00455B47" w:rsidRDefault="00455B47" w:rsidP="00455B47">
      <w:pPr>
        <w:rPr>
          <w:lang w:eastAsia="en-US"/>
        </w:rPr>
      </w:pPr>
    </w:p>
    <w:p w14:paraId="2497CDE4" w14:textId="77777777" w:rsidR="00EB4F37" w:rsidRDefault="00EB4F37" w:rsidP="00B87055">
      <w:bookmarkStart w:id="0" w:name="_Toc347922857"/>
      <w:bookmarkStart w:id="1" w:name="_Toc347924285"/>
      <w:bookmarkStart w:id="2" w:name="_Toc380597022"/>
    </w:p>
    <w:p w14:paraId="3156F49A" w14:textId="77777777" w:rsidR="00EB4F37" w:rsidRPr="00EB4F37" w:rsidRDefault="00EB4F37" w:rsidP="00EB4F37">
      <w:pPr>
        <w:rPr>
          <w:lang w:eastAsia="en-US"/>
        </w:rPr>
      </w:pPr>
    </w:p>
    <w:p w14:paraId="47DB1D2D" w14:textId="77777777" w:rsidR="00EB4F37" w:rsidRPr="00EB4F37" w:rsidRDefault="00EB4F37" w:rsidP="00EB4F37">
      <w:pPr>
        <w:rPr>
          <w:lang w:eastAsia="en-US"/>
        </w:rPr>
      </w:pPr>
    </w:p>
    <w:p w14:paraId="29B11D14" w14:textId="77777777" w:rsidR="00EB4F37" w:rsidRPr="00EB4F37" w:rsidRDefault="00EB4F37" w:rsidP="00EB4F37">
      <w:pPr>
        <w:rPr>
          <w:lang w:eastAsia="en-US"/>
        </w:rPr>
      </w:pPr>
    </w:p>
    <w:p w14:paraId="1C162FE4" w14:textId="77777777" w:rsidR="00974F7E" w:rsidRDefault="00990AED" w:rsidP="00727D2C">
      <w:pPr>
        <w:pStyle w:val="Heading2"/>
        <w:spacing w:before="240"/>
      </w:pPr>
      <w:r>
        <w:br w:type="page"/>
      </w:r>
      <w:bookmarkStart w:id="3" w:name="_Toc346725821"/>
      <w:bookmarkStart w:id="4" w:name="_Toc237248260"/>
      <w:bookmarkEnd w:id="0"/>
      <w:bookmarkEnd w:id="1"/>
      <w:bookmarkEnd w:id="2"/>
      <w:r w:rsidR="00974F7E" w:rsidRPr="00590C8F">
        <w:lastRenderedPageBreak/>
        <w:t>Introduction</w:t>
      </w:r>
      <w:bookmarkEnd w:id="3"/>
      <w:bookmarkEnd w:id="4"/>
    </w:p>
    <w:p w14:paraId="645750E9" w14:textId="773E2D62" w:rsidR="008B2129" w:rsidRDefault="008B2129" w:rsidP="00357AF4">
      <w:pPr>
        <w:pStyle w:val="Heading4"/>
      </w:pPr>
      <w:r>
        <w:t xml:space="preserve">Key </w:t>
      </w:r>
      <w:r w:rsidR="00E65088">
        <w:t>messages</w:t>
      </w:r>
    </w:p>
    <w:p w14:paraId="0BAB507D" w14:textId="77777777" w:rsidR="002C0918" w:rsidRDefault="002C0918" w:rsidP="002C0918">
      <w:pPr>
        <w:pStyle w:val="NumberedParagraphs"/>
      </w:pPr>
      <w:r>
        <w:t>Disclosure log publication benefits both the public and the Australian Government by increasing access to government information while assisting agencies and ministers to respond more efficiently to FOI requests by reducing multiple requests for the same information.</w:t>
      </w:r>
    </w:p>
    <w:p w14:paraId="150FDC3C" w14:textId="63977DAD" w:rsidR="005C7A19" w:rsidRDefault="0016513A" w:rsidP="000A21BC">
      <w:pPr>
        <w:pStyle w:val="NumberedParagraphs"/>
        <w:rPr>
          <w:lang w:eastAsia="en-US"/>
        </w:rPr>
      </w:pPr>
      <w:r>
        <w:t xml:space="preserve">By providing a </w:t>
      </w:r>
      <w:r w:rsidR="005C7A19">
        <w:t>clear introduction to the disclosure log</w:t>
      </w:r>
      <w:r>
        <w:t>,</w:t>
      </w:r>
      <w:r w:rsidR="005C7A19">
        <w:t xml:space="preserve"> members of the public </w:t>
      </w:r>
      <w:r>
        <w:t xml:space="preserve">will better </w:t>
      </w:r>
      <w:r w:rsidR="005C7A19">
        <w:t xml:space="preserve">understand what information </w:t>
      </w:r>
      <w:r w:rsidR="004D755B">
        <w:t xml:space="preserve">the agency or minister </w:t>
      </w:r>
      <w:r w:rsidR="005C7A19">
        <w:t>will publish</w:t>
      </w:r>
      <w:r w:rsidR="004D755B">
        <w:t xml:space="preserve"> and how to access it.</w:t>
      </w:r>
      <w:r>
        <w:t xml:space="preserve"> </w:t>
      </w:r>
    </w:p>
    <w:p w14:paraId="3BE8AEAE" w14:textId="34DD1279" w:rsidR="008B2129" w:rsidRDefault="00E65088" w:rsidP="00207FE0">
      <w:pPr>
        <w:pStyle w:val="NumberedParagraphs"/>
      </w:pPr>
      <w:r>
        <w:t xml:space="preserve">Making documents available for direct download by members of the public gives </w:t>
      </w:r>
      <w:r w:rsidR="004F5F01">
        <w:t xml:space="preserve">greatest </w:t>
      </w:r>
      <w:r>
        <w:t xml:space="preserve">effect to the </w:t>
      </w:r>
      <w:r w:rsidR="004F5F01">
        <w:t xml:space="preserve">objects of the </w:t>
      </w:r>
      <w:r>
        <w:t xml:space="preserve">FOI Act, in </w:t>
      </w:r>
      <w:r w:rsidR="004F5F01">
        <w:t>particular,</w:t>
      </w:r>
      <w:r>
        <w:t xml:space="preserve"> </w:t>
      </w:r>
      <w:r w:rsidR="004F5F01">
        <w:t>the object to facilitate and promote public access to information promptly and at the lowest reasonable cost.</w:t>
      </w:r>
    </w:p>
    <w:p w14:paraId="313BD138" w14:textId="4A38ED38" w:rsidR="0016513A" w:rsidRDefault="00681244" w:rsidP="00207FE0">
      <w:pPr>
        <w:pStyle w:val="NumberedParagraphs"/>
      </w:pPr>
      <w:r>
        <w:t>P</w:t>
      </w:r>
      <w:r w:rsidR="0016513A">
        <w:t xml:space="preserve">roviding a clear description of the documents on the disclosure, including relevant search terms, will enable members of the public to more easily find documents of interest. </w:t>
      </w:r>
    </w:p>
    <w:p w14:paraId="01DCE1E8" w14:textId="2B573E5C" w:rsidR="004F5F01" w:rsidRDefault="004F5F01" w:rsidP="00207FE0">
      <w:pPr>
        <w:pStyle w:val="NumberedParagraphs"/>
      </w:pPr>
      <w:r>
        <w:t xml:space="preserve">Adhering to the </w:t>
      </w:r>
      <w:r w:rsidR="00311D71">
        <w:t xml:space="preserve">maximum </w:t>
      </w:r>
      <w:r>
        <w:t>10 working day timeframe to publish</w:t>
      </w:r>
      <w:r w:rsidR="0016513A">
        <w:t xml:space="preserve"> documents after </w:t>
      </w:r>
      <w:r w:rsidR="00681244">
        <w:t>they are released to the FOI applicant en</w:t>
      </w:r>
      <w:r>
        <w:t xml:space="preserve">sures that information published on the disclosure log is current and readily accessible. </w:t>
      </w:r>
    </w:p>
    <w:p w14:paraId="717844FB" w14:textId="13B79001" w:rsidR="004F5F01" w:rsidRDefault="002C0918" w:rsidP="00357AF4">
      <w:pPr>
        <w:pStyle w:val="Heading4"/>
      </w:pPr>
      <w:r>
        <w:t>Legal b</w:t>
      </w:r>
      <w:r w:rsidR="004F5F01">
        <w:t>ackground</w:t>
      </w:r>
      <w:r>
        <w:t xml:space="preserve"> and legislative intent</w:t>
      </w:r>
    </w:p>
    <w:p w14:paraId="1A37FA13" w14:textId="00724C60" w:rsidR="00974F7E" w:rsidRPr="00974F7E" w:rsidRDefault="00974F7E" w:rsidP="00207FE0">
      <w:pPr>
        <w:pStyle w:val="NumberedParagraphs"/>
      </w:pPr>
      <w:r w:rsidRPr="00974F7E">
        <w:t>Agencies and ministers must publish information that has been released in response to e</w:t>
      </w:r>
      <w:r w:rsidR="007A68D6">
        <w:t>very</w:t>
      </w:r>
      <w:r w:rsidRPr="00974F7E">
        <w:t xml:space="preserve"> FOI request, subject to certain exceptions (s 11C). This publication is known as a ‘disclosure log’.</w:t>
      </w:r>
    </w:p>
    <w:p w14:paraId="1C142A4D" w14:textId="01E06451" w:rsidR="0020075E" w:rsidRDefault="00974F7E" w:rsidP="0020075E">
      <w:pPr>
        <w:pStyle w:val="NumberedParagraphs"/>
      </w:pPr>
      <w:r w:rsidRPr="00974F7E">
        <w:t xml:space="preserve">The requirement to publish a disclosure log complements the Information Publication Scheme (IPS) (see </w:t>
      </w:r>
      <w:hyperlink r:id="rId9" w:history="1">
        <w:r w:rsidRPr="008900BA">
          <w:rPr>
            <w:rStyle w:val="Hyperlink"/>
          </w:rPr>
          <w:t>Part 13</w:t>
        </w:r>
      </w:hyperlink>
      <w:r w:rsidRPr="00974F7E">
        <w:t xml:space="preserve"> of these Guidelines). Together these require agencies and, for the disclosure log, ministers, to publish a range of government information.</w:t>
      </w:r>
    </w:p>
    <w:p w14:paraId="2E47FE53" w14:textId="382F0C41" w:rsidR="00974F7E" w:rsidRPr="00974F7E" w:rsidRDefault="00974F7E" w:rsidP="00207FE0">
      <w:pPr>
        <w:pStyle w:val="NumberedParagraphs"/>
      </w:pPr>
      <w:r w:rsidRPr="00974F7E">
        <w:t xml:space="preserve">The disclosure log facilitates publication of information released </w:t>
      </w:r>
      <w:r w:rsidR="002342F1">
        <w:t xml:space="preserve">to individuals in response to </w:t>
      </w:r>
      <w:r w:rsidRPr="00974F7E">
        <w:t xml:space="preserve">FOI </w:t>
      </w:r>
      <w:r w:rsidR="002342F1">
        <w:t>requests</w:t>
      </w:r>
      <w:r w:rsidR="001F79E1">
        <w:t>,</w:t>
      </w:r>
      <w:r w:rsidR="00FA445D">
        <w:t xml:space="preserve"> to the public</w:t>
      </w:r>
      <w:r w:rsidR="008900BA">
        <w:t xml:space="preserve"> generally</w:t>
      </w:r>
      <w:r w:rsidRPr="00974F7E">
        <w:t>. This reinforces the object</w:t>
      </w:r>
      <w:r w:rsidR="00DD420C">
        <w:t>s</w:t>
      </w:r>
      <w:r w:rsidRPr="00974F7E">
        <w:t xml:space="preserve"> of the FOI Act </w:t>
      </w:r>
      <w:r w:rsidR="001F79E1">
        <w:t>that</w:t>
      </w:r>
      <w:r w:rsidRPr="00974F7E">
        <w:t xml:space="preserve"> </w:t>
      </w:r>
      <w:r w:rsidR="008B2503">
        <w:t xml:space="preserve">promote </w:t>
      </w:r>
      <w:r w:rsidR="001F79E1">
        <w:t>proactive publication of information</w:t>
      </w:r>
      <w:r w:rsidR="008B2503">
        <w:t xml:space="preserve"> </w:t>
      </w:r>
      <w:r w:rsidR="001F79E1">
        <w:t>(s</w:t>
      </w:r>
      <w:r w:rsidR="000B7CDA">
        <w:t> </w:t>
      </w:r>
      <w:r w:rsidR="001F79E1">
        <w:t xml:space="preserve">3(1)(a)) </w:t>
      </w:r>
      <w:r w:rsidR="008B2503">
        <w:t xml:space="preserve">and </w:t>
      </w:r>
      <w:r w:rsidR="00DB4BCC">
        <w:t>in</w:t>
      </w:r>
      <w:r w:rsidR="008B2503">
        <w:t xml:space="preserve"> recognition that information </w:t>
      </w:r>
      <w:r w:rsidRPr="00974F7E">
        <w:t>held by government is a national resource (s 3(3)).</w:t>
      </w:r>
    </w:p>
    <w:p w14:paraId="0E2D8DEF" w14:textId="48C95142" w:rsidR="008B2503" w:rsidRPr="00A822BD" w:rsidRDefault="008B2503" w:rsidP="00071216">
      <w:pPr>
        <w:pStyle w:val="NumberedParagraphs"/>
      </w:pPr>
      <w:r w:rsidRPr="00A822BD">
        <w:t xml:space="preserve">In </w:t>
      </w:r>
      <w:r>
        <w:t>publishing information released in response to FOI request</w:t>
      </w:r>
      <w:r w:rsidR="007A68D6">
        <w:t>s</w:t>
      </w:r>
      <w:r w:rsidRPr="00A822BD">
        <w:t>, agenc</w:t>
      </w:r>
      <w:r w:rsidR="007A68D6">
        <w:t xml:space="preserve">ies and </w:t>
      </w:r>
      <w:r w:rsidRPr="00A822BD">
        <w:t>minister</w:t>
      </w:r>
      <w:r w:rsidR="00C63441">
        <w:t>s</w:t>
      </w:r>
      <w:r w:rsidRPr="00A822BD">
        <w:t xml:space="preserve"> should take account of the ‘lowest</w:t>
      </w:r>
      <w:r w:rsidRPr="00DA6151">
        <w:rPr>
          <w:w w:val="99"/>
        </w:rPr>
        <w:t xml:space="preserve"> </w:t>
      </w:r>
      <w:r w:rsidRPr="00A822BD">
        <w:t>reasonable cost’ object</w:t>
      </w:r>
      <w:r w:rsidR="00DD420C">
        <w:t xml:space="preserve"> in </w:t>
      </w:r>
      <w:r w:rsidRPr="00A822BD">
        <w:t>s</w:t>
      </w:r>
      <w:r w:rsidR="00DD420C">
        <w:t> </w:t>
      </w:r>
      <w:r w:rsidRPr="00A822BD">
        <w:t>3(4)</w:t>
      </w:r>
      <w:r w:rsidR="00223F4B">
        <w:t xml:space="preserve"> of the FOI Act</w:t>
      </w:r>
      <w:r w:rsidRPr="00A822BD">
        <w:t>:</w:t>
      </w:r>
    </w:p>
    <w:p w14:paraId="04AAB942" w14:textId="77777777" w:rsidR="008B2503" w:rsidRPr="00D41F6B" w:rsidRDefault="008B2503" w:rsidP="00357AF4">
      <w:pPr>
        <w:spacing w:before="119"/>
        <w:ind w:left="993"/>
        <w:rPr>
          <w:rFonts w:eastAsia="Calibri" w:cs="Calibri"/>
          <w:szCs w:val="24"/>
        </w:rPr>
      </w:pPr>
      <w:r>
        <w:rPr>
          <w:rFonts w:eastAsia="Calibri" w:cs="Calibri"/>
          <w:spacing w:val="-1"/>
          <w:szCs w:val="24"/>
        </w:rPr>
        <w:t xml:space="preserve">… </w:t>
      </w:r>
      <w:r w:rsidRPr="00A822BD">
        <w:rPr>
          <w:rFonts w:eastAsia="Calibri" w:cs="Calibri"/>
          <w:spacing w:val="-1"/>
          <w:szCs w:val="24"/>
        </w:rPr>
        <w:t>functions</w:t>
      </w:r>
      <w:r w:rsidRPr="00A822BD">
        <w:rPr>
          <w:rFonts w:eastAsia="Calibri" w:cs="Calibri"/>
          <w:szCs w:val="24"/>
        </w:rPr>
        <w:t xml:space="preserve"> </w:t>
      </w:r>
      <w:r w:rsidRPr="00A822BD">
        <w:rPr>
          <w:rFonts w:eastAsia="Calibri" w:cs="Calibri"/>
          <w:spacing w:val="-1"/>
          <w:szCs w:val="24"/>
        </w:rPr>
        <w:t>and powers</w:t>
      </w:r>
      <w:r w:rsidRPr="00A822BD">
        <w:rPr>
          <w:rFonts w:eastAsia="Calibri" w:cs="Calibri"/>
          <w:szCs w:val="24"/>
        </w:rPr>
        <w:t xml:space="preserve"> </w:t>
      </w:r>
      <w:r w:rsidRPr="00A822BD">
        <w:rPr>
          <w:rFonts w:eastAsia="Calibri" w:cs="Calibri"/>
          <w:spacing w:val="-1"/>
          <w:szCs w:val="24"/>
        </w:rPr>
        <w:t>given by</w:t>
      </w:r>
      <w:r w:rsidRPr="00A822BD">
        <w:rPr>
          <w:rFonts w:eastAsia="Calibri" w:cs="Calibri"/>
          <w:spacing w:val="1"/>
          <w:szCs w:val="24"/>
        </w:rPr>
        <w:t xml:space="preserve"> </w:t>
      </w:r>
      <w:r w:rsidRPr="00A822BD">
        <w:rPr>
          <w:rFonts w:eastAsia="Calibri" w:cs="Calibri"/>
          <w:spacing w:val="-1"/>
          <w:szCs w:val="24"/>
        </w:rPr>
        <w:t>this</w:t>
      </w:r>
      <w:r w:rsidRPr="00A822BD">
        <w:rPr>
          <w:rFonts w:eastAsia="Calibri" w:cs="Calibri"/>
          <w:spacing w:val="-2"/>
          <w:szCs w:val="24"/>
        </w:rPr>
        <w:t xml:space="preserve"> </w:t>
      </w:r>
      <w:r w:rsidRPr="00A822BD">
        <w:rPr>
          <w:rFonts w:eastAsia="Calibri" w:cs="Calibri"/>
          <w:spacing w:val="-1"/>
          <w:szCs w:val="24"/>
        </w:rPr>
        <w:t>Act</w:t>
      </w:r>
      <w:r w:rsidRPr="00A822BD">
        <w:rPr>
          <w:rFonts w:eastAsia="Calibri" w:cs="Calibri"/>
          <w:spacing w:val="1"/>
          <w:szCs w:val="24"/>
        </w:rPr>
        <w:t xml:space="preserve"> </w:t>
      </w:r>
      <w:r w:rsidRPr="00A822BD">
        <w:rPr>
          <w:rFonts w:eastAsia="Calibri" w:cs="Calibri"/>
          <w:spacing w:val="-2"/>
          <w:szCs w:val="24"/>
        </w:rPr>
        <w:t>are</w:t>
      </w:r>
      <w:r w:rsidRPr="00A822BD">
        <w:rPr>
          <w:rFonts w:eastAsia="Calibri" w:cs="Calibri"/>
          <w:spacing w:val="1"/>
          <w:szCs w:val="24"/>
        </w:rPr>
        <w:t xml:space="preserve"> </w:t>
      </w:r>
      <w:r w:rsidRPr="00A822BD">
        <w:rPr>
          <w:rFonts w:eastAsia="Calibri" w:cs="Calibri"/>
          <w:spacing w:val="-1"/>
          <w:szCs w:val="24"/>
        </w:rPr>
        <w:t>to</w:t>
      </w:r>
      <w:r w:rsidRPr="00A822BD">
        <w:rPr>
          <w:rFonts w:eastAsia="Calibri" w:cs="Calibri"/>
          <w:spacing w:val="1"/>
          <w:szCs w:val="24"/>
        </w:rPr>
        <w:t xml:space="preserve"> </w:t>
      </w:r>
      <w:r w:rsidRPr="00A822BD">
        <w:rPr>
          <w:rFonts w:eastAsia="Calibri" w:cs="Calibri"/>
          <w:spacing w:val="-2"/>
          <w:szCs w:val="24"/>
        </w:rPr>
        <w:t>be</w:t>
      </w:r>
      <w:r w:rsidRPr="00A822BD">
        <w:rPr>
          <w:rFonts w:eastAsia="Calibri" w:cs="Calibri"/>
          <w:spacing w:val="1"/>
          <w:szCs w:val="24"/>
        </w:rPr>
        <w:t xml:space="preserve"> </w:t>
      </w:r>
      <w:r w:rsidRPr="00A822BD">
        <w:rPr>
          <w:rFonts w:eastAsia="Calibri" w:cs="Calibri"/>
          <w:spacing w:val="-1"/>
          <w:szCs w:val="24"/>
        </w:rPr>
        <w:t>performed and exercised,</w:t>
      </w:r>
      <w:r w:rsidRPr="00A822BD">
        <w:rPr>
          <w:rFonts w:eastAsia="Calibri" w:cs="Calibri"/>
          <w:szCs w:val="24"/>
        </w:rPr>
        <w:t xml:space="preserve"> </w:t>
      </w:r>
      <w:r w:rsidRPr="00A822BD">
        <w:rPr>
          <w:rFonts w:eastAsia="Calibri" w:cs="Calibri"/>
          <w:spacing w:val="-1"/>
          <w:szCs w:val="24"/>
        </w:rPr>
        <w:t>as</w:t>
      </w:r>
      <w:r w:rsidRPr="00A822BD">
        <w:rPr>
          <w:rFonts w:eastAsia="Calibri" w:cs="Calibri"/>
          <w:spacing w:val="-2"/>
          <w:szCs w:val="24"/>
        </w:rPr>
        <w:t xml:space="preserve"> far</w:t>
      </w:r>
      <w:r w:rsidRPr="00A822BD">
        <w:rPr>
          <w:rFonts w:eastAsia="Calibri" w:cs="Calibri"/>
          <w:szCs w:val="24"/>
        </w:rPr>
        <w:t xml:space="preserve"> </w:t>
      </w:r>
      <w:r w:rsidRPr="00A822BD">
        <w:rPr>
          <w:rFonts w:eastAsia="Calibri" w:cs="Calibri"/>
          <w:spacing w:val="-1"/>
          <w:szCs w:val="24"/>
        </w:rPr>
        <w:t>as</w:t>
      </w:r>
      <w:r w:rsidRPr="00A822BD">
        <w:rPr>
          <w:rFonts w:eastAsia="Calibri" w:cs="Calibri"/>
          <w:spacing w:val="40"/>
          <w:szCs w:val="24"/>
        </w:rPr>
        <w:t xml:space="preserve"> </w:t>
      </w:r>
      <w:r w:rsidRPr="00A822BD">
        <w:rPr>
          <w:rFonts w:eastAsia="Calibri" w:cs="Calibri"/>
          <w:spacing w:val="-1"/>
          <w:szCs w:val="24"/>
        </w:rPr>
        <w:t>possible,</w:t>
      </w:r>
      <w:r w:rsidRPr="00A822BD">
        <w:rPr>
          <w:rFonts w:eastAsia="Calibri" w:cs="Calibri"/>
          <w:spacing w:val="-2"/>
          <w:szCs w:val="24"/>
        </w:rPr>
        <w:t xml:space="preserve"> </w:t>
      </w:r>
      <w:r w:rsidRPr="00A822BD">
        <w:rPr>
          <w:rFonts w:eastAsia="Calibri" w:cs="Calibri"/>
          <w:szCs w:val="24"/>
        </w:rPr>
        <w:t>to</w:t>
      </w:r>
      <w:r w:rsidRPr="00A822BD">
        <w:rPr>
          <w:rFonts w:eastAsia="Calibri" w:cs="Calibri"/>
          <w:spacing w:val="-1"/>
          <w:szCs w:val="24"/>
        </w:rPr>
        <w:t xml:space="preserve"> facilitate</w:t>
      </w:r>
      <w:r w:rsidRPr="00A822BD">
        <w:rPr>
          <w:rFonts w:eastAsia="Calibri" w:cs="Calibri"/>
          <w:spacing w:val="1"/>
          <w:szCs w:val="24"/>
        </w:rPr>
        <w:t xml:space="preserve"> </w:t>
      </w:r>
      <w:r w:rsidRPr="00A822BD">
        <w:rPr>
          <w:rFonts w:eastAsia="Calibri" w:cs="Calibri"/>
          <w:spacing w:val="-1"/>
          <w:szCs w:val="24"/>
        </w:rPr>
        <w:t>and promote</w:t>
      </w:r>
      <w:r w:rsidRPr="00A822BD">
        <w:rPr>
          <w:rFonts w:eastAsia="Calibri" w:cs="Calibri"/>
          <w:spacing w:val="1"/>
          <w:szCs w:val="24"/>
        </w:rPr>
        <w:t xml:space="preserve"> </w:t>
      </w:r>
      <w:r w:rsidRPr="00A822BD">
        <w:rPr>
          <w:rFonts w:eastAsia="Calibri" w:cs="Calibri"/>
          <w:spacing w:val="-1"/>
          <w:szCs w:val="24"/>
        </w:rPr>
        <w:t>public</w:t>
      </w:r>
      <w:r w:rsidRPr="00A822BD">
        <w:rPr>
          <w:rFonts w:eastAsia="Calibri" w:cs="Calibri"/>
          <w:szCs w:val="24"/>
        </w:rPr>
        <w:t xml:space="preserve"> </w:t>
      </w:r>
      <w:r w:rsidRPr="00A822BD">
        <w:rPr>
          <w:rFonts w:eastAsia="Calibri" w:cs="Calibri"/>
          <w:spacing w:val="-1"/>
          <w:szCs w:val="24"/>
        </w:rPr>
        <w:t>access</w:t>
      </w:r>
      <w:r w:rsidRPr="00A822BD">
        <w:rPr>
          <w:rFonts w:eastAsia="Calibri" w:cs="Calibri"/>
          <w:spacing w:val="-2"/>
          <w:szCs w:val="24"/>
        </w:rPr>
        <w:t xml:space="preserve"> </w:t>
      </w:r>
      <w:r w:rsidRPr="00A822BD">
        <w:rPr>
          <w:rFonts w:eastAsia="Calibri" w:cs="Calibri"/>
          <w:szCs w:val="24"/>
        </w:rPr>
        <w:t>to</w:t>
      </w:r>
      <w:r w:rsidRPr="00A822BD">
        <w:rPr>
          <w:rFonts w:eastAsia="Calibri" w:cs="Calibri"/>
          <w:spacing w:val="-1"/>
          <w:szCs w:val="24"/>
        </w:rPr>
        <w:t xml:space="preserve"> information,</w:t>
      </w:r>
      <w:r w:rsidRPr="00A822BD">
        <w:rPr>
          <w:rFonts w:eastAsia="Calibri" w:cs="Calibri"/>
          <w:spacing w:val="-2"/>
          <w:szCs w:val="24"/>
        </w:rPr>
        <w:t xml:space="preserve"> </w:t>
      </w:r>
      <w:r w:rsidRPr="00A822BD">
        <w:rPr>
          <w:rFonts w:eastAsia="Calibri" w:cs="Calibri"/>
          <w:spacing w:val="-1"/>
          <w:szCs w:val="24"/>
        </w:rPr>
        <w:t>promptly</w:t>
      </w:r>
      <w:r w:rsidRPr="00A822BD">
        <w:rPr>
          <w:rFonts w:eastAsia="Calibri" w:cs="Calibri"/>
          <w:spacing w:val="1"/>
          <w:szCs w:val="24"/>
        </w:rPr>
        <w:t xml:space="preserve"> </w:t>
      </w:r>
      <w:r w:rsidRPr="00A822BD">
        <w:rPr>
          <w:rFonts w:eastAsia="Calibri" w:cs="Calibri"/>
          <w:spacing w:val="-1"/>
          <w:szCs w:val="24"/>
        </w:rPr>
        <w:t>and at</w:t>
      </w:r>
      <w:r w:rsidRPr="00A822BD">
        <w:rPr>
          <w:rFonts w:eastAsia="Calibri" w:cs="Calibri"/>
          <w:spacing w:val="-4"/>
          <w:szCs w:val="24"/>
        </w:rPr>
        <w:t xml:space="preserve"> </w:t>
      </w:r>
      <w:r w:rsidRPr="00A822BD">
        <w:rPr>
          <w:rFonts w:eastAsia="Calibri" w:cs="Calibri"/>
          <w:spacing w:val="-1"/>
          <w:szCs w:val="24"/>
        </w:rPr>
        <w:t>the</w:t>
      </w:r>
      <w:r w:rsidRPr="00A822BD">
        <w:rPr>
          <w:rFonts w:eastAsia="Calibri" w:cs="Calibri"/>
          <w:spacing w:val="1"/>
          <w:szCs w:val="24"/>
        </w:rPr>
        <w:t xml:space="preserve"> </w:t>
      </w:r>
      <w:r w:rsidRPr="00A822BD">
        <w:rPr>
          <w:rFonts w:eastAsia="Calibri" w:cs="Calibri"/>
          <w:spacing w:val="-1"/>
          <w:szCs w:val="24"/>
        </w:rPr>
        <w:t>lowest</w:t>
      </w:r>
      <w:r w:rsidRPr="00A822BD">
        <w:rPr>
          <w:rFonts w:eastAsia="Calibri" w:cs="Calibri"/>
          <w:spacing w:val="35"/>
          <w:szCs w:val="24"/>
        </w:rPr>
        <w:t xml:space="preserve"> </w:t>
      </w:r>
      <w:r w:rsidRPr="00A822BD">
        <w:rPr>
          <w:rFonts w:eastAsia="Calibri" w:cs="Calibri"/>
          <w:spacing w:val="-1"/>
          <w:szCs w:val="24"/>
        </w:rPr>
        <w:t>reasonable</w:t>
      </w:r>
      <w:r w:rsidRPr="00A822BD">
        <w:rPr>
          <w:rFonts w:eastAsia="Calibri" w:cs="Calibri"/>
          <w:spacing w:val="-3"/>
          <w:szCs w:val="24"/>
        </w:rPr>
        <w:t xml:space="preserve"> </w:t>
      </w:r>
      <w:r w:rsidRPr="00A822BD">
        <w:rPr>
          <w:rFonts w:eastAsia="Calibri" w:cs="Calibri"/>
          <w:szCs w:val="24"/>
        </w:rPr>
        <w:t>cost.</w:t>
      </w:r>
    </w:p>
    <w:p w14:paraId="345F1CDC" w14:textId="390251EE" w:rsidR="008B2503" w:rsidRPr="005D2CDA" w:rsidRDefault="008B2503" w:rsidP="00357AF4">
      <w:pPr>
        <w:pStyle w:val="NumberedParagraphs"/>
      </w:pPr>
      <w:r>
        <w:t xml:space="preserve">Agencies and ministers should </w:t>
      </w:r>
      <w:r w:rsidRPr="00A822BD">
        <w:t xml:space="preserve">interpret the ‘lowest reasonable cost’ object broadly in </w:t>
      </w:r>
      <w:r>
        <w:t>publishing government information under s 11C</w:t>
      </w:r>
      <w:r w:rsidRPr="00A822BD">
        <w:t xml:space="preserve">. That is, an agency or minister should have regard to the lowest reasonable cost to </w:t>
      </w:r>
      <w:r>
        <w:t xml:space="preserve">potential </w:t>
      </w:r>
      <w:r w:rsidR="007A68D6">
        <w:t xml:space="preserve">FOI </w:t>
      </w:r>
      <w:r>
        <w:t>applicants, the public in general, to the agency or minister, and the Australian Government as a whole.</w:t>
      </w:r>
    </w:p>
    <w:p w14:paraId="4B03A4C0" w14:textId="49C84951" w:rsidR="007602F0" w:rsidRDefault="00426CBB" w:rsidP="00071216">
      <w:pPr>
        <w:pStyle w:val="NumberedParagraphs"/>
      </w:pPr>
      <w:r>
        <w:lastRenderedPageBreak/>
        <w:t>C</w:t>
      </w:r>
      <w:r w:rsidR="00FC1B35">
        <w:t xml:space="preserve">onsistent with better practice, </w:t>
      </w:r>
      <w:r w:rsidR="00527DD6">
        <w:t xml:space="preserve">agencies </w:t>
      </w:r>
      <w:r w:rsidR="00FC1B35">
        <w:t xml:space="preserve">and ministers should seek to make all </w:t>
      </w:r>
      <w:r w:rsidR="006E6B6C" w:rsidRPr="0074554C">
        <w:t>documents</w:t>
      </w:r>
      <w:r w:rsidR="00FC1B35">
        <w:t xml:space="preserve"> released in response to FOI requests</w:t>
      </w:r>
      <w:r w:rsidR="006E6B6C" w:rsidRPr="0074554C">
        <w:t xml:space="preserve"> available for download</w:t>
      </w:r>
      <w:r w:rsidR="006E6B6C">
        <w:t xml:space="preserve"> from </w:t>
      </w:r>
      <w:r w:rsidR="00214D10">
        <w:t xml:space="preserve">the disclosure log or another </w:t>
      </w:r>
      <w:r w:rsidR="006E6B6C">
        <w:t xml:space="preserve">website (s 11C(3)(a) or (b)) </w:t>
      </w:r>
      <w:r w:rsidR="00FC1B35">
        <w:t xml:space="preserve">subject to applicable exceptions, </w:t>
      </w:r>
      <w:r w:rsidR="006E6B6C">
        <w:t xml:space="preserve">unless </w:t>
      </w:r>
      <w:r w:rsidR="007602F0">
        <w:rPr>
          <w:rFonts w:ascii="Source Sans Pro" w:eastAsia="Times New Roman" w:hAnsi="Source Sans Pro" w:cstheme="minorHAnsi"/>
          <w:szCs w:val="22"/>
          <w:lang w:eastAsia="en-AU"/>
        </w:rPr>
        <w:t>i</w:t>
      </w:r>
      <w:r w:rsidR="007602F0" w:rsidRPr="00395EC7">
        <w:rPr>
          <w:rFonts w:ascii="Source Sans Pro" w:eastAsia="Times New Roman" w:hAnsi="Source Sans Pro" w:cstheme="minorHAnsi"/>
          <w:szCs w:val="22"/>
          <w:lang w:eastAsia="en-AU"/>
        </w:rPr>
        <w:t xml:space="preserve">t is not </w:t>
      </w:r>
      <w:r w:rsidR="007602F0">
        <w:rPr>
          <w:rFonts w:ascii="Source Sans Pro" w:eastAsia="Times New Roman" w:hAnsi="Source Sans Pro" w:cstheme="minorHAnsi"/>
          <w:szCs w:val="22"/>
          <w:lang w:eastAsia="en-AU"/>
        </w:rPr>
        <w:t>possible</w:t>
      </w:r>
      <w:r w:rsidR="007602F0" w:rsidRPr="00395EC7">
        <w:rPr>
          <w:rFonts w:ascii="Source Sans Pro" w:eastAsia="Times New Roman" w:hAnsi="Source Sans Pro" w:cstheme="minorHAnsi"/>
          <w:szCs w:val="22"/>
          <w:lang w:eastAsia="en-AU"/>
        </w:rPr>
        <w:t xml:space="preserve"> to upload documents due to</w:t>
      </w:r>
      <w:r w:rsidR="00DB4BCC">
        <w:rPr>
          <w:rFonts w:ascii="Source Sans Pro" w:eastAsia="Times New Roman" w:hAnsi="Source Sans Pro" w:cstheme="minorHAnsi"/>
          <w:szCs w:val="22"/>
          <w:lang w:eastAsia="en-AU"/>
        </w:rPr>
        <w:t xml:space="preserve"> a technical impediment, such as</w:t>
      </w:r>
      <w:r w:rsidR="007602F0" w:rsidRPr="00395EC7">
        <w:rPr>
          <w:rFonts w:ascii="Source Sans Pro" w:eastAsia="Times New Roman" w:hAnsi="Source Sans Pro" w:cstheme="minorHAnsi"/>
          <w:szCs w:val="22"/>
          <w:lang w:eastAsia="en-AU"/>
        </w:rPr>
        <w:t xml:space="preserve"> file size</w:t>
      </w:r>
      <w:r w:rsidR="007602F0">
        <w:rPr>
          <w:rFonts w:ascii="Source Sans Pro" w:eastAsia="Times New Roman" w:hAnsi="Source Sans Pro" w:cstheme="minorHAnsi"/>
          <w:szCs w:val="22"/>
          <w:lang w:eastAsia="en-AU"/>
        </w:rPr>
        <w:t>,</w:t>
      </w:r>
      <w:r w:rsidR="007602F0" w:rsidRPr="00395EC7">
        <w:rPr>
          <w:rFonts w:ascii="Source Sans Pro" w:eastAsia="Times New Roman" w:hAnsi="Source Sans Pro" w:cstheme="minorHAnsi"/>
          <w:szCs w:val="22"/>
          <w:lang w:eastAsia="en-AU"/>
        </w:rPr>
        <w:t xml:space="preserve"> the requirement </w:t>
      </w:r>
      <w:r w:rsidR="007602F0">
        <w:rPr>
          <w:rFonts w:ascii="Source Sans Pro" w:eastAsia="Times New Roman" w:hAnsi="Source Sans Pro" w:cstheme="minorHAnsi"/>
          <w:szCs w:val="22"/>
          <w:lang w:eastAsia="en-AU"/>
        </w:rPr>
        <w:t>for</w:t>
      </w:r>
      <w:r w:rsidR="007602F0" w:rsidRPr="00395EC7">
        <w:rPr>
          <w:rFonts w:ascii="Source Sans Pro" w:eastAsia="Times New Roman" w:hAnsi="Source Sans Pro" w:cstheme="minorHAnsi"/>
          <w:szCs w:val="22"/>
          <w:lang w:eastAsia="en-AU"/>
        </w:rPr>
        <w:t xml:space="preserve"> specialist software to view the </w:t>
      </w:r>
      <w:r w:rsidR="007602F0">
        <w:rPr>
          <w:rFonts w:ascii="Source Sans Pro" w:eastAsia="Times New Roman" w:hAnsi="Source Sans Pro" w:cstheme="minorHAnsi"/>
          <w:szCs w:val="22"/>
          <w:lang w:eastAsia="en-AU"/>
        </w:rPr>
        <w:t xml:space="preserve">information, or for any other reason of this nature. </w:t>
      </w:r>
      <w:r w:rsidR="008900BA">
        <w:rPr>
          <w:rFonts w:ascii="Source Sans Pro" w:eastAsia="Times New Roman" w:hAnsi="Source Sans Pro" w:cstheme="minorHAnsi"/>
          <w:szCs w:val="22"/>
          <w:lang w:eastAsia="en-AU"/>
        </w:rPr>
        <w:t>Where it is not possible to upload documents, it is better practice for agencies and ministers to state, on their disclosure log</w:t>
      </w:r>
      <w:r w:rsidR="00727D2C">
        <w:rPr>
          <w:rFonts w:ascii="Source Sans Pro" w:eastAsia="Times New Roman" w:hAnsi="Source Sans Pro" w:cstheme="minorHAnsi"/>
          <w:szCs w:val="22"/>
          <w:lang w:eastAsia="en-AU"/>
        </w:rPr>
        <w:t xml:space="preserve">, </w:t>
      </w:r>
      <w:r w:rsidR="00727D2C" w:rsidRPr="005D2CDA">
        <w:t>details of how the information may be obtained</w:t>
      </w:r>
      <w:r w:rsidR="008900BA">
        <w:rPr>
          <w:rFonts w:ascii="Source Sans Pro" w:eastAsia="Times New Roman" w:hAnsi="Source Sans Pro" w:cstheme="minorHAnsi"/>
          <w:szCs w:val="22"/>
          <w:lang w:eastAsia="en-AU"/>
        </w:rPr>
        <w:t xml:space="preserve">, the reason why the relevant document(s) could not be published. </w:t>
      </w:r>
      <w:r w:rsidR="007602F0">
        <w:rPr>
          <w:rFonts w:ascii="Source Sans Pro" w:eastAsia="Times New Roman" w:hAnsi="Source Sans Pro" w:cstheme="minorHAnsi"/>
          <w:szCs w:val="22"/>
          <w:lang w:eastAsia="en-AU"/>
        </w:rPr>
        <w:t>This approach is consistent with the objects of the FOI Act.</w:t>
      </w:r>
    </w:p>
    <w:p w14:paraId="7AEBBA13" w14:textId="44166103" w:rsidR="008B2503" w:rsidRPr="00AD2E36" w:rsidRDefault="008B2503" w:rsidP="00071216">
      <w:pPr>
        <w:pStyle w:val="NumberedParagraphs"/>
      </w:pPr>
      <w:r w:rsidRPr="00AD2E36">
        <w:t>The Information Commissioner has powers to investigate agency compliance with disclosure log obligations, either in response to a complaint made under s 70 of the FOI Act, or on the Information Commissioner’s own initiative (s 69(2)) (see [</w:t>
      </w:r>
      <w:r w:rsidRPr="0047122D">
        <w:t>14.</w:t>
      </w:r>
      <w:r w:rsidR="00CF058C">
        <w:t>80</w:t>
      </w:r>
      <w:r w:rsidRPr="0047122D">
        <w:t>]–[14.</w:t>
      </w:r>
      <w:r w:rsidR="00CF058C">
        <w:t>84</w:t>
      </w:r>
      <w:r w:rsidRPr="0047122D">
        <w:t>]</w:t>
      </w:r>
      <w:r w:rsidRPr="00AD2E36">
        <w:t xml:space="preserve"> below). Following an investigation, the Information Commissioner will inform the agency of the investigation findings and any recommendations to be implemented by the agency. The Information Commissioner can take further steps if not satisfied the agency has taken adequate and appropriate steps to implement any recommendations made (ss 89, 89A and 89B). </w:t>
      </w:r>
    </w:p>
    <w:p w14:paraId="325EDF4B" w14:textId="6F08F0BE" w:rsidR="00974F7E" w:rsidRPr="00974F7E" w:rsidRDefault="00974F7E" w:rsidP="00357AF4">
      <w:pPr>
        <w:pStyle w:val="Heading2"/>
        <w:spacing w:before="240"/>
      </w:pPr>
      <w:bookmarkStart w:id="5" w:name="_Toc286753905"/>
      <w:bookmarkStart w:id="6" w:name="_Toc346725822"/>
      <w:bookmarkStart w:id="7" w:name="_Toc237248261"/>
      <w:r w:rsidRPr="00974F7E">
        <w:t xml:space="preserve">Nature and content of </w:t>
      </w:r>
      <w:r w:rsidR="00A042C7">
        <w:t xml:space="preserve">the </w:t>
      </w:r>
      <w:r w:rsidRPr="00974F7E">
        <w:t>disclosure log</w:t>
      </w:r>
      <w:bookmarkEnd w:id="5"/>
      <w:bookmarkEnd w:id="6"/>
      <w:bookmarkEnd w:id="7"/>
    </w:p>
    <w:p w14:paraId="5692E7C7" w14:textId="2CA0FDB4" w:rsidR="00875827" w:rsidRPr="00875A49" w:rsidRDefault="00875827" w:rsidP="009205C4">
      <w:pPr>
        <w:pStyle w:val="NumberedParagraphs"/>
        <w:rPr>
          <w:szCs w:val="22"/>
        </w:rPr>
      </w:pPr>
      <w:r>
        <w:t>To assist members of the public</w:t>
      </w:r>
      <w:r w:rsidR="00A26B9C">
        <w:t xml:space="preserve"> </w:t>
      </w:r>
      <w:r w:rsidR="00D03051">
        <w:t>access information published on a disclosure log</w:t>
      </w:r>
      <w:r>
        <w:t xml:space="preserve">, agencies </w:t>
      </w:r>
      <w:r w:rsidR="00D03051">
        <w:t xml:space="preserve">and ministers </w:t>
      </w:r>
      <w:r w:rsidR="006B3540">
        <w:t xml:space="preserve">should </w:t>
      </w:r>
      <w:r>
        <w:t xml:space="preserve">provide an </w:t>
      </w:r>
      <w:r w:rsidRPr="00E42111">
        <w:t>introduction to their disclosure log which plainly and clearly explains its purpose and the agency’s obligations under s 11C of the FOI Act, as well as the exceptions to publication.</w:t>
      </w:r>
      <w:r w:rsidR="00875A49">
        <w:t xml:space="preserve"> </w:t>
      </w:r>
      <w:r w:rsidR="00BF656A">
        <w:t>It is important that th</w:t>
      </w:r>
      <w:r w:rsidR="00875A49">
        <w:t>e</w:t>
      </w:r>
      <w:r w:rsidR="00BF656A">
        <w:t xml:space="preserve"> introduction accurately reflect </w:t>
      </w:r>
      <w:r w:rsidR="00BF656A" w:rsidRPr="00875A49">
        <w:rPr>
          <w:szCs w:val="22"/>
        </w:rPr>
        <w:t xml:space="preserve">the agency’s disclosure log practices. </w:t>
      </w:r>
      <w:r w:rsidR="00875A49">
        <w:rPr>
          <w:szCs w:val="22"/>
        </w:rPr>
        <w:t xml:space="preserve">For example, if the introduction explains that documents will be removed from the disclosure log after one year, but the disclosure log </w:t>
      </w:r>
      <w:r w:rsidR="00E4583F">
        <w:rPr>
          <w:szCs w:val="22"/>
        </w:rPr>
        <w:t xml:space="preserve">retains </w:t>
      </w:r>
      <w:r w:rsidR="00875A49">
        <w:rPr>
          <w:szCs w:val="22"/>
        </w:rPr>
        <w:t xml:space="preserve">some documents </w:t>
      </w:r>
      <w:r w:rsidR="00E4583F">
        <w:rPr>
          <w:szCs w:val="22"/>
        </w:rPr>
        <w:t xml:space="preserve">for more than </w:t>
      </w:r>
      <w:r w:rsidR="00875A49">
        <w:rPr>
          <w:szCs w:val="22"/>
        </w:rPr>
        <w:t>5 years, it c</w:t>
      </w:r>
      <w:r w:rsidR="00BF656A" w:rsidRPr="00357AF4">
        <w:rPr>
          <w:rFonts w:cstheme="minorHAnsi"/>
          <w:szCs w:val="22"/>
        </w:rPr>
        <w:t xml:space="preserve">reates uncertainty </w:t>
      </w:r>
      <w:r w:rsidR="00875A49">
        <w:rPr>
          <w:rFonts w:cstheme="minorHAnsi"/>
          <w:szCs w:val="22"/>
        </w:rPr>
        <w:t>about the agency’s archiving practices</w:t>
      </w:r>
      <w:r w:rsidR="00B74F4C">
        <w:rPr>
          <w:rFonts w:cstheme="minorHAnsi"/>
          <w:szCs w:val="22"/>
        </w:rPr>
        <w:t xml:space="preserve"> and the accuracy of the disclosure log</w:t>
      </w:r>
      <w:r w:rsidR="00875A49">
        <w:rPr>
          <w:rFonts w:cstheme="minorHAnsi"/>
          <w:szCs w:val="22"/>
        </w:rPr>
        <w:t xml:space="preserve">. Where </w:t>
      </w:r>
      <w:r w:rsidR="00E4583F">
        <w:rPr>
          <w:rFonts w:cstheme="minorHAnsi"/>
          <w:szCs w:val="22"/>
        </w:rPr>
        <w:t xml:space="preserve">some </w:t>
      </w:r>
      <w:r w:rsidR="00875A49">
        <w:rPr>
          <w:rFonts w:cstheme="minorHAnsi"/>
          <w:szCs w:val="22"/>
        </w:rPr>
        <w:t>documents are to be retained because of an enduring public interest, this should be explained in the introduction</w:t>
      </w:r>
      <w:r w:rsidR="00E4583F">
        <w:rPr>
          <w:rFonts w:cstheme="minorHAnsi"/>
          <w:szCs w:val="22"/>
        </w:rPr>
        <w:t xml:space="preserve"> and in the text accompanying the disclosure log entry.</w:t>
      </w:r>
      <w:r w:rsidR="005C7A19">
        <w:rPr>
          <w:rFonts w:cstheme="minorHAnsi"/>
          <w:szCs w:val="22"/>
        </w:rPr>
        <w:t xml:space="preserve"> Specific guidance about retaining and archiving disclosure log information can be found at [14.9</w:t>
      </w:r>
      <w:r w:rsidR="00146AE6">
        <w:rPr>
          <w:rFonts w:cstheme="minorHAnsi"/>
          <w:szCs w:val="22"/>
        </w:rPr>
        <w:t>1</w:t>
      </w:r>
      <w:r w:rsidR="005C7A19">
        <w:rPr>
          <w:rFonts w:cstheme="minorHAnsi"/>
          <w:szCs w:val="22"/>
        </w:rPr>
        <w:t>]–[14.9</w:t>
      </w:r>
      <w:r w:rsidR="00CF058C">
        <w:rPr>
          <w:rFonts w:cstheme="minorHAnsi"/>
          <w:szCs w:val="22"/>
        </w:rPr>
        <w:t>4</w:t>
      </w:r>
      <w:r w:rsidR="005C7A19">
        <w:rPr>
          <w:rFonts w:cstheme="minorHAnsi"/>
          <w:szCs w:val="22"/>
        </w:rPr>
        <w:t>].</w:t>
      </w:r>
    </w:p>
    <w:p w14:paraId="4065EBA7" w14:textId="49A417E7" w:rsidR="0020075E" w:rsidRPr="00CD1A17" w:rsidRDefault="0020075E" w:rsidP="00E42111">
      <w:pPr>
        <w:pStyle w:val="NumberedParagraphs"/>
      </w:pPr>
      <w:r w:rsidRPr="00CD1A17">
        <w:t>A disclosure log lists information that has been released in response to FOI request</w:t>
      </w:r>
      <w:r w:rsidR="002B1E78" w:rsidRPr="00CD1A17">
        <w:t>s</w:t>
      </w:r>
      <w:r w:rsidRPr="00CD1A17">
        <w:t xml:space="preserve"> for documents held by the agency or minister (s 11C(1)). S</w:t>
      </w:r>
      <w:r w:rsidR="006B3540" w:rsidRPr="00CD1A17">
        <w:t>ubs</w:t>
      </w:r>
      <w:r w:rsidRPr="00CD1A17">
        <w:t xml:space="preserve">ection 11C(3) sets out </w:t>
      </w:r>
      <w:r w:rsidR="006B3540" w:rsidRPr="00CD1A17">
        <w:t>3</w:t>
      </w:r>
      <w:r w:rsidRPr="00CD1A17">
        <w:t xml:space="preserve"> ways information can be published on a disclosure log:</w:t>
      </w:r>
    </w:p>
    <w:p w14:paraId="210E2D14" w14:textId="01E07B01" w:rsidR="0020075E" w:rsidRPr="00CD1A17" w:rsidRDefault="0020075E" w:rsidP="00357AF4">
      <w:pPr>
        <w:numPr>
          <w:ilvl w:val="0"/>
          <w:numId w:val="43"/>
        </w:numPr>
        <w:tabs>
          <w:tab w:val="left" w:pos="567"/>
          <w:tab w:val="left" w:pos="993"/>
        </w:tabs>
        <w:spacing w:before="120"/>
        <w:ind w:left="993" w:hanging="426"/>
      </w:pPr>
      <w:r w:rsidRPr="00CD1A17">
        <w:t>making the information available for downloading from the agency</w:t>
      </w:r>
      <w:r w:rsidR="00E4583F">
        <w:t>’s</w:t>
      </w:r>
      <w:r w:rsidRPr="00CD1A17">
        <w:t xml:space="preserve"> or minister’s website</w:t>
      </w:r>
      <w:r w:rsidR="00003AAC" w:rsidRPr="00CD1A17">
        <w:t xml:space="preserve"> or</w:t>
      </w:r>
    </w:p>
    <w:p w14:paraId="7DD50080" w14:textId="2892F2EF" w:rsidR="00FB6677" w:rsidRPr="00CD1A17" w:rsidRDefault="0020075E" w:rsidP="002B1E78">
      <w:pPr>
        <w:numPr>
          <w:ilvl w:val="0"/>
          <w:numId w:val="43"/>
        </w:numPr>
        <w:tabs>
          <w:tab w:val="left" w:pos="567"/>
          <w:tab w:val="left" w:pos="993"/>
        </w:tabs>
        <w:spacing w:before="120"/>
        <w:ind w:left="1560" w:hanging="993"/>
      </w:pPr>
      <w:r w:rsidRPr="00CD1A17">
        <w:t>linking to another website where the information can be downloaded or</w:t>
      </w:r>
    </w:p>
    <w:p w14:paraId="2832E2B7" w14:textId="5E8D3459" w:rsidR="00974F7E" w:rsidRPr="00CD1A17" w:rsidRDefault="0020075E" w:rsidP="002B1E78">
      <w:pPr>
        <w:numPr>
          <w:ilvl w:val="0"/>
          <w:numId w:val="43"/>
        </w:numPr>
        <w:tabs>
          <w:tab w:val="left" w:pos="567"/>
          <w:tab w:val="left" w:pos="993"/>
        </w:tabs>
        <w:spacing w:before="120"/>
        <w:ind w:left="1559" w:hanging="993"/>
      </w:pPr>
      <w:r w:rsidRPr="00CD1A17">
        <w:t>giving details of how the information can be obtained</w:t>
      </w:r>
      <w:r w:rsidR="00003AAC" w:rsidRPr="00CD1A17">
        <w:t>.</w:t>
      </w:r>
    </w:p>
    <w:p w14:paraId="2C685D2E" w14:textId="78877592" w:rsidR="0020075E" w:rsidRDefault="0020075E" w:rsidP="0020075E">
      <w:pPr>
        <w:pStyle w:val="NumberedParagraphs"/>
      </w:pPr>
      <w:r w:rsidRPr="00507CCD">
        <w:t>As discussed above at [14.</w:t>
      </w:r>
      <w:r w:rsidR="00CF058C">
        <w:t>11</w:t>
      </w:r>
      <w:r w:rsidRPr="00507CCD">
        <w:t>],</w:t>
      </w:r>
      <w:r>
        <w:t xml:space="preserve"> </w:t>
      </w:r>
      <w:r w:rsidR="00515E5F">
        <w:t xml:space="preserve">publishing </w:t>
      </w:r>
      <w:r>
        <w:t>details of how information can be obtained (s 11C(3)(c)) should only be used if it is</w:t>
      </w:r>
      <w:r w:rsidRPr="0074554C">
        <w:t xml:space="preserve"> not </w:t>
      </w:r>
      <w:r w:rsidR="001F1321">
        <w:t xml:space="preserve">possible to </w:t>
      </w:r>
      <w:r w:rsidR="001F1321" w:rsidRPr="00395EC7">
        <w:rPr>
          <w:rFonts w:ascii="Source Sans Pro" w:eastAsia="Times New Roman" w:hAnsi="Source Sans Pro" w:cstheme="minorHAnsi"/>
          <w:szCs w:val="22"/>
          <w:lang w:eastAsia="en-AU"/>
        </w:rPr>
        <w:t>upload documents</w:t>
      </w:r>
      <w:r w:rsidR="001F1321">
        <w:rPr>
          <w:rFonts w:ascii="Source Sans Pro" w:eastAsia="Times New Roman" w:hAnsi="Source Sans Pro" w:cstheme="minorHAnsi"/>
          <w:szCs w:val="22"/>
          <w:lang w:eastAsia="en-AU"/>
        </w:rPr>
        <w:t xml:space="preserve"> to a website so they can be directly accessed by members of the public</w:t>
      </w:r>
      <w:r>
        <w:t>. Re</w:t>
      </w:r>
      <w:r w:rsidR="00E02751">
        <w:t>lying</w:t>
      </w:r>
      <w:r w:rsidR="008F5B35">
        <w:t xml:space="preserve"> </w:t>
      </w:r>
      <w:r w:rsidR="00E02751">
        <w:t>on</w:t>
      </w:r>
      <w:r>
        <w:t xml:space="preserve"> s</w:t>
      </w:r>
      <w:r w:rsidR="001F1321">
        <w:t> </w:t>
      </w:r>
      <w:r>
        <w:t xml:space="preserve">11C(3)(c) when it </w:t>
      </w:r>
      <w:r w:rsidR="001F1321">
        <w:t>is possible</w:t>
      </w:r>
      <w:r>
        <w:t xml:space="preserve"> to publish the information for </w:t>
      </w:r>
      <w:r w:rsidR="007D3E62">
        <w:t>download</w:t>
      </w:r>
      <w:r>
        <w:t xml:space="preserve"> </w:t>
      </w:r>
      <w:r w:rsidR="008F5B35">
        <w:t xml:space="preserve">does not </w:t>
      </w:r>
      <w:r w:rsidR="00127142">
        <w:t>further</w:t>
      </w:r>
      <w:r>
        <w:t xml:space="preserve"> the objects of the FOI Act, which require </w:t>
      </w:r>
      <w:r>
        <w:lastRenderedPageBreak/>
        <w:t xml:space="preserve">that agencies and ministers facilitate and promote public access promptly and at the lowest reasonable cost. </w:t>
      </w:r>
    </w:p>
    <w:p w14:paraId="43304B91" w14:textId="0C46E030" w:rsidR="00974F7E" w:rsidRPr="00974F7E" w:rsidRDefault="0020075E" w:rsidP="0020075E">
      <w:pPr>
        <w:pStyle w:val="NumberedParagraphs"/>
      </w:pPr>
      <w:r>
        <w:t xml:space="preserve">Agencies and ministers must publish information on the disclosure log within </w:t>
      </w:r>
      <w:r w:rsidR="006B3540">
        <w:t>10</w:t>
      </w:r>
      <w:r>
        <w:t xml:space="preserve"> working days of </w:t>
      </w:r>
      <w:r w:rsidR="00CF058C">
        <w:t xml:space="preserve">the day after the day the </w:t>
      </w:r>
      <w:r>
        <w:t xml:space="preserve">FOI applicant </w:t>
      </w:r>
      <w:r w:rsidR="00CF058C">
        <w:t xml:space="preserve">is given </w:t>
      </w:r>
      <w:r>
        <w:t>access to the document (s 11C(6)) (</w:t>
      </w:r>
      <w:r w:rsidRPr="00507CCD">
        <w:t>see [</w:t>
      </w:r>
      <w:r w:rsidR="00EF6399" w:rsidRPr="0047122D">
        <w:t>1</w:t>
      </w:r>
      <w:r w:rsidR="008F1B99" w:rsidRPr="0047122D">
        <w:t>4.</w:t>
      </w:r>
      <w:r w:rsidR="0047122D" w:rsidRPr="00357AF4">
        <w:t>3</w:t>
      </w:r>
      <w:r w:rsidR="00EB2C3E">
        <w:t>5</w:t>
      </w:r>
      <w:r w:rsidRPr="0047122D">
        <w:t>]</w:t>
      </w:r>
      <w:r w:rsidRPr="00507CCD">
        <w:t xml:space="preserve"> below</w:t>
      </w:r>
      <w:r w:rsidRPr="00507CCD">
        <w:rPr>
          <w:i/>
        </w:rPr>
        <w:t>)</w:t>
      </w:r>
      <w:r>
        <w:t xml:space="preserve">. Where a person </w:t>
      </w:r>
      <w:r w:rsidR="002D4A6E">
        <w:t>seeks</w:t>
      </w:r>
      <w:r>
        <w:t xml:space="preserve"> access to information not published on</w:t>
      </w:r>
      <w:r w:rsidR="00895C22">
        <w:t xml:space="preserve"> an agency’s disclosure log</w:t>
      </w:r>
      <w:r>
        <w:t xml:space="preserve"> (s</w:t>
      </w:r>
      <w:r w:rsidR="00895C22">
        <w:t> </w:t>
      </w:r>
      <w:r>
        <w:t xml:space="preserve">11C(3)(c)), the agency or minister should provide access to the information within </w:t>
      </w:r>
      <w:r w:rsidR="00895C22">
        <w:t xml:space="preserve">a reasonable period, which should be no more than </w:t>
      </w:r>
      <w:r w:rsidR="006B3540">
        <w:t>5</w:t>
      </w:r>
      <w:r>
        <w:t xml:space="preserve"> working days </w:t>
      </w:r>
      <w:r w:rsidR="00895C22">
        <w:t xml:space="preserve">after </w:t>
      </w:r>
      <w:r w:rsidR="002D4A6E">
        <w:t>being asked for access</w:t>
      </w:r>
      <w:r>
        <w:t>.</w:t>
      </w:r>
    </w:p>
    <w:p w14:paraId="4BF9F851" w14:textId="0308F908" w:rsidR="00441A10" w:rsidRPr="002374F2" w:rsidRDefault="00441A10" w:rsidP="00071216">
      <w:pPr>
        <w:pStyle w:val="NumberedParagraphs"/>
      </w:pPr>
      <w:bookmarkStart w:id="8" w:name="_Ref327878724"/>
      <w:r w:rsidRPr="002374F2">
        <w:t>Th</w:t>
      </w:r>
      <w:r>
        <w:t>e disclosure log requirement does not apply to</w:t>
      </w:r>
      <w:r w:rsidRPr="002374F2">
        <w:t>:</w:t>
      </w:r>
    </w:p>
    <w:p w14:paraId="4FB82B11" w14:textId="3DC92692" w:rsidR="00441A10" w:rsidRPr="002374F2" w:rsidRDefault="00441A10" w:rsidP="00856B73">
      <w:pPr>
        <w:numPr>
          <w:ilvl w:val="0"/>
          <w:numId w:val="34"/>
        </w:numPr>
        <w:tabs>
          <w:tab w:val="left" w:pos="993"/>
        </w:tabs>
        <w:spacing w:before="120"/>
        <w:ind w:left="993" w:hanging="426"/>
      </w:pPr>
      <w:r w:rsidRPr="002374F2">
        <w:t>personal information about any person</w:t>
      </w:r>
      <w:r>
        <w:t xml:space="preserve">, </w:t>
      </w:r>
      <w:r w:rsidRPr="002374F2">
        <w:t xml:space="preserve">if </w:t>
      </w:r>
      <w:r>
        <w:t>it would be unreasonable to publish the information</w:t>
      </w:r>
      <w:r w:rsidRPr="002374F2">
        <w:t xml:space="preserve"> (s 11C(1)(a))</w:t>
      </w:r>
    </w:p>
    <w:p w14:paraId="67591DBD" w14:textId="7C4552D4" w:rsidR="00441A10" w:rsidRPr="002374F2" w:rsidRDefault="00441A10" w:rsidP="00856B73">
      <w:pPr>
        <w:numPr>
          <w:ilvl w:val="0"/>
          <w:numId w:val="34"/>
        </w:numPr>
        <w:tabs>
          <w:tab w:val="left" w:pos="993"/>
        </w:tabs>
        <w:spacing w:before="120"/>
        <w:ind w:left="993" w:hanging="426"/>
      </w:pPr>
      <w:r w:rsidRPr="002374F2">
        <w:t xml:space="preserve">information about </w:t>
      </w:r>
      <w:r>
        <w:t xml:space="preserve">the </w:t>
      </w:r>
      <w:r w:rsidRPr="002374F2">
        <w:t>business, commercial, financial or professional affairs of any person</w:t>
      </w:r>
      <w:r>
        <w:t>,</w:t>
      </w:r>
      <w:r w:rsidRPr="002374F2">
        <w:t xml:space="preserve"> if publication of that information would be unreasonable (s 11C(1)(b))</w:t>
      </w:r>
    </w:p>
    <w:p w14:paraId="60D6D172" w14:textId="6D53C359" w:rsidR="00441A10" w:rsidRPr="002374F2" w:rsidRDefault="00441A10" w:rsidP="00856B73">
      <w:pPr>
        <w:numPr>
          <w:ilvl w:val="0"/>
          <w:numId w:val="34"/>
        </w:numPr>
        <w:tabs>
          <w:tab w:val="left" w:pos="993"/>
        </w:tabs>
        <w:spacing w:before="120"/>
        <w:ind w:left="993" w:hanging="426"/>
      </w:pPr>
      <w:r w:rsidRPr="002374F2">
        <w:t>other information of a kind determined by the Information Commissioner</w:t>
      </w:r>
      <w:r>
        <w:t xml:space="preserve"> </w:t>
      </w:r>
      <w:r w:rsidRPr="002374F2">
        <w:t>if publication of that information would be unreasonable (ss 11C(1)(c) and 11C(2))</w:t>
      </w:r>
      <w:r w:rsidR="00AE4B39">
        <w:rPr>
          <w:rStyle w:val="FootnoteReference"/>
        </w:rPr>
        <w:footnoteReference w:id="1"/>
      </w:r>
    </w:p>
    <w:p w14:paraId="2C2DF0EF" w14:textId="77777777" w:rsidR="00441A10" w:rsidRPr="002374F2" w:rsidRDefault="00441A10" w:rsidP="00856B73">
      <w:pPr>
        <w:numPr>
          <w:ilvl w:val="0"/>
          <w:numId w:val="34"/>
        </w:numPr>
        <w:tabs>
          <w:tab w:val="left" w:pos="993"/>
        </w:tabs>
        <w:spacing w:before="120"/>
        <w:ind w:left="993" w:hanging="426"/>
      </w:pPr>
      <w:r w:rsidRPr="002374F2">
        <w:t>any information if it is not reasonably practica</w:t>
      </w:r>
      <w:r>
        <w:t>b</w:t>
      </w:r>
      <w:r w:rsidRPr="002374F2">
        <w:t>l</w:t>
      </w:r>
      <w:r>
        <w:t>e</w:t>
      </w:r>
      <w:r w:rsidRPr="002374F2">
        <w:t xml:space="preserve"> to publish the information because of the extent of modifications that would need to be made to delete information listed in </w:t>
      </w:r>
      <w:r>
        <w:t xml:space="preserve">one of </w:t>
      </w:r>
      <w:r w:rsidRPr="002374F2">
        <w:t>the above dot points (s 11C(1)(d)).</w:t>
      </w:r>
    </w:p>
    <w:p w14:paraId="7980D797" w14:textId="398C01B0" w:rsidR="00441A10" w:rsidRPr="005007F8" w:rsidRDefault="00441A10" w:rsidP="00DA1484">
      <w:pPr>
        <w:pStyle w:val="Numberpara14"/>
        <w:numPr>
          <w:ilvl w:val="0"/>
          <w:numId w:val="0"/>
        </w:numPr>
        <w:ind w:left="567"/>
        <w:rPr>
          <w:rFonts w:asciiTheme="minorHAnsi" w:hAnsiTheme="minorHAnsi"/>
          <w:sz w:val="22"/>
        </w:rPr>
      </w:pPr>
      <w:r w:rsidRPr="005007F8">
        <w:rPr>
          <w:rFonts w:asciiTheme="minorHAnsi" w:hAnsiTheme="minorHAnsi"/>
          <w:sz w:val="22"/>
        </w:rPr>
        <w:t xml:space="preserve">Guidance on when it may be unreasonable to publish information on a disclosure log is given at </w:t>
      </w:r>
      <w:r w:rsidRPr="0047122D">
        <w:rPr>
          <w:rFonts w:asciiTheme="minorHAnsi" w:hAnsiTheme="minorHAnsi"/>
          <w:sz w:val="22"/>
        </w:rPr>
        <w:t>[</w:t>
      </w:r>
      <w:r w:rsidR="00F64894" w:rsidRPr="0047122D">
        <w:rPr>
          <w:rFonts w:asciiTheme="minorHAnsi" w:hAnsiTheme="minorHAnsi"/>
          <w:sz w:val="22"/>
        </w:rPr>
        <w:t>14.</w:t>
      </w:r>
      <w:r w:rsidR="00212C75">
        <w:rPr>
          <w:rFonts w:asciiTheme="minorHAnsi" w:hAnsiTheme="minorHAnsi"/>
          <w:sz w:val="22"/>
        </w:rPr>
        <w:t>29</w:t>
      </w:r>
      <w:r w:rsidRPr="0047122D">
        <w:rPr>
          <w:rFonts w:asciiTheme="minorHAnsi" w:hAnsiTheme="minorHAnsi"/>
          <w:sz w:val="22"/>
        </w:rPr>
        <w:t>]</w:t>
      </w:r>
      <w:r w:rsidR="00F73326" w:rsidRPr="0047122D">
        <w:rPr>
          <w:rFonts w:asciiTheme="minorHAnsi" w:hAnsiTheme="minorHAnsi"/>
          <w:sz w:val="22"/>
        </w:rPr>
        <w:t>–[14.</w:t>
      </w:r>
      <w:r w:rsidR="00CF058C">
        <w:rPr>
          <w:rFonts w:asciiTheme="minorHAnsi" w:hAnsiTheme="minorHAnsi"/>
          <w:sz w:val="22"/>
        </w:rPr>
        <w:t>34</w:t>
      </w:r>
      <w:r w:rsidR="00F73326" w:rsidRPr="0047122D">
        <w:rPr>
          <w:rFonts w:asciiTheme="minorHAnsi" w:hAnsiTheme="minorHAnsi"/>
          <w:sz w:val="22"/>
        </w:rPr>
        <w:t>]</w:t>
      </w:r>
      <w:r w:rsidR="00F73326" w:rsidRPr="005007F8">
        <w:rPr>
          <w:rFonts w:asciiTheme="minorHAnsi" w:hAnsiTheme="minorHAnsi"/>
          <w:sz w:val="22"/>
        </w:rPr>
        <w:t xml:space="preserve"> </w:t>
      </w:r>
      <w:r w:rsidRPr="005007F8">
        <w:rPr>
          <w:rFonts w:asciiTheme="minorHAnsi" w:hAnsiTheme="minorHAnsi"/>
          <w:sz w:val="22"/>
        </w:rPr>
        <w:t>below</w:t>
      </w:r>
      <w:r w:rsidR="00003AAC">
        <w:rPr>
          <w:rFonts w:asciiTheme="minorHAnsi" w:hAnsiTheme="minorHAnsi"/>
          <w:sz w:val="22"/>
        </w:rPr>
        <w:t>.</w:t>
      </w:r>
    </w:p>
    <w:p w14:paraId="73433070" w14:textId="3D568AF3" w:rsidR="00441A10" w:rsidRPr="00276214" w:rsidRDefault="00441A10" w:rsidP="00071216">
      <w:pPr>
        <w:pStyle w:val="NumberedParagraphs"/>
      </w:pPr>
      <w:r w:rsidRPr="00327167">
        <w:t xml:space="preserve">The FOI Act does not require agencies and ministers to publish </w:t>
      </w:r>
      <w:r>
        <w:t xml:space="preserve">FOI </w:t>
      </w:r>
      <w:r w:rsidRPr="00327167">
        <w:t>decision</w:t>
      </w:r>
      <w:r>
        <w:t>s and statement of reasons</w:t>
      </w:r>
      <w:r w:rsidR="00314018">
        <w:t>, however agencies</w:t>
      </w:r>
      <w:r w:rsidR="004B5493">
        <w:t xml:space="preserve"> and ministers</w:t>
      </w:r>
      <w:r w:rsidR="00314018">
        <w:t xml:space="preserve"> may choose to do so</w:t>
      </w:r>
      <w:r w:rsidR="00B85361">
        <w:t>,</w:t>
      </w:r>
      <w:r w:rsidR="00C165C9">
        <w:t xml:space="preserve"> subject to legal requirements</w:t>
      </w:r>
      <w:r w:rsidR="00212FA4">
        <w:t xml:space="preserve">, such as those under the </w:t>
      </w:r>
      <w:r w:rsidR="00212FA4" w:rsidRPr="00212FA4">
        <w:rPr>
          <w:i/>
          <w:iCs/>
        </w:rPr>
        <w:t>Privacy Act 1988</w:t>
      </w:r>
      <w:r w:rsidRPr="001A6BB5">
        <w:t>.</w:t>
      </w:r>
      <w:r w:rsidRPr="00276214">
        <w:t xml:space="preserve"> </w:t>
      </w:r>
    </w:p>
    <w:p w14:paraId="2AB16A2E" w14:textId="2995A509" w:rsidR="00441A10" w:rsidRPr="00071216" w:rsidRDefault="00441A10" w:rsidP="00C95884">
      <w:pPr>
        <w:pStyle w:val="Heading3"/>
        <w:spacing w:before="240" w:after="240"/>
        <w:rPr>
          <w:sz w:val="44"/>
          <w:szCs w:val="28"/>
        </w:rPr>
      </w:pPr>
      <w:bookmarkStart w:id="9" w:name="_Toc237248262"/>
      <w:bookmarkStart w:id="10" w:name="_Toc13644110"/>
      <w:r w:rsidRPr="00071216">
        <w:rPr>
          <w:sz w:val="44"/>
          <w:szCs w:val="28"/>
        </w:rPr>
        <w:t>D</w:t>
      </w:r>
      <w:r w:rsidR="00EF3157">
        <w:rPr>
          <w:sz w:val="44"/>
          <w:szCs w:val="28"/>
        </w:rPr>
        <w:t xml:space="preserve">eciding not to publish documents on </w:t>
      </w:r>
      <w:r w:rsidR="009D5E1B">
        <w:rPr>
          <w:sz w:val="44"/>
          <w:szCs w:val="28"/>
        </w:rPr>
        <w:t xml:space="preserve">the </w:t>
      </w:r>
      <w:r w:rsidR="00EF3157">
        <w:rPr>
          <w:sz w:val="44"/>
          <w:szCs w:val="28"/>
        </w:rPr>
        <w:t>d</w:t>
      </w:r>
      <w:r w:rsidRPr="00071216">
        <w:rPr>
          <w:sz w:val="44"/>
          <w:szCs w:val="28"/>
        </w:rPr>
        <w:t>isclosure log</w:t>
      </w:r>
      <w:bookmarkEnd w:id="9"/>
      <w:bookmarkEnd w:id="10"/>
    </w:p>
    <w:p w14:paraId="18726609" w14:textId="0D1B126D" w:rsidR="00441A10" w:rsidRDefault="00441A10" w:rsidP="00441A10">
      <w:pPr>
        <w:pStyle w:val="NumberedParagraphs"/>
      </w:pPr>
      <w:r>
        <w:t xml:space="preserve">Although granting access to documents under the FOI Act and publishing information on a disclosure log are separate </w:t>
      </w:r>
      <w:r w:rsidR="00676EB3">
        <w:t>steps in responding to an FOI request</w:t>
      </w:r>
      <w:r>
        <w:t>, the</w:t>
      </w:r>
      <w:r w:rsidR="00676EB3">
        <w:t>y</w:t>
      </w:r>
      <w:r w:rsidR="00A76E28">
        <w:t xml:space="preserve"> </w:t>
      </w:r>
      <w:r>
        <w:t xml:space="preserve">should be </w:t>
      </w:r>
      <w:r w:rsidR="00676EB3">
        <w:t>undertaken</w:t>
      </w:r>
      <w:r>
        <w:t xml:space="preserve"> a</w:t>
      </w:r>
      <w:r w:rsidR="00676EB3">
        <w:t>t the same time</w:t>
      </w:r>
      <w:r>
        <w:t xml:space="preserve">. This </w:t>
      </w:r>
      <w:r w:rsidR="00B51A48">
        <w:t>support</w:t>
      </w:r>
      <w:r w:rsidR="00676EB3">
        <w:t>s</w:t>
      </w:r>
      <w:r w:rsidR="00B51A48">
        <w:t xml:space="preserve"> </w:t>
      </w:r>
      <w:r w:rsidR="00676EB3">
        <w:t xml:space="preserve">the </w:t>
      </w:r>
      <w:r>
        <w:t>prompt release and publication of information at the lowest reasonable cost.</w:t>
      </w:r>
      <w:r w:rsidR="004A1C73">
        <w:rPr>
          <w:rStyle w:val="FootnoteReference"/>
        </w:rPr>
        <w:footnoteReference w:id="2"/>
      </w:r>
      <w:r>
        <w:t xml:space="preserve"> </w:t>
      </w:r>
    </w:p>
    <w:p w14:paraId="24999C63" w14:textId="514D0BE6" w:rsidR="00676EB3" w:rsidRDefault="00676EB3" w:rsidP="00C027C0">
      <w:pPr>
        <w:pStyle w:val="NumberedParagraphs"/>
      </w:pPr>
      <w:r>
        <w:lastRenderedPageBreak/>
        <w:t xml:space="preserve">Because the FOI Act requires publication of </w:t>
      </w:r>
      <w:r w:rsidR="009C7BE6">
        <w:t xml:space="preserve">information in </w:t>
      </w:r>
      <w:r>
        <w:t xml:space="preserve">documents released in response to an FOI request, unless an exception </w:t>
      </w:r>
      <w:r w:rsidR="009C7BE6">
        <w:t xml:space="preserve">in s 11C(1) </w:t>
      </w:r>
      <w:r>
        <w:t xml:space="preserve">applies, it is not correct to think that a </w:t>
      </w:r>
      <w:r w:rsidR="009C7BE6">
        <w:t>‘</w:t>
      </w:r>
      <w:r>
        <w:t>decision</w:t>
      </w:r>
      <w:r w:rsidR="009C7BE6">
        <w:t>’</w:t>
      </w:r>
      <w:r>
        <w:t xml:space="preserve"> is being made to publish documents; rather</w:t>
      </w:r>
      <w:r w:rsidR="00151CB7">
        <w:t>,</w:t>
      </w:r>
      <w:r>
        <w:t xml:space="preserve"> the decision to be made is whether an exception to the public</w:t>
      </w:r>
      <w:r w:rsidR="009C7BE6">
        <w:t>ation</w:t>
      </w:r>
      <w:r>
        <w:t xml:space="preserve"> requirement exists such that it would be unreasonable to publish the documents. </w:t>
      </w:r>
      <w:r w:rsidR="00EF3157">
        <w:t>If agencies or ministers identify that an exception to the disclosure log publication requirement applies, the subsection in s 11C that is relied on should be recorded (on the agency</w:t>
      </w:r>
      <w:r w:rsidR="00681244">
        <w:t>’s</w:t>
      </w:r>
      <w:r w:rsidR="00EF3157">
        <w:t xml:space="preserve"> or minister’s case management system if one is used).</w:t>
      </w:r>
      <w:r w:rsidR="00624E25">
        <w:t xml:space="preserve"> For agencies </w:t>
      </w:r>
      <w:r w:rsidR="00151CB7">
        <w:t xml:space="preserve">without a </w:t>
      </w:r>
      <w:r w:rsidR="00624E25">
        <w:t>case management system</w:t>
      </w:r>
      <w:r w:rsidR="00151CB7">
        <w:t xml:space="preserve"> [14.8</w:t>
      </w:r>
      <w:r w:rsidR="00BD00A9">
        <w:t>2</w:t>
      </w:r>
      <w:r w:rsidR="00151CB7">
        <w:t>] provides information about maintaining an internal disclosure register in which this information can be recorded.</w:t>
      </w:r>
    </w:p>
    <w:p w14:paraId="09F5673A" w14:textId="7501A4F7" w:rsidR="00441A10" w:rsidRDefault="009C7BE6" w:rsidP="00C027C0">
      <w:pPr>
        <w:pStyle w:val="NumberedParagraphs"/>
      </w:pPr>
      <w:r>
        <w:t xml:space="preserve">It is important to bear in mind that </w:t>
      </w:r>
      <w:r w:rsidR="00441A10">
        <w:t xml:space="preserve">only a person authorised under s 23 can grant or refuse access to documents in response to an FOI request. </w:t>
      </w:r>
      <w:r w:rsidR="00856B73">
        <w:t>In</w:t>
      </w:r>
      <w:r w:rsidR="00441A10">
        <w:t xml:space="preserve"> contrast, the FOI Act does not specify who </w:t>
      </w:r>
      <w:r w:rsidR="004B5493">
        <w:t>can</w:t>
      </w:r>
      <w:r w:rsidR="00441A10">
        <w:t xml:space="preserve"> </w:t>
      </w:r>
      <w:r w:rsidR="002133CA">
        <w:t xml:space="preserve">decide not </w:t>
      </w:r>
      <w:r w:rsidR="00441A10">
        <w:t>to publish information on the disclosure log. It is nevertheless advisable that agencies and ministers adopt processes for deci</w:t>
      </w:r>
      <w:r w:rsidR="002133CA">
        <w:t>ding when it would not be reasonable to publish documents on their disclosure log under s 11C.</w:t>
      </w:r>
    </w:p>
    <w:p w14:paraId="2685C2CF" w14:textId="19BAFD72" w:rsidR="00441A10" w:rsidRDefault="00EF3157" w:rsidP="00C027C0">
      <w:pPr>
        <w:pStyle w:val="NumberedParagraphs"/>
      </w:pPr>
      <w:r>
        <w:t xml:space="preserve">Furthermore, </w:t>
      </w:r>
      <w:r w:rsidR="00441A10">
        <w:t xml:space="preserve">there is no requirement to consult when </w:t>
      </w:r>
      <w:r>
        <w:t xml:space="preserve">deciding whether </w:t>
      </w:r>
      <w:r w:rsidR="00441A10">
        <w:t xml:space="preserve">to publish information under s 11C, in contrast with the consultation requirements that apply before a decision can be made to release documents affecting Commonwealth-State relations, business documents or documents affecting personal privacy (ss 26A, 27 and 27A). It is open to an agency or minister to consult a person about whether publication of personal, business or other information may be unreasonable. If so, the agency or minister must complete the consultation in time to comply with the obligation to publish information within </w:t>
      </w:r>
      <w:r w:rsidR="004B5493">
        <w:t>10</w:t>
      </w:r>
      <w:r w:rsidR="00441A10">
        <w:t xml:space="preserve"> working days of giving access to the FOI applicant (s 11C(6)).</w:t>
      </w:r>
    </w:p>
    <w:p w14:paraId="748F5584" w14:textId="3561362F" w:rsidR="00441A10" w:rsidRDefault="00441A10" w:rsidP="00441A10">
      <w:pPr>
        <w:pStyle w:val="NumberedParagraphs"/>
      </w:pPr>
      <w:r>
        <w:t xml:space="preserve">An alternative </w:t>
      </w:r>
      <w:r w:rsidR="004C2D2C">
        <w:t>is</w:t>
      </w:r>
      <w:r>
        <w:t xml:space="preserve"> for agencies and ministers to give advance notice to FOI applicants and third parties that information released under the FOI Act may later be published on a disclosure log (subject to certain exceptions). This advance notice c</w:t>
      </w:r>
      <w:r w:rsidR="002E49EA">
        <w:t>an</w:t>
      </w:r>
      <w:r>
        <w:t xml:space="preserve"> be given to FOI applicants in the acknowledgement notice under s 15(5) and to affected third parties during a consultation process under ss 26A, 27 or 27A (</w:t>
      </w:r>
      <w:r w:rsidRPr="00507CCD">
        <w:t xml:space="preserve">see </w:t>
      </w:r>
      <w:hyperlink r:id="rId10" w:history="1">
        <w:r w:rsidRPr="00A45B00">
          <w:rPr>
            <w:rStyle w:val="Hyperlink"/>
          </w:rPr>
          <w:t>Part 6</w:t>
        </w:r>
      </w:hyperlink>
      <w:r w:rsidRPr="00507CCD">
        <w:t xml:space="preserve"> of these Guidelines).</w:t>
      </w:r>
      <w:r w:rsidRPr="00507CCD">
        <w:rPr>
          <w:rStyle w:val="FootnoteReference"/>
        </w:rPr>
        <w:footnoteReference w:id="3"/>
      </w:r>
      <w:r>
        <w:t xml:space="preserve"> The applicant or </w:t>
      </w:r>
      <w:r w:rsidR="00D93DA4">
        <w:t xml:space="preserve">a </w:t>
      </w:r>
      <w:r>
        <w:t xml:space="preserve">third party may express a view on this issue and identify personal or business information that, in their </w:t>
      </w:r>
      <w:r w:rsidR="004C2D2C">
        <w:t>opinion</w:t>
      </w:r>
      <w:r>
        <w:t>, would be unreasonable to publish. However, it is important that applicants and third parties are also made aware of the pro-disclosure objects of the FOI Act embodied in s 11C.</w:t>
      </w:r>
    </w:p>
    <w:p w14:paraId="143CBF6C" w14:textId="2338A8BA" w:rsidR="00441A10" w:rsidRPr="00071216" w:rsidRDefault="00441A10" w:rsidP="0094382A">
      <w:pPr>
        <w:pStyle w:val="Heading4"/>
        <w:spacing w:after="240"/>
        <w:rPr>
          <w:rFonts w:ascii="Source Sans Pro SemiBold" w:hAnsi="Source Sans Pro SemiBold"/>
          <w:sz w:val="34"/>
          <w:szCs w:val="34"/>
        </w:rPr>
      </w:pPr>
      <w:r w:rsidRPr="00071216">
        <w:rPr>
          <w:rFonts w:ascii="Source Sans Pro SemiBold" w:hAnsi="Source Sans Pro SemiBold"/>
          <w:sz w:val="34"/>
          <w:szCs w:val="34"/>
        </w:rPr>
        <w:t>When access is granted to some (but not all) of the requested documents</w:t>
      </w:r>
    </w:p>
    <w:p w14:paraId="4DDD9688" w14:textId="1382602E" w:rsidR="00BB4B58" w:rsidRDefault="00441A10" w:rsidP="00441A10">
      <w:pPr>
        <w:pStyle w:val="NumberedParagraphs"/>
      </w:pPr>
      <w:r>
        <w:t xml:space="preserve">If an FOI applicant is given access to only some of the documents requested (or to part of a requested document), the disclosure log requirement applies to the documents given to the applicant. </w:t>
      </w:r>
      <w:r w:rsidR="00B2318F">
        <w:t>For example, w</w:t>
      </w:r>
      <w:r w:rsidR="00BB4B58">
        <w:t>h</w:t>
      </w:r>
      <w:r w:rsidR="00BB4B58" w:rsidRPr="0094382A">
        <w:rPr>
          <w:rFonts w:cstheme="minorHAnsi"/>
          <w:szCs w:val="22"/>
        </w:rPr>
        <w:t xml:space="preserve">ere </w:t>
      </w:r>
      <w:r w:rsidR="00BB4B58">
        <w:rPr>
          <w:rFonts w:cstheme="minorHAnsi"/>
          <w:szCs w:val="22"/>
        </w:rPr>
        <w:t xml:space="preserve">a </w:t>
      </w:r>
      <w:r w:rsidR="00BB4B58" w:rsidRPr="0094382A">
        <w:rPr>
          <w:rFonts w:cstheme="minorHAnsi"/>
          <w:szCs w:val="22"/>
        </w:rPr>
        <w:t>large amount of</w:t>
      </w:r>
      <w:r w:rsidR="00BB4B58">
        <w:rPr>
          <w:rFonts w:cstheme="minorHAnsi"/>
          <w:szCs w:val="22"/>
        </w:rPr>
        <w:t xml:space="preserve"> information </w:t>
      </w:r>
      <w:r w:rsidR="00BB4B58" w:rsidRPr="0094382A">
        <w:rPr>
          <w:rFonts w:cstheme="minorHAnsi"/>
          <w:szCs w:val="22"/>
        </w:rPr>
        <w:t>has been deleted from the document before release, the blank pages do not need to be published</w:t>
      </w:r>
      <w:r w:rsidR="00BB4B58">
        <w:rPr>
          <w:rFonts w:cstheme="minorHAnsi"/>
          <w:szCs w:val="22"/>
        </w:rPr>
        <w:t xml:space="preserve"> as they may </w:t>
      </w:r>
      <w:r w:rsidR="00BB4B58" w:rsidRPr="0094382A">
        <w:rPr>
          <w:rFonts w:cstheme="minorHAnsi"/>
          <w:szCs w:val="22"/>
        </w:rPr>
        <w:t xml:space="preserve">hinder easy </w:t>
      </w:r>
      <w:r w:rsidR="00BB4B58" w:rsidRPr="0094382A">
        <w:rPr>
          <w:rFonts w:cstheme="minorHAnsi"/>
          <w:szCs w:val="22"/>
        </w:rPr>
        <w:lastRenderedPageBreak/>
        <w:t xml:space="preserve">access to </w:t>
      </w:r>
      <w:r w:rsidR="0026663C">
        <w:rPr>
          <w:rFonts w:cstheme="minorHAnsi"/>
          <w:szCs w:val="22"/>
        </w:rPr>
        <w:t xml:space="preserve">the </w:t>
      </w:r>
      <w:r w:rsidR="00BB4B58" w:rsidRPr="0094382A">
        <w:rPr>
          <w:rFonts w:cstheme="minorHAnsi"/>
          <w:szCs w:val="22"/>
        </w:rPr>
        <w:t xml:space="preserve">released information. The agency may add </w:t>
      </w:r>
      <w:r w:rsidR="00A45B00">
        <w:rPr>
          <w:rFonts w:cstheme="minorHAnsi"/>
          <w:szCs w:val="22"/>
        </w:rPr>
        <w:t xml:space="preserve">text </w:t>
      </w:r>
      <w:r w:rsidR="00BB4B58" w:rsidRPr="0094382A">
        <w:rPr>
          <w:rFonts w:cstheme="minorHAnsi"/>
          <w:szCs w:val="22"/>
        </w:rPr>
        <w:t xml:space="preserve">to the </w:t>
      </w:r>
      <w:r w:rsidR="00BB4B58">
        <w:rPr>
          <w:rFonts w:cstheme="minorHAnsi"/>
          <w:szCs w:val="22"/>
        </w:rPr>
        <w:t xml:space="preserve">disclosure log </w:t>
      </w:r>
      <w:r w:rsidR="00BB4B58" w:rsidRPr="0094382A">
        <w:rPr>
          <w:rFonts w:cstheme="minorHAnsi"/>
          <w:szCs w:val="22"/>
        </w:rPr>
        <w:t xml:space="preserve">entry to </w:t>
      </w:r>
      <w:r w:rsidR="00C016C4">
        <w:rPr>
          <w:rFonts w:cstheme="minorHAnsi"/>
          <w:szCs w:val="22"/>
        </w:rPr>
        <w:t xml:space="preserve">explain that </w:t>
      </w:r>
      <w:r w:rsidR="00BB4B58" w:rsidRPr="0094382A">
        <w:rPr>
          <w:rFonts w:cstheme="minorHAnsi"/>
          <w:szCs w:val="22"/>
        </w:rPr>
        <w:t>exemptions</w:t>
      </w:r>
      <w:r w:rsidR="00BB4B58">
        <w:rPr>
          <w:rFonts w:cstheme="minorHAnsi"/>
          <w:szCs w:val="22"/>
        </w:rPr>
        <w:t xml:space="preserve"> </w:t>
      </w:r>
      <w:r w:rsidR="00C016C4">
        <w:rPr>
          <w:rFonts w:cstheme="minorHAnsi"/>
          <w:szCs w:val="22"/>
        </w:rPr>
        <w:t xml:space="preserve">have been applied </w:t>
      </w:r>
      <w:r w:rsidR="00BB4B58">
        <w:rPr>
          <w:rFonts w:cstheme="minorHAnsi"/>
          <w:szCs w:val="22"/>
        </w:rPr>
        <w:t>and what is published</w:t>
      </w:r>
      <w:r w:rsidR="00C016C4">
        <w:rPr>
          <w:rFonts w:cstheme="minorHAnsi"/>
          <w:szCs w:val="22"/>
        </w:rPr>
        <w:t xml:space="preserve"> </w:t>
      </w:r>
      <w:r w:rsidR="00A45B00">
        <w:rPr>
          <w:rFonts w:cstheme="minorHAnsi"/>
          <w:szCs w:val="22"/>
        </w:rPr>
        <w:t xml:space="preserve">is </w:t>
      </w:r>
      <w:r w:rsidR="00C016C4">
        <w:rPr>
          <w:rFonts w:cstheme="minorHAnsi"/>
          <w:szCs w:val="22"/>
        </w:rPr>
        <w:t xml:space="preserve">the </w:t>
      </w:r>
      <w:r w:rsidR="00A45B00">
        <w:rPr>
          <w:rFonts w:cstheme="minorHAnsi"/>
          <w:szCs w:val="22"/>
        </w:rPr>
        <w:t xml:space="preserve">information </w:t>
      </w:r>
      <w:r w:rsidR="00BB4B58">
        <w:rPr>
          <w:rFonts w:cstheme="minorHAnsi"/>
          <w:szCs w:val="22"/>
        </w:rPr>
        <w:t>released to the FOI applicant</w:t>
      </w:r>
      <w:r w:rsidR="00BB4B58" w:rsidRPr="0094382A">
        <w:rPr>
          <w:rFonts w:cstheme="minorHAnsi"/>
          <w:szCs w:val="22"/>
        </w:rPr>
        <w:t>.</w:t>
      </w:r>
    </w:p>
    <w:p w14:paraId="70EC5C2F" w14:textId="13867D6D" w:rsidR="00441A10" w:rsidRDefault="00BB4B58" w:rsidP="00441A10">
      <w:pPr>
        <w:pStyle w:val="NumberedParagraphs"/>
      </w:pPr>
      <w:r>
        <w:t xml:space="preserve">The disclosure log requirement applies if an agency or minister gives a person access to information in response to an FOI request. It follows that if </w:t>
      </w:r>
      <w:r w:rsidR="00441A10">
        <w:t>access</w:t>
      </w:r>
      <w:r>
        <w:t xml:space="preserve"> to further information is </w:t>
      </w:r>
      <w:r w:rsidR="00441A10">
        <w:t>later given</w:t>
      </w:r>
      <w:r w:rsidR="00B2318F">
        <w:t xml:space="preserve">, for example, </w:t>
      </w:r>
      <w:r w:rsidR="004C2D2C">
        <w:t>following</w:t>
      </w:r>
      <w:r w:rsidR="00441A10">
        <w:t xml:space="preserve"> internal</w:t>
      </w:r>
      <w:r>
        <w:t xml:space="preserve">, </w:t>
      </w:r>
      <w:r w:rsidR="00441A10">
        <w:t xml:space="preserve">IC </w:t>
      </w:r>
      <w:r>
        <w:t xml:space="preserve">or Administrative Review Tribunal (ART) </w:t>
      </w:r>
      <w:r w:rsidR="00441A10">
        <w:t>review, the disclosure log requirement will apply at that (later) time to the additional documents released.</w:t>
      </w:r>
      <w:r>
        <w:t xml:space="preserve"> It is recommended that a new disclosure log entry be created </w:t>
      </w:r>
      <w:r w:rsidR="00C016C4">
        <w:t xml:space="preserve">(rather than </w:t>
      </w:r>
      <w:r w:rsidR="00A45B00">
        <w:t xml:space="preserve">adding further material to the </w:t>
      </w:r>
      <w:r w:rsidR="00C016C4">
        <w:t>original disclosure log entry).</w:t>
      </w:r>
      <w:r w:rsidR="0057446A">
        <w:t xml:space="preserve"> If this applies, only the newly released information needs to be published.</w:t>
      </w:r>
    </w:p>
    <w:p w14:paraId="52693C5A" w14:textId="062DB3FE" w:rsidR="00441A10" w:rsidRPr="00071216" w:rsidRDefault="00441A10" w:rsidP="00357AF4">
      <w:pPr>
        <w:pStyle w:val="Heading4"/>
        <w:spacing w:after="240"/>
        <w:rPr>
          <w:rFonts w:ascii="Source Sans Pro SemiBold" w:hAnsi="Source Sans Pro SemiBold"/>
          <w:sz w:val="34"/>
          <w:szCs w:val="34"/>
        </w:rPr>
      </w:pPr>
      <w:r w:rsidRPr="00071216">
        <w:rPr>
          <w:rFonts w:ascii="Source Sans Pro SemiBold" w:hAnsi="Source Sans Pro SemiBold"/>
          <w:sz w:val="34"/>
          <w:szCs w:val="34"/>
        </w:rPr>
        <w:t>Disclosure log exceptions — determinations by the Information Commissioner</w:t>
      </w:r>
    </w:p>
    <w:p w14:paraId="225ECDE6" w14:textId="64B82B62" w:rsidR="00441A10" w:rsidRPr="00C43A7F" w:rsidRDefault="00441A10" w:rsidP="00071216">
      <w:pPr>
        <w:pStyle w:val="NumberedParagraphs"/>
        <w:rPr>
          <w:color w:val="000000"/>
        </w:rPr>
      </w:pPr>
      <w:r w:rsidRPr="00090EDD">
        <w:t>The</w:t>
      </w:r>
      <w:r>
        <w:t xml:space="preserve"> </w:t>
      </w:r>
      <w:r w:rsidRPr="00090EDD">
        <w:t xml:space="preserve">Information Commissioner may </w:t>
      </w:r>
      <w:r>
        <w:t xml:space="preserve">make a determination that the requirement to </w:t>
      </w:r>
      <w:r w:rsidRPr="00090EDD">
        <w:t xml:space="preserve">publish </w:t>
      </w:r>
      <w:r>
        <w:t>information on a disclosure log under s 11C does not apply to information specified in the determination (s</w:t>
      </w:r>
      <w:r w:rsidRPr="002374F2">
        <w:t>s</w:t>
      </w:r>
      <w:r>
        <w:t> </w:t>
      </w:r>
      <w:r w:rsidRPr="002374F2">
        <w:t>11C(1)(c) and</w:t>
      </w:r>
      <w:r>
        <w:t xml:space="preserve"> 11C(2)). A determination of this kind is a legislative instrument for the purposes of the </w:t>
      </w:r>
      <w:r w:rsidRPr="00856B73">
        <w:rPr>
          <w:i/>
        </w:rPr>
        <w:t>Legislation Act 2003</w:t>
      </w:r>
      <w:r>
        <w:t xml:space="preserve">. </w:t>
      </w:r>
      <w:r w:rsidRPr="00D70224">
        <w:t>A determination may apply to information of a general kind that is held by many agencies</w:t>
      </w:r>
      <w:r>
        <w:t xml:space="preserve"> or ministers</w:t>
      </w:r>
      <w:r w:rsidRPr="00D70224">
        <w:t>, or to information of a specific kind held by a particular agency</w:t>
      </w:r>
      <w:r>
        <w:t xml:space="preserve"> or minister</w:t>
      </w:r>
      <w:r w:rsidRPr="00D70224">
        <w:t>.</w:t>
      </w:r>
    </w:p>
    <w:p w14:paraId="0417230D" w14:textId="17651CA2" w:rsidR="008A2BEC" w:rsidRDefault="008A2BEC" w:rsidP="00441A10">
      <w:pPr>
        <w:pStyle w:val="NumberedParagraphs"/>
      </w:pPr>
      <w:r w:rsidRPr="008A2BEC">
        <w:t xml:space="preserve">The Information Commissioner may make </w:t>
      </w:r>
      <w:r>
        <w:t>a</w:t>
      </w:r>
      <w:r w:rsidRPr="008A2BEC">
        <w:t xml:space="preserve"> determination following an application by an affected person (including an agency, minister, organisation or individual) or at the Commissioner’s own initiative.</w:t>
      </w:r>
    </w:p>
    <w:p w14:paraId="3DC39F72" w14:textId="1A118080" w:rsidR="00441A10" w:rsidRDefault="00441A10" w:rsidP="00441A10">
      <w:pPr>
        <w:pStyle w:val="NumberedParagraphs"/>
      </w:pPr>
      <w:r w:rsidRPr="00C1690B">
        <w:t xml:space="preserve">Further information about </w:t>
      </w:r>
      <w:r w:rsidR="008A2BEC">
        <w:t xml:space="preserve">determinations </w:t>
      </w:r>
      <w:r>
        <w:t>is in ‘</w:t>
      </w:r>
      <w:r w:rsidRPr="00930DCB">
        <w:rPr>
          <w:i/>
        </w:rPr>
        <w:t>Information Publication Scheme (IPS) and Disclosure Log determinations policy and procedure</w:t>
      </w:r>
      <w:r>
        <w:rPr>
          <w:iCs/>
        </w:rPr>
        <w:t>’</w:t>
      </w:r>
      <w:r w:rsidRPr="00C1690B">
        <w:t xml:space="preserve"> available on the OAIC website.</w:t>
      </w:r>
      <w:r w:rsidRPr="00C1690B">
        <w:rPr>
          <w:rStyle w:val="FootnoteReference"/>
        </w:rPr>
        <w:footnoteReference w:id="4"/>
      </w:r>
    </w:p>
    <w:p w14:paraId="0462CAD6" w14:textId="2099D0AC" w:rsidR="00CD6D5E" w:rsidRPr="00A15794" w:rsidRDefault="00CD6D5E" w:rsidP="00071216">
      <w:pPr>
        <w:pStyle w:val="Heading3"/>
        <w:rPr>
          <w:szCs w:val="34"/>
        </w:rPr>
      </w:pPr>
      <w:bookmarkStart w:id="11" w:name="_Toc13644111"/>
      <w:bookmarkStart w:id="12" w:name="_Toc237248263"/>
      <w:r w:rsidRPr="00A15794">
        <w:rPr>
          <w:szCs w:val="34"/>
        </w:rPr>
        <w:t>Disclosure log exceptions — when publication would be ‘unreasonable’</w:t>
      </w:r>
      <w:bookmarkEnd w:id="11"/>
      <w:bookmarkEnd w:id="12"/>
    </w:p>
    <w:p w14:paraId="7761866E" w14:textId="5757D31E" w:rsidR="00CD6D5E" w:rsidRDefault="00CD6D5E" w:rsidP="00071216">
      <w:pPr>
        <w:pStyle w:val="NumberedParagraphs"/>
      </w:pPr>
      <w:bookmarkStart w:id="13" w:name="_Hlk96944630"/>
      <w:r w:rsidRPr="00507CCD">
        <w:t>As noted at [</w:t>
      </w:r>
      <w:r w:rsidRPr="00507CCD">
        <w:fldChar w:fldCharType="begin"/>
      </w:r>
      <w:r w:rsidRPr="00507CCD">
        <w:instrText xml:space="preserve"> REF _Ref327878724 \r \h  \* MERGEFORMAT </w:instrText>
      </w:r>
      <w:r w:rsidRPr="00507CCD">
        <w:fldChar w:fldCharType="separate"/>
      </w:r>
      <w:r w:rsidR="007A68D6">
        <w:t>14.</w:t>
      </w:r>
      <w:r w:rsidR="001C3258">
        <w:t>1</w:t>
      </w:r>
      <w:r w:rsidR="007B5686">
        <w:t>7</w:t>
      </w:r>
      <w:r w:rsidRPr="00507CCD">
        <w:fldChar w:fldCharType="end"/>
      </w:r>
      <w:r w:rsidRPr="00507CCD">
        <w:t>],</w:t>
      </w:r>
      <w:r>
        <w:t xml:space="preserve"> the requirement to publish information released to an FOI applicant </w:t>
      </w:r>
      <w:r w:rsidR="00E36FD4">
        <w:t xml:space="preserve">on a disclosure log </w:t>
      </w:r>
      <w:r>
        <w:t xml:space="preserve">does not apply to </w:t>
      </w:r>
      <w:r w:rsidR="006A1B75">
        <w:t>3</w:t>
      </w:r>
      <w:r>
        <w:t xml:space="preserve"> kinds of information if publication would be ‘unreasonable’: </w:t>
      </w:r>
    </w:p>
    <w:p w14:paraId="60AFDD28" w14:textId="5485C6CC" w:rsidR="00CD6D5E" w:rsidRPr="00071216" w:rsidRDefault="00CD6D5E" w:rsidP="00DA1484">
      <w:pPr>
        <w:pStyle w:val="Numberpara14"/>
        <w:numPr>
          <w:ilvl w:val="0"/>
          <w:numId w:val="112"/>
        </w:numPr>
        <w:spacing w:after="120"/>
        <w:rPr>
          <w:rFonts w:ascii="Source Sans Pro" w:hAnsi="Source Sans Pro"/>
          <w:sz w:val="22"/>
          <w:szCs w:val="20"/>
        </w:rPr>
      </w:pPr>
      <w:r w:rsidRPr="00071216">
        <w:rPr>
          <w:rFonts w:ascii="Source Sans Pro" w:hAnsi="Source Sans Pro"/>
          <w:sz w:val="22"/>
          <w:szCs w:val="20"/>
        </w:rPr>
        <w:t>personal information</w:t>
      </w:r>
    </w:p>
    <w:p w14:paraId="028E8C12" w14:textId="7AB97ED2" w:rsidR="00CD6D5E" w:rsidRPr="00071216" w:rsidRDefault="00CD6D5E" w:rsidP="00DA1484">
      <w:pPr>
        <w:pStyle w:val="Numberpara14"/>
        <w:numPr>
          <w:ilvl w:val="0"/>
          <w:numId w:val="112"/>
        </w:numPr>
        <w:spacing w:after="120"/>
        <w:rPr>
          <w:rFonts w:ascii="Source Sans Pro" w:hAnsi="Source Sans Pro"/>
          <w:sz w:val="22"/>
          <w:szCs w:val="20"/>
        </w:rPr>
      </w:pPr>
      <w:r w:rsidRPr="00071216">
        <w:rPr>
          <w:rFonts w:ascii="Source Sans Pro" w:hAnsi="Source Sans Pro"/>
          <w:sz w:val="22"/>
          <w:szCs w:val="20"/>
        </w:rPr>
        <w:t>information about a business</w:t>
      </w:r>
    </w:p>
    <w:p w14:paraId="2184C81F" w14:textId="718C8942" w:rsidR="00CD6D5E" w:rsidRPr="00071216" w:rsidRDefault="00CD6D5E" w:rsidP="00DA1484">
      <w:pPr>
        <w:pStyle w:val="Numberpara14"/>
        <w:numPr>
          <w:ilvl w:val="0"/>
          <w:numId w:val="112"/>
        </w:numPr>
        <w:spacing w:after="120"/>
        <w:rPr>
          <w:rFonts w:ascii="Source Sans Pro" w:hAnsi="Source Sans Pro"/>
          <w:sz w:val="22"/>
          <w:szCs w:val="20"/>
        </w:rPr>
      </w:pPr>
      <w:r w:rsidRPr="00071216">
        <w:rPr>
          <w:rFonts w:ascii="Source Sans Pro" w:hAnsi="Source Sans Pro"/>
          <w:sz w:val="22"/>
          <w:szCs w:val="20"/>
        </w:rPr>
        <w:t xml:space="preserve">information covered by </w:t>
      </w:r>
      <w:r w:rsidR="00734206">
        <w:rPr>
          <w:rFonts w:ascii="Source Sans Pro" w:hAnsi="Source Sans Pro"/>
          <w:sz w:val="22"/>
          <w:szCs w:val="20"/>
        </w:rPr>
        <w:t xml:space="preserve">a determination made by the </w:t>
      </w:r>
      <w:r w:rsidRPr="00071216">
        <w:rPr>
          <w:rFonts w:ascii="Source Sans Pro" w:hAnsi="Source Sans Pro"/>
          <w:sz w:val="22"/>
          <w:szCs w:val="20"/>
        </w:rPr>
        <w:t xml:space="preserve">Information Commissioner. </w:t>
      </w:r>
    </w:p>
    <w:p w14:paraId="28A9CD27" w14:textId="377A9626" w:rsidR="00CD6D5E" w:rsidRPr="00071216" w:rsidRDefault="00CD6D5E" w:rsidP="00236E14">
      <w:pPr>
        <w:pStyle w:val="Numberpara14"/>
        <w:numPr>
          <w:ilvl w:val="0"/>
          <w:numId w:val="0"/>
        </w:numPr>
        <w:tabs>
          <w:tab w:val="clear" w:pos="709"/>
        </w:tabs>
        <w:spacing w:after="120"/>
        <w:ind w:left="567"/>
        <w:rPr>
          <w:rFonts w:ascii="Source Sans Pro" w:hAnsi="Source Sans Pro"/>
          <w:sz w:val="22"/>
        </w:rPr>
      </w:pPr>
      <w:r w:rsidRPr="00071216">
        <w:rPr>
          <w:rFonts w:ascii="Source Sans Pro" w:hAnsi="Source Sans Pro"/>
          <w:sz w:val="22"/>
        </w:rPr>
        <w:lastRenderedPageBreak/>
        <w:t xml:space="preserve">There is overlap between the information in these </w:t>
      </w:r>
      <w:r w:rsidR="006A1B75">
        <w:rPr>
          <w:rFonts w:ascii="Source Sans Pro" w:hAnsi="Source Sans Pro"/>
          <w:sz w:val="22"/>
        </w:rPr>
        <w:t>3</w:t>
      </w:r>
      <w:r w:rsidRPr="00071216">
        <w:rPr>
          <w:rFonts w:ascii="Source Sans Pro" w:hAnsi="Source Sans Pro"/>
          <w:sz w:val="22"/>
        </w:rPr>
        <w:t xml:space="preserve"> categories. The following guidance about when an agency or minister may decide that publication would be unreasonable is not exhaustive.</w:t>
      </w:r>
    </w:p>
    <w:bookmarkEnd w:id="13"/>
    <w:p w14:paraId="42086E65" w14:textId="42008FBB" w:rsidR="00CD6D5E" w:rsidRDefault="0083571B" w:rsidP="00071216">
      <w:pPr>
        <w:pStyle w:val="NumberedParagraphs"/>
      </w:pPr>
      <w:r>
        <w:t xml:space="preserve">Agencies </w:t>
      </w:r>
      <w:r w:rsidR="00A45B00">
        <w:t xml:space="preserve">and ministers </w:t>
      </w:r>
      <w:r>
        <w:t xml:space="preserve">have separate obligations under the Privacy Act to consider when disclosing personal information </w:t>
      </w:r>
      <w:r w:rsidR="00B2318F">
        <w:t>o</w:t>
      </w:r>
      <w:r>
        <w:t>n the</w:t>
      </w:r>
      <w:r w:rsidR="00B2318F">
        <w:t>ir</w:t>
      </w:r>
      <w:r>
        <w:t xml:space="preserve"> </w:t>
      </w:r>
      <w:r w:rsidR="00B2318F">
        <w:t>d</w:t>
      </w:r>
      <w:r>
        <w:t xml:space="preserve">isclosure </w:t>
      </w:r>
      <w:r w:rsidR="00B2318F">
        <w:t>l</w:t>
      </w:r>
      <w:r>
        <w:t>og.</w:t>
      </w:r>
      <w:r w:rsidR="00B04D64">
        <w:rPr>
          <w:rStyle w:val="FootnoteReference"/>
          <w:rFonts w:ascii="Source Sans Pro" w:hAnsi="Source Sans Pro"/>
        </w:rPr>
        <w:footnoteReference w:id="5"/>
      </w:r>
      <w:r>
        <w:t xml:space="preserve"> </w:t>
      </w:r>
      <w:r w:rsidR="00CD6D5E">
        <w:t xml:space="preserve">It is open to an agency or minister to decide that it is </w:t>
      </w:r>
      <w:r w:rsidR="00CD6D5E" w:rsidRPr="00F7222A">
        <w:t xml:space="preserve">unreasonable to include </w:t>
      </w:r>
      <w:r w:rsidR="00541197">
        <w:t xml:space="preserve">information </w:t>
      </w:r>
      <w:r w:rsidR="00CD6D5E">
        <w:t>o</w:t>
      </w:r>
      <w:r w:rsidR="00CD6D5E" w:rsidRPr="00F7222A">
        <w:t>n the disclosure log about an individual or business that was released in response to an FOI request from that individual or business. The same applies to information about a person or business that was released to another FOI applicant, where the person or business was</w:t>
      </w:r>
      <w:r w:rsidR="00CD6D5E">
        <w:t xml:space="preserve"> consulted under s 27 or 27A of the FOI Act and did not object to release to that particular FOI applicant</w:t>
      </w:r>
      <w:r w:rsidR="00F17065">
        <w:t>,</w:t>
      </w:r>
      <w:r w:rsidR="00CD6D5E">
        <w:t xml:space="preserve"> but would object if the information was to become publicly available.</w:t>
      </w:r>
      <w:r w:rsidR="00CD6D5E">
        <w:rPr>
          <w:rStyle w:val="FootnoteReference"/>
        </w:rPr>
        <w:footnoteReference w:id="6"/>
      </w:r>
      <w:r w:rsidR="00CD6D5E">
        <w:t xml:space="preserve"> </w:t>
      </w:r>
    </w:p>
    <w:p w14:paraId="4499BFC9" w14:textId="5343FE8A" w:rsidR="00CD6D5E" w:rsidRDefault="00F17065" w:rsidP="00930DCB">
      <w:pPr>
        <w:pStyle w:val="NumberedParagraphs"/>
      </w:pPr>
      <w:r>
        <w:t>Further examples include where a</w:t>
      </w:r>
      <w:r w:rsidR="00CD6D5E">
        <w:t xml:space="preserve">n agency </w:t>
      </w:r>
      <w:r>
        <w:t xml:space="preserve">has decided to </w:t>
      </w:r>
      <w:r w:rsidR="00CD6D5E">
        <w:t xml:space="preserve">release an exempt document to a particular FOI applicant in connection with a research project, in connection with legal proceedings in which the FOI applicant is involved, or because the confidential nature of information in a document would not be jeopardised by selective release to a particular FOI applicant. In these circumstances, the agency or </w:t>
      </w:r>
      <w:r w:rsidR="00151ABC">
        <w:t>m</w:t>
      </w:r>
      <w:r w:rsidR="00CD6D5E">
        <w:t>inister may decide that it is unreasonable to publish this information more widely in a disclosure log.</w:t>
      </w:r>
    </w:p>
    <w:p w14:paraId="3293A138" w14:textId="08ED519E" w:rsidR="004170FC" w:rsidRDefault="00B2318F" w:rsidP="00071216">
      <w:pPr>
        <w:pStyle w:val="NumberedParagraphs"/>
      </w:pPr>
      <w:bookmarkStart w:id="14" w:name="_Hlk29211945"/>
      <w:r>
        <w:t xml:space="preserve">Many </w:t>
      </w:r>
      <w:r w:rsidR="009C4D28">
        <w:t xml:space="preserve">FOI </w:t>
      </w:r>
      <w:r>
        <w:t xml:space="preserve">decisions </w:t>
      </w:r>
      <w:r w:rsidR="009C4D28">
        <w:t>exclude personal information, such as the names and contact details of Australian Government officers, following consultation with the FOI applicant. As a result, the issue of w</w:t>
      </w:r>
      <w:r w:rsidR="004170FC">
        <w:t xml:space="preserve">hether it would be unreasonable to publish </w:t>
      </w:r>
      <w:r w:rsidR="009C4D28">
        <w:t xml:space="preserve">this </w:t>
      </w:r>
      <w:r w:rsidR="004170FC">
        <w:t xml:space="preserve">personal information </w:t>
      </w:r>
      <w:r w:rsidR="009C4D28">
        <w:t xml:space="preserve">does not always arise. </w:t>
      </w:r>
      <w:r w:rsidR="00681244">
        <w:t>However, d</w:t>
      </w:r>
      <w:r w:rsidR="009C4D28">
        <w:t xml:space="preserve">eciding whether it </w:t>
      </w:r>
      <w:r w:rsidR="00681244">
        <w:t>will be</w:t>
      </w:r>
      <w:r w:rsidR="009C4D28">
        <w:t xml:space="preserve"> appropriate not to publish the personal information of </w:t>
      </w:r>
      <w:r w:rsidR="004170FC">
        <w:t>Australian Government officer</w:t>
      </w:r>
      <w:r w:rsidR="009C4D28">
        <w:t>s</w:t>
      </w:r>
      <w:r w:rsidR="004170FC">
        <w:t xml:space="preserve"> on the disclosure log will depend on a number of factors that should be considered case by case. The</w:t>
      </w:r>
      <w:r w:rsidR="00D171E5">
        <w:t>se</w:t>
      </w:r>
      <w:r w:rsidR="004170FC">
        <w:t xml:space="preserve"> factors include the nature of the information, the seniority of the officer, and whether the officer has made out a special case against disclosure. As a general guide, it </w:t>
      </w:r>
      <w:r w:rsidR="00D171E5">
        <w:t>is</w:t>
      </w:r>
      <w:r w:rsidR="004170FC">
        <w:t xml:space="preserve"> open to a decision maker to decide in a particular instance that it is unreasonable to publish on a disclosure log the direct work telephone number of an officer, or an officer’s signature. On the other hand, published documents will often contain the names of officers involved in a</w:t>
      </w:r>
      <w:r w:rsidR="00D171E5">
        <w:t>gency decision making</w:t>
      </w:r>
      <w:r w:rsidR="004170FC">
        <w:t>. An agency may wish to consult affected staff about whether potential harm could arise from publishing their names.</w:t>
      </w:r>
    </w:p>
    <w:p w14:paraId="6D4F515E" w14:textId="1360E15C" w:rsidR="00AF5FBC" w:rsidRDefault="004170FC" w:rsidP="00AF5FBC">
      <w:pPr>
        <w:pStyle w:val="NumberedParagraphs"/>
      </w:pPr>
      <w:bookmarkStart w:id="15" w:name="_Hlk29211955"/>
      <w:bookmarkEnd w:id="14"/>
      <w:r>
        <w:t>A</w:t>
      </w:r>
      <w:r w:rsidRPr="00A75FCB">
        <w:t xml:space="preserve">n agency or minister should </w:t>
      </w:r>
      <w:r w:rsidR="00A205E4">
        <w:t>state</w:t>
      </w:r>
      <w:r>
        <w:t xml:space="preserve"> when material is deleted from a document published on the disclosure log </w:t>
      </w:r>
      <w:r w:rsidRPr="00A75FCB">
        <w:t>beca</w:t>
      </w:r>
      <w:r>
        <w:t xml:space="preserve">use of an exception in s 11C(1). This includes personal information about agency officers. The </w:t>
      </w:r>
      <w:r w:rsidR="00A205E4">
        <w:t>statement</w:t>
      </w:r>
      <w:r>
        <w:t xml:space="preserve"> could be provided within the published document or in an accompanying statement.</w:t>
      </w:r>
    </w:p>
    <w:p w14:paraId="32958A90" w14:textId="44074638" w:rsidR="00AF5FBC" w:rsidRPr="00F34A0F" w:rsidRDefault="00AF5FBC" w:rsidP="00EB097D">
      <w:pPr>
        <w:pStyle w:val="Heading2-Unnumbered"/>
      </w:pPr>
      <w:bookmarkStart w:id="16" w:name="_Toc13644112"/>
      <w:bookmarkStart w:id="17" w:name="_Hlk29212755"/>
      <w:bookmarkStart w:id="18" w:name="_Toc237248264"/>
      <w:r w:rsidRPr="00F34A0F">
        <w:lastRenderedPageBreak/>
        <w:t>Making information publicly available</w:t>
      </w:r>
      <w:bookmarkEnd w:id="16"/>
      <w:bookmarkEnd w:id="17"/>
      <w:bookmarkEnd w:id="18"/>
    </w:p>
    <w:p w14:paraId="1DD1F8EE" w14:textId="127F071E" w:rsidR="00AF5FBC" w:rsidRDefault="00AF5FBC" w:rsidP="00AF5FBC">
      <w:pPr>
        <w:pStyle w:val="NumberedParagraphs"/>
      </w:pPr>
      <w:bookmarkStart w:id="19" w:name="_Hlk29212878"/>
      <w:bookmarkEnd w:id="15"/>
      <w:r>
        <w:t>When a decision has been made to publish information on a disclosure log, agencies and ministers need to consider a range of operational matters in making the information available and, more generally, in maintaining the disclosure log over time.</w:t>
      </w:r>
    </w:p>
    <w:p w14:paraId="6E4B2210" w14:textId="51F932CC" w:rsidR="00AF5FBC" w:rsidRPr="00F34A0F" w:rsidRDefault="00AF5FBC" w:rsidP="00071216">
      <w:pPr>
        <w:pStyle w:val="Heading3"/>
        <w:rPr>
          <w:szCs w:val="34"/>
        </w:rPr>
      </w:pPr>
      <w:bookmarkStart w:id="20" w:name="_Toc13644113"/>
      <w:bookmarkStart w:id="21" w:name="_Toc237248265"/>
      <w:r w:rsidRPr="00F34A0F">
        <w:rPr>
          <w:szCs w:val="34"/>
        </w:rPr>
        <w:t>Time of publication</w:t>
      </w:r>
      <w:bookmarkEnd w:id="20"/>
      <w:bookmarkEnd w:id="21"/>
    </w:p>
    <w:bookmarkEnd w:id="19"/>
    <w:p w14:paraId="35A32778" w14:textId="7E781D51" w:rsidR="00AF5FBC" w:rsidRDefault="00AF5FBC" w:rsidP="00071216">
      <w:pPr>
        <w:pStyle w:val="NumberedParagraphs"/>
      </w:pPr>
      <w:r>
        <w:t xml:space="preserve">Agencies and ministers must publish information on the disclosure log within </w:t>
      </w:r>
      <w:r w:rsidR="006A1B75">
        <w:t>10</w:t>
      </w:r>
      <w:r w:rsidRPr="002374F2">
        <w:t xml:space="preserve"> working days </w:t>
      </w:r>
      <w:r w:rsidR="00CF058C">
        <w:t xml:space="preserve">after the day </w:t>
      </w:r>
      <w:r>
        <w:t xml:space="preserve">the FOI applicant </w:t>
      </w:r>
      <w:r w:rsidR="00CF058C">
        <w:t>is</w:t>
      </w:r>
      <w:r>
        <w:t xml:space="preserve"> given access to a document (s 11C(6)).</w:t>
      </w:r>
    </w:p>
    <w:p w14:paraId="45DC21E6" w14:textId="3B47010E" w:rsidR="00151CB7" w:rsidRDefault="00AF5FBC" w:rsidP="00071216">
      <w:pPr>
        <w:pStyle w:val="NumberedParagraphs"/>
      </w:pPr>
      <w:r>
        <w:t>The date on which an FOI applicant is given access may be later than the date of the decision to grant access (</w:t>
      </w:r>
      <w:r w:rsidRPr="00507CCD">
        <w:t xml:space="preserve">see </w:t>
      </w:r>
      <w:hyperlink r:id="rId11" w:history="1">
        <w:r w:rsidRPr="00EB097D">
          <w:rPr>
            <w:rStyle w:val="Hyperlink"/>
          </w:rPr>
          <w:t>Part 3</w:t>
        </w:r>
      </w:hyperlink>
      <w:r w:rsidRPr="00507CCD">
        <w:t xml:space="preserve"> of these Guidelines</w:t>
      </w:r>
      <w:r>
        <w:t xml:space="preserve">). </w:t>
      </w:r>
      <w:r w:rsidRPr="00232A1F">
        <w:rPr>
          <w:rFonts w:cstheme="minorHAnsi"/>
        </w:rPr>
        <w:t xml:space="preserve">Before giving access, an agency or minister can require a charge </w:t>
      </w:r>
      <w:r>
        <w:rPr>
          <w:rFonts w:cstheme="minorHAnsi"/>
        </w:rPr>
        <w:t xml:space="preserve">to </w:t>
      </w:r>
      <w:r w:rsidRPr="00232A1F">
        <w:rPr>
          <w:rFonts w:cstheme="minorHAnsi"/>
        </w:rPr>
        <w:t xml:space="preserve">be paid (s 11A(1)(b) of the FOI Act and s 11(1) of the </w:t>
      </w:r>
      <w:r w:rsidRPr="00232A1F">
        <w:rPr>
          <w:rFonts w:cstheme="minorHAnsi"/>
          <w:bdr w:val="none" w:sz="0" w:space="0" w:color="auto" w:frame="1"/>
        </w:rPr>
        <w:t xml:space="preserve">Freedom of Information (Charges) Regulations </w:t>
      </w:r>
      <w:r>
        <w:rPr>
          <w:rFonts w:cstheme="minorHAnsi"/>
          <w:bdr w:val="none" w:sz="0" w:space="0" w:color="auto" w:frame="1"/>
        </w:rPr>
        <w:t>2019</w:t>
      </w:r>
      <w:r w:rsidRPr="00232A1F">
        <w:rPr>
          <w:rFonts w:cstheme="minorHAnsi"/>
          <w:shd w:val="clear" w:color="auto" w:fill="FFFFFF"/>
        </w:rPr>
        <w:t xml:space="preserve"> (</w:t>
      </w:r>
      <w:r w:rsidR="00D7427E">
        <w:rPr>
          <w:rFonts w:cstheme="minorHAnsi"/>
          <w:shd w:val="clear" w:color="auto" w:fill="FFFFFF"/>
        </w:rPr>
        <w:t xml:space="preserve">the </w:t>
      </w:r>
      <w:r w:rsidRPr="00232A1F">
        <w:rPr>
          <w:rFonts w:cstheme="minorHAnsi"/>
        </w:rPr>
        <w:t>Charges Regulations)</w:t>
      </w:r>
      <w:r>
        <w:rPr>
          <w:rFonts w:cstheme="minorHAnsi"/>
        </w:rPr>
        <w:t>)</w:t>
      </w:r>
      <w:r w:rsidRPr="00232A1F">
        <w:rPr>
          <w:rFonts w:cstheme="minorHAnsi"/>
        </w:rPr>
        <w:t>.</w:t>
      </w:r>
      <w:r w:rsidRPr="00676AB0">
        <w:t xml:space="preserve"> </w:t>
      </w:r>
      <w:r>
        <w:t xml:space="preserve">The agency or minister must also be satisfied that </w:t>
      </w:r>
      <w:r w:rsidRPr="00D05662">
        <w:t xml:space="preserve">all opportunities for review by third parties have run out </w:t>
      </w:r>
      <w:r>
        <w:t>and that the decision to grant access stands or was affirmed (ss 26A(4), 27(7) and 27A(6)).</w:t>
      </w:r>
    </w:p>
    <w:p w14:paraId="75CFD7B1" w14:textId="4A734DBD" w:rsidR="00AF5FBC" w:rsidRDefault="00AF5FBC" w:rsidP="00151CB7">
      <w:pPr>
        <w:pStyle w:val="NumberedParagraphs"/>
      </w:pPr>
      <w:r>
        <w:t xml:space="preserve">The </w:t>
      </w:r>
      <w:r w:rsidRPr="00B415B4">
        <w:t xml:space="preserve">date on which </w:t>
      </w:r>
      <w:r>
        <w:t>an FOI applicant</w:t>
      </w:r>
      <w:r w:rsidRPr="00B415B4">
        <w:t xml:space="preserve"> is given access may vary according to the method by which access is given. </w:t>
      </w:r>
      <w:r w:rsidR="00D97987">
        <w:t xml:space="preserve">When </w:t>
      </w:r>
      <w:r w:rsidRPr="00B415B4">
        <w:t>document</w:t>
      </w:r>
      <w:r w:rsidR="00D97987">
        <w:t>s are</w:t>
      </w:r>
      <w:r>
        <w:t xml:space="preserve"> sent by email </w:t>
      </w:r>
      <w:r w:rsidR="00D97987">
        <w:t xml:space="preserve">to the FOI applicant, they </w:t>
      </w:r>
      <w:r>
        <w:t xml:space="preserve">will be received </w:t>
      </w:r>
      <w:r w:rsidR="00D97987">
        <w:t>when they reach the FOI applicant’s mailbox (th</w:t>
      </w:r>
      <w:r w:rsidR="006F3803">
        <w:t xml:space="preserve">is </w:t>
      </w:r>
      <w:r w:rsidR="002D708E">
        <w:t xml:space="preserve">will </w:t>
      </w:r>
      <w:r w:rsidR="006F3803">
        <w:t xml:space="preserve">usually </w:t>
      </w:r>
      <w:r w:rsidR="002D708E">
        <w:t xml:space="preserve">be </w:t>
      </w:r>
      <w:r w:rsidR="00D97987">
        <w:t xml:space="preserve">the </w:t>
      </w:r>
      <w:r>
        <w:t>same day</w:t>
      </w:r>
      <w:r w:rsidR="00D97987">
        <w:t>)</w:t>
      </w:r>
      <w:r>
        <w:t>.</w:t>
      </w:r>
      <w:r w:rsidR="00D97987">
        <w:rPr>
          <w:rStyle w:val="FootnoteReference"/>
        </w:rPr>
        <w:footnoteReference w:id="7"/>
      </w:r>
      <w:r>
        <w:t xml:space="preserve"> If a document is sent by post it is presumed (unless the contrary is known) to have been received on the day it would be delivered in the ordinary course of post</w:t>
      </w:r>
      <w:r w:rsidR="00D97987">
        <w:t>.</w:t>
      </w:r>
      <w:r w:rsidR="00D97987">
        <w:rPr>
          <w:rStyle w:val="FootnoteReference"/>
        </w:rPr>
        <w:footnoteReference w:id="8"/>
      </w:r>
      <w:r w:rsidR="00EA7207">
        <w:t xml:space="preserve"> </w:t>
      </w:r>
      <w:r w:rsidR="00EA7207" w:rsidRPr="00EA7207">
        <w:t>Agencies should calculate th</w:t>
      </w:r>
      <w:r w:rsidR="00EA7207">
        <w:t>e</w:t>
      </w:r>
      <w:r w:rsidR="00EA7207" w:rsidRPr="00EA7207">
        <w:t xml:space="preserve"> date as a means of appropriately managing adherence to disclosure log timeframes.</w:t>
      </w:r>
    </w:p>
    <w:p w14:paraId="047907C7" w14:textId="447A2F51" w:rsidR="00AF5FBC" w:rsidRDefault="00AF5FBC" w:rsidP="00071216">
      <w:pPr>
        <w:pStyle w:val="NumberedParagraphs"/>
      </w:pPr>
      <w:r>
        <w:t>It is open to an agency or minister to publish information on a disclosure log</w:t>
      </w:r>
      <w:r w:rsidR="00967882">
        <w:t xml:space="preserve"> at any time within the </w:t>
      </w:r>
      <w:r w:rsidR="006A1B75">
        <w:t>10</w:t>
      </w:r>
      <w:r>
        <w:t xml:space="preserve"> </w:t>
      </w:r>
      <w:r w:rsidR="00967882">
        <w:t xml:space="preserve">working </w:t>
      </w:r>
      <w:r>
        <w:t xml:space="preserve">days stipulated in s 11C(6). Independently of the FOI Act, an agency or minister may (subject to applicable secrecy provisions) publish information at any time and by any method (s 3A). The FOI Act does not erode this discretion. </w:t>
      </w:r>
    </w:p>
    <w:p w14:paraId="127228F9" w14:textId="2FF3AE0D" w:rsidR="00AF5FBC" w:rsidRDefault="00AF5FBC" w:rsidP="00071216">
      <w:pPr>
        <w:pStyle w:val="NumberedParagraphs"/>
      </w:pPr>
      <w:r>
        <w:t xml:space="preserve">It is for each agency and minister to decide, generally and in individual cases, the particular day (within the </w:t>
      </w:r>
      <w:r w:rsidR="006A1B75">
        <w:t>10</w:t>
      </w:r>
      <w:r w:rsidR="002D708E">
        <w:t xml:space="preserve"> </w:t>
      </w:r>
      <w:r w:rsidR="00EB4E65">
        <w:t>day</w:t>
      </w:r>
      <w:r>
        <w:t xml:space="preserve"> period in s 11C(6)) on which information will be published on a disclosure log. The general practice of the agency or minister (if one has been adopted) should be made known publicly on the agency website and drawn to an FOI applicant’s attention. </w:t>
      </w:r>
    </w:p>
    <w:p w14:paraId="4AF151FF" w14:textId="68B5AA3C" w:rsidR="00AF5FBC" w:rsidRPr="00AF5FBC" w:rsidRDefault="00AF5FBC" w:rsidP="00967882">
      <w:pPr>
        <w:pStyle w:val="NumberedParagraphs"/>
        <w:numPr>
          <w:ilvl w:val="1"/>
          <w:numId w:val="10"/>
        </w:numPr>
      </w:pPr>
      <w:r>
        <w:t xml:space="preserve">The FOI Act does not preclude same day publication (that is, publication of information on the disclosure log within 24 hours of </w:t>
      </w:r>
      <w:r w:rsidR="00CA0E7C">
        <w:t xml:space="preserve">access being </w:t>
      </w:r>
      <w:r>
        <w:t>given to the FOI applicant)</w:t>
      </w:r>
      <w:r w:rsidR="00967882">
        <w:t>. In deciding when to publish</w:t>
      </w:r>
      <w:r w:rsidRPr="00AF5FBC">
        <w:t>, an agency or minister may consider the following issues:</w:t>
      </w:r>
    </w:p>
    <w:p w14:paraId="765E4CB8" w14:textId="08484890" w:rsidR="000D3999" w:rsidRPr="00AF5FBC" w:rsidRDefault="00AF5FBC" w:rsidP="002B3A85">
      <w:pPr>
        <w:pStyle w:val="NumberedParagraphs"/>
        <w:numPr>
          <w:ilvl w:val="0"/>
          <w:numId w:val="51"/>
        </w:numPr>
        <w:ind w:hanging="513"/>
      </w:pPr>
      <w:r w:rsidRPr="00AF5FBC">
        <w:t>t</w:t>
      </w:r>
      <w:r w:rsidR="00905B87">
        <w:t xml:space="preserve">elling the applicant </w:t>
      </w:r>
      <w:r w:rsidRPr="00AF5FBC">
        <w:t>this in advance of the proposed date of publication on the disclosure log</w:t>
      </w:r>
      <w:r w:rsidR="00905B87">
        <w:t xml:space="preserve"> and</w:t>
      </w:r>
    </w:p>
    <w:p w14:paraId="6B968EE9" w14:textId="2322A948" w:rsidR="00441A10" w:rsidRDefault="00905B87" w:rsidP="002B3A85">
      <w:pPr>
        <w:pStyle w:val="NumberedParagraphs"/>
        <w:numPr>
          <w:ilvl w:val="0"/>
          <w:numId w:val="51"/>
        </w:numPr>
        <w:ind w:hanging="513"/>
      </w:pPr>
      <w:r>
        <w:lastRenderedPageBreak/>
        <w:t>i</w:t>
      </w:r>
      <w:r w:rsidR="00AF5FBC" w:rsidRPr="00AF5FBC">
        <w:t>n a case of same day publication</w:t>
      </w:r>
      <w:r w:rsidR="006A1B75">
        <w:t>,</w:t>
      </w:r>
      <w:r w:rsidR="00AF5FBC" w:rsidRPr="00AF5FBC">
        <w:t xml:space="preserve"> the agency or minister should consider reducing or waiving any charges they may otherwise have imposed under s 29 (see </w:t>
      </w:r>
      <w:hyperlink r:id="rId12" w:history="1">
        <w:r w:rsidR="00AF5FBC" w:rsidRPr="002D708E">
          <w:rPr>
            <w:rStyle w:val="Hyperlink"/>
          </w:rPr>
          <w:t>Part 4</w:t>
        </w:r>
      </w:hyperlink>
      <w:r w:rsidR="00AF5FBC" w:rsidRPr="00AF5FBC">
        <w:t xml:space="preserve"> of these Guidelines). The reason for doing </w:t>
      </w:r>
      <w:r w:rsidR="002D708E">
        <w:t xml:space="preserve">this </w:t>
      </w:r>
      <w:r w:rsidR="00AF5FBC" w:rsidRPr="00AF5FBC">
        <w:t>is that the applicant will not have been given any different or greater access than the rest of the community.</w:t>
      </w:r>
    </w:p>
    <w:p w14:paraId="04279EB8" w14:textId="35311BC3" w:rsidR="000D3999" w:rsidRPr="00244B1D" w:rsidRDefault="000D3999" w:rsidP="00F82818">
      <w:pPr>
        <w:pStyle w:val="NumberedParagraphs"/>
        <w:numPr>
          <w:ilvl w:val="1"/>
          <w:numId w:val="10"/>
        </w:numPr>
      </w:pPr>
      <w:r>
        <w:t>To provide transparency in relation to the time of publication and an agency</w:t>
      </w:r>
      <w:r w:rsidR="00856B73">
        <w:t xml:space="preserve"> or minister’s </w:t>
      </w:r>
      <w:r>
        <w:t>compliance with s 11C(6), it is recommended that both the date the FOI applicant was given access to the documents</w:t>
      </w:r>
      <w:r w:rsidR="00967882">
        <w:t>,</w:t>
      </w:r>
      <w:r>
        <w:t xml:space="preserve"> and the date the documents </w:t>
      </w:r>
      <w:r w:rsidR="00967882">
        <w:t>a</w:t>
      </w:r>
      <w:r w:rsidR="00F05D53">
        <w:t>re published</w:t>
      </w:r>
      <w:r w:rsidR="00967882">
        <w:t>,</w:t>
      </w:r>
      <w:r w:rsidR="00F05D53">
        <w:t xml:space="preserve"> </w:t>
      </w:r>
      <w:r w:rsidR="00967882">
        <w:t>are</w:t>
      </w:r>
      <w:r w:rsidR="00F05D53">
        <w:t xml:space="preserve"> listed</w:t>
      </w:r>
      <w:r>
        <w:t xml:space="preserve"> on the disclosure log.</w:t>
      </w:r>
    </w:p>
    <w:bookmarkEnd w:id="8"/>
    <w:p w14:paraId="2785914C" w14:textId="62115C73" w:rsidR="00AF5FBC" w:rsidRDefault="00AF5FBC" w:rsidP="00F82818">
      <w:pPr>
        <w:pStyle w:val="NumberedParagraphs"/>
        <w:numPr>
          <w:ilvl w:val="1"/>
          <w:numId w:val="10"/>
        </w:numPr>
      </w:pPr>
      <w:r>
        <w:t>The Information Commissioner’s function of investigating complaints about agency FOI administration (s 70) can include complaints about the timing of disclosure log publication. For more information</w:t>
      </w:r>
      <w:r w:rsidRPr="00507CCD">
        <w:t xml:space="preserve">, see </w:t>
      </w:r>
      <w:r>
        <w:t>[14.</w:t>
      </w:r>
      <w:r w:rsidR="007B5686">
        <w:t>81</w:t>
      </w:r>
      <w:r w:rsidRPr="00507CCD">
        <w:t xml:space="preserve">] and </w:t>
      </w:r>
      <w:hyperlink r:id="rId13" w:history="1">
        <w:r w:rsidRPr="00D14C36">
          <w:rPr>
            <w:rStyle w:val="Hyperlink"/>
          </w:rPr>
          <w:t>Part 11</w:t>
        </w:r>
      </w:hyperlink>
      <w:r w:rsidRPr="00507CCD">
        <w:t xml:space="preserve"> of these Guidelines</w:t>
      </w:r>
      <w:r>
        <w:t>.</w:t>
      </w:r>
    </w:p>
    <w:p w14:paraId="3009C75D" w14:textId="4F1493E6" w:rsidR="00AF5FBC" w:rsidRPr="00FB1D2E" w:rsidRDefault="00AF5FBC" w:rsidP="00AF5FBC">
      <w:pPr>
        <w:pStyle w:val="Heading3"/>
      </w:pPr>
      <w:bookmarkStart w:id="22" w:name="_Toc13644114"/>
      <w:bookmarkStart w:id="23" w:name="_Toc237248266"/>
      <w:r w:rsidRPr="00FB1D2E">
        <w:t xml:space="preserve">Design and contents of </w:t>
      </w:r>
      <w:r w:rsidR="009D5E1B">
        <w:t xml:space="preserve">the </w:t>
      </w:r>
      <w:r w:rsidRPr="00FB1D2E">
        <w:t>disclosure log</w:t>
      </w:r>
      <w:bookmarkEnd w:id="22"/>
      <w:bookmarkEnd w:id="23"/>
    </w:p>
    <w:p w14:paraId="023215FA" w14:textId="637ABC83" w:rsidR="00AF5FBC" w:rsidRDefault="00AF5FBC" w:rsidP="00AF5FBC">
      <w:pPr>
        <w:pStyle w:val="NumberedParagraphs"/>
      </w:pPr>
      <w:r>
        <w:t xml:space="preserve">The FOI Act does not prescribe the form of a disclosure log. The community may benefit if agencies and ministers adopt a common approach, so that disclosure logs have a consistent appearance across </w:t>
      </w:r>
      <w:r w:rsidR="002D708E">
        <w:t>the Australian G</w:t>
      </w:r>
      <w:r>
        <w:t>overnment and can be easily understood. A disclosure log template is annexed to this document (</w:t>
      </w:r>
      <w:r w:rsidRPr="00507CCD">
        <w:t>see</w:t>
      </w:r>
      <w:r w:rsidR="00D14C36">
        <w:t xml:space="preserve"> </w:t>
      </w:r>
      <w:hyperlink w:anchor="_Annexure_A_—" w:history="1">
        <w:r w:rsidR="00856B73" w:rsidRPr="00856B73">
          <w:rPr>
            <w:rStyle w:val="Hyperlink"/>
          </w:rPr>
          <w:t>Annexure A — Template disclosure log</w:t>
        </w:r>
      </w:hyperlink>
      <w:r w:rsidRPr="00507CCD">
        <w:t>)</w:t>
      </w:r>
      <w:r>
        <w:t>. Modification of the headings in the template may be appropriate, depending on the nature of FOI requests an agency handles and its IT systems and information platforms.</w:t>
      </w:r>
    </w:p>
    <w:p w14:paraId="1040FDA2" w14:textId="11727E04" w:rsidR="00A15794" w:rsidRDefault="00A15794" w:rsidP="00071216">
      <w:pPr>
        <w:pStyle w:val="NumberedParagraphs"/>
      </w:pPr>
      <w:r>
        <w:t xml:space="preserve">Essentially, a disclosure log has </w:t>
      </w:r>
      <w:r w:rsidR="006A1B75">
        <w:t>3</w:t>
      </w:r>
      <w:r>
        <w:t xml:space="preserve"> parts:</w:t>
      </w:r>
    </w:p>
    <w:p w14:paraId="284EDAB6" w14:textId="77777777" w:rsidR="00A15794" w:rsidRDefault="00A15794" w:rsidP="00DA1484">
      <w:pPr>
        <w:numPr>
          <w:ilvl w:val="0"/>
          <w:numId w:val="34"/>
        </w:numPr>
        <w:tabs>
          <w:tab w:val="left" w:pos="567"/>
        </w:tabs>
        <w:spacing w:before="120"/>
      </w:pPr>
      <w:r>
        <w:t>the log (or table) published on an agency’s or minister’s website, listing the information that is available for public access</w:t>
      </w:r>
    </w:p>
    <w:p w14:paraId="74294E0F" w14:textId="48CDA529" w:rsidR="00A15794" w:rsidRDefault="00A15794" w:rsidP="00DA1484">
      <w:pPr>
        <w:numPr>
          <w:ilvl w:val="0"/>
          <w:numId w:val="34"/>
        </w:numPr>
        <w:tabs>
          <w:tab w:val="left" w:pos="567"/>
        </w:tabs>
        <w:spacing w:before="120"/>
      </w:pPr>
      <w:r>
        <w:t xml:space="preserve">information, which may be accessible in different ways — for example, directly </w:t>
      </w:r>
      <w:r w:rsidR="00E56A20">
        <w:t>from</w:t>
      </w:r>
      <w:r>
        <w:t xml:space="preserve"> the log as an attachment that can be downloaded, </w:t>
      </w:r>
      <w:r w:rsidR="003C30E6">
        <w:t xml:space="preserve">via a link to </w:t>
      </w:r>
      <w:r>
        <w:t>another website</w:t>
      </w:r>
      <w:r w:rsidR="003C30E6">
        <w:t xml:space="preserve"> from which it can be downloaded</w:t>
      </w:r>
      <w:r>
        <w:t xml:space="preserve">, or on request if it is not reasonably practicable to publish on </w:t>
      </w:r>
      <w:r w:rsidR="00CE4492">
        <w:t xml:space="preserve">an </w:t>
      </w:r>
      <w:r>
        <w:t>agency</w:t>
      </w:r>
      <w:r w:rsidR="00CE4492">
        <w:t xml:space="preserve"> or minister’</w:t>
      </w:r>
      <w:r>
        <w:t>s website</w:t>
      </w:r>
    </w:p>
    <w:p w14:paraId="6FA47C66" w14:textId="77777777" w:rsidR="00A15794" w:rsidRDefault="00A15794" w:rsidP="00DA1484">
      <w:pPr>
        <w:numPr>
          <w:ilvl w:val="0"/>
          <w:numId w:val="34"/>
        </w:numPr>
        <w:tabs>
          <w:tab w:val="left" w:pos="567"/>
        </w:tabs>
        <w:spacing w:before="120" w:after="240"/>
      </w:pPr>
      <w:r>
        <w:t>a search facility applying to both the disclosure log and any attached information.</w:t>
      </w:r>
    </w:p>
    <w:p w14:paraId="6AE35114" w14:textId="2141E4AF" w:rsidR="00A15794" w:rsidRDefault="00A15794" w:rsidP="00071216">
      <w:pPr>
        <w:pStyle w:val="NumberedParagraphs"/>
      </w:pPr>
      <w:r>
        <w:t xml:space="preserve">Section 11C requires publication of information </w:t>
      </w:r>
      <w:r w:rsidRPr="00277B1E">
        <w:t>contained in documents to which</w:t>
      </w:r>
      <w:r>
        <w:t xml:space="preserve"> access has been granted under the FOI Act, rather than publication of the </w:t>
      </w:r>
      <w:r w:rsidRPr="00277B1E">
        <w:t>documents themselves</w:t>
      </w:r>
      <w:r>
        <w:t>.</w:t>
      </w:r>
      <w:r w:rsidRPr="00277B1E">
        <w:t xml:space="preserve"> </w:t>
      </w:r>
      <w:r>
        <w:t xml:space="preserve">However, publication of the actual documents released </w:t>
      </w:r>
      <w:r w:rsidRPr="00277B1E">
        <w:t xml:space="preserve">(subject to </w:t>
      </w:r>
      <w:r>
        <w:t xml:space="preserve">deletion of material </w:t>
      </w:r>
      <w:r w:rsidRPr="00277B1E">
        <w:t>under s</w:t>
      </w:r>
      <w:r w:rsidR="00400C89">
        <w:t> </w:t>
      </w:r>
      <w:r w:rsidRPr="00277B1E">
        <w:t>11C)</w:t>
      </w:r>
      <w:r>
        <w:t xml:space="preserve"> is consistent with the </w:t>
      </w:r>
      <w:r w:rsidR="001E4CF4">
        <w:t>objects</w:t>
      </w:r>
      <w:r>
        <w:t xml:space="preserve"> of the FOI Act. Publication of the documents </w:t>
      </w:r>
      <w:r w:rsidR="00F14DA1">
        <w:t xml:space="preserve">that are </w:t>
      </w:r>
      <w:r>
        <w:t>released can also avoid doubt about whether the disclosure log accurately records information released under the FOI Act.</w:t>
      </w:r>
    </w:p>
    <w:p w14:paraId="5FB3150C" w14:textId="1445F8BA" w:rsidR="00A15794" w:rsidRPr="00DF1189" w:rsidRDefault="00BB006B" w:rsidP="00071216">
      <w:pPr>
        <w:pStyle w:val="NumberedParagraphs"/>
      </w:pPr>
      <w:r>
        <w:t xml:space="preserve">Publication of documents efficiently facilitates public access and reduces an agency or minister’s costs of processing requests for the same or similar information. </w:t>
      </w:r>
      <w:r w:rsidR="00A15794">
        <w:t xml:space="preserve">As discussed at </w:t>
      </w:r>
      <w:r w:rsidR="00A15794" w:rsidRPr="00507CCD">
        <w:t>[14.</w:t>
      </w:r>
      <w:r w:rsidR="007B5686">
        <w:t>11</w:t>
      </w:r>
      <w:r w:rsidR="00A15794" w:rsidRPr="00507CCD">
        <w:t>]</w:t>
      </w:r>
      <w:r w:rsidR="00A15794">
        <w:t xml:space="preserve"> above, the </w:t>
      </w:r>
      <w:r w:rsidR="00A15794" w:rsidRPr="0074554C">
        <w:t>I</w:t>
      </w:r>
      <w:r w:rsidR="00A15794">
        <w:t xml:space="preserve">nformation </w:t>
      </w:r>
      <w:r w:rsidR="00A15794" w:rsidRPr="0074554C">
        <w:t>C</w:t>
      </w:r>
      <w:r w:rsidR="00A15794">
        <w:t>ommissioner</w:t>
      </w:r>
      <w:r w:rsidR="00A15794" w:rsidRPr="00BD57F8">
        <w:t xml:space="preserve"> </w:t>
      </w:r>
      <w:r w:rsidR="00400C89">
        <w:t>considers</w:t>
      </w:r>
      <w:r w:rsidR="00A15794" w:rsidRPr="00CB7985">
        <w:t xml:space="preserve"> </w:t>
      </w:r>
      <w:r w:rsidR="00A15794">
        <w:t xml:space="preserve">that </w:t>
      </w:r>
      <w:r w:rsidR="00A15794" w:rsidRPr="0074554C">
        <w:t>documents should be made available for download</w:t>
      </w:r>
      <w:r w:rsidR="00A15794">
        <w:t xml:space="preserve"> from a website (ss 11C(3)(a) or (b)). Publication of documents </w:t>
      </w:r>
      <w:r w:rsidR="00F45207">
        <w:t>on</w:t>
      </w:r>
      <w:r w:rsidR="00A15794">
        <w:t xml:space="preserve"> the disclosure log, rather than providing a description of the documents and how they can be obtained on request from the agency or minister, is consistent with the FOI Act object of </w:t>
      </w:r>
      <w:r w:rsidR="00A15794">
        <w:lastRenderedPageBreak/>
        <w:t>facilitating public access to government information.</w:t>
      </w:r>
      <w:r w:rsidR="00A15794">
        <w:rPr>
          <w:rStyle w:val="FootnoteReference"/>
        </w:rPr>
        <w:footnoteReference w:id="9"/>
      </w:r>
      <w:r w:rsidR="00A15794">
        <w:t xml:space="preserve"> </w:t>
      </w:r>
      <w:bookmarkStart w:id="24" w:name="_Hlk49089620"/>
      <w:r w:rsidRPr="00DF1189">
        <w:t>A</w:t>
      </w:r>
      <w:r w:rsidRPr="00DF1189">
        <w:rPr>
          <w:rFonts w:ascii="Source Sans Pro" w:eastAsia="Times New Roman" w:hAnsi="Source Sans Pro" w:cstheme="minorHAnsi"/>
          <w:szCs w:val="22"/>
          <w:lang w:eastAsia="en-AU"/>
        </w:rPr>
        <w:t>gencies should only publish a description of a document on the disclosure log and ask members of the public to contact them for access if it is not technically possible to upload documents due to file size, or the requirement for specialist software to view the information, or for any other reason</w:t>
      </w:r>
      <w:r w:rsidR="00F14DA1" w:rsidRPr="00DF1189">
        <w:rPr>
          <w:rFonts w:ascii="Source Sans Pro" w:eastAsia="Times New Roman" w:hAnsi="Source Sans Pro" w:cstheme="minorHAnsi"/>
          <w:szCs w:val="22"/>
          <w:lang w:eastAsia="en-AU"/>
        </w:rPr>
        <w:t xml:space="preserve"> of</w:t>
      </w:r>
      <w:r w:rsidRPr="00DF1189">
        <w:rPr>
          <w:rFonts w:ascii="Source Sans Pro" w:eastAsia="Times New Roman" w:hAnsi="Source Sans Pro" w:cstheme="minorHAnsi"/>
          <w:szCs w:val="22"/>
          <w:lang w:eastAsia="en-AU"/>
        </w:rPr>
        <w:t xml:space="preserve"> this nature. </w:t>
      </w:r>
    </w:p>
    <w:bookmarkEnd w:id="24"/>
    <w:p w14:paraId="4972777B" w14:textId="1D01365E" w:rsidR="007E3546" w:rsidRDefault="00A15794" w:rsidP="00071216">
      <w:pPr>
        <w:pStyle w:val="NumberedParagraphs"/>
      </w:pPr>
      <w:r>
        <w:t>If the disclosure log contains only a description of the documents released, th</w:t>
      </w:r>
      <w:r w:rsidR="00B74F4C">
        <w:t>e</w:t>
      </w:r>
      <w:r>
        <w:t xml:space="preserve"> description should be sufficient to allow the public to understand what those documents contain, so that an informed decision </w:t>
      </w:r>
      <w:r w:rsidR="004B3467">
        <w:t xml:space="preserve">can be made </w:t>
      </w:r>
      <w:r>
        <w:t xml:space="preserve">about whether to request a copy. </w:t>
      </w:r>
      <w:r w:rsidR="006425B7">
        <w:t>P</w:t>
      </w:r>
      <w:r>
        <w:t xml:space="preserve">roviding </w:t>
      </w:r>
      <w:r w:rsidR="006425B7">
        <w:t xml:space="preserve">only </w:t>
      </w:r>
      <w:r>
        <w:t xml:space="preserve">the FOI request </w:t>
      </w:r>
      <w:r w:rsidR="006425B7">
        <w:t xml:space="preserve">reference </w:t>
      </w:r>
      <w:r>
        <w:t xml:space="preserve">number </w:t>
      </w:r>
      <w:r w:rsidR="00D037ED">
        <w:t>is not</w:t>
      </w:r>
      <w:r>
        <w:t xml:space="preserve"> sufficient</w:t>
      </w:r>
      <w:r w:rsidR="00DB10A1">
        <w:t>; t</w:t>
      </w:r>
      <w:r w:rsidR="00D8051A">
        <w:t xml:space="preserve">he </w:t>
      </w:r>
      <w:r>
        <w:t xml:space="preserve">description </w:t>
      </w:r>
      <w:r w:rsidR="008F1643">
        <w:t>needs to</w:t>
      </w:r>
      <w:r>
        <w:t xml:space="preserve"> specifically </w:t>
      </w:r>
      <w:r w:rsidR="00163C32">
        <w:t xml:space="preserve">identify </w:t>
      </w:r>
      <w:r>
        <w:t>the content of the documents.</w:t>
      </w:r>
      <w:r w:rsidR="00B74F4C">
        <w:t xml:space="preserve"> Further, providing a fulsome description aids document searches.</w:t>
      </w:r>
    </w:p>
    <w:p w14:paraId="459FBD64" w14:textId="1BE052D4" w:rsidR="00A15794" w:rsidRDefault="007E3546" w:rsidP="00071216">
      <w:pPr>
        <w:pStyle w:val="NumberedParagraphs"/>
      </w:pPr>
      <w:r>
        <w:t>I</w:t>
      </w:r>
      <w:r w:rsidR="00872418">
        <w:t xml:space="preserve">f the document </w:t>
      </w:r>
      <w:r w:rsidR="004B3467">
        <w:t>is</w:t>
      </w:r>
      <w:r w:rsidR="00872418">
        <w:t xml:space="preserve"> not published</w:t>
      </w:r>
      <w:r w:rsidR="004B3467">
        <w:t xml:space="preserve"> for download</w:t>
      </w:r>
      <w:r w:rsidR="00872418">
        <w:t>, i</w:t>
      </w:r>
      <w:r>
        <w:t xml:space="preserve">t is recommended that as well as </w:t>
      </w:r>
      <w:r w:rsidR="00D8051A">
        <w:t>providing a clear description of the subject matter of the documents, agencies specify the document type (for example, email, brief, text message</w:t>
      </w:r>
      <w:r w:rsidR="004452DD">
        <w:t>, report</w:t>
      </w:r>
      <w:r w:rsidR="00D8051A">
        <w:t xml:space="preserve"> etc).</w:t>
      </w:r>
    </w:p>
    <w:p w14:paraId="4A9CA754" w14:textId="7E42A57E" w:rsidR="00A15794" w:rsidRDefault="00A15794" w:rsidP="00071216">
      <w:pPr>
        <w:pStyle w:val="NumberedParagraphs"/>
      </w:pPr>
      <w:r>
        <w:t xml:space="preserve">When a person asks for a copy of documents described </w:t>
      </w:r>
      <w:r w:rsidR="00F14DA1">
        <w:t>o</w:t>
      </w:r>
      <w:r>
        <w:t xml:space="preserve">n a disclosure log, the documents should be provided </w:t>
      </w:r>
      <w:r w:rsidR="009C798C">
        <w:t>as soon as reasonably practicable, which should be</w:t>
      </w:r>
      <w:r w:rsidR="004B3467">
        <w:t xml:space="preserve"> no more than </w:t>
      </w:r>
      <w:r w:rsidR="00967BD1">
        <w:t>5</w:t>
      </w:r>
      <w:r>
        <w:t xml:space="preserve"> working days </w:t>
      </w:r>
      <w:r w:rsidR="008F1643">
        <w:t>after</w:t>
      </w:r>
      <w:r>
        <w:t xml:space="preserve"> the request </w:t>
      </w:r>
      <w:r w:rsidR="008F1643">
        <w:t>is</w:t>
      </w:r>
      <w:r>
        <w:t xml:space="preserve"> received. It is not appropriate to treat an application for documents described on a disclosure log, but not directly available, as an FOI request under s 15</w:t>
      </w:r>
      <w:r w:rsidR="00F14DA1">
        <w:t xml:space="preserve"> of the FOI Act</w:t>
      </w:r>
      <w:r>
        <w:t>. The purpose of publication on a disclosure log under s 11(3) is to ‘publish the information to members of the public generally’. Further, it is not appropriate to impose a charge</w:t>
      </w:r>
      <w:r w:rsidRPr="00E02927">
        <w:t xml:space="preserve"> </w:t>
      </w:r>
      <w:r>
        <w:t xml:space="preserve">under s 29 for access </w:t>
      </w:r>
      <w:r w:rsidR="0038461B">
        <w:t xml:space="preserve">to </w:t>
      </w:r>
      <w:r>
        <w:t>the information described on a disclosure log. An agency or minister can only impose a charge in the limited circumstances outlined in s 11(4) (</w:t>
      </w:r>
      <w:r w:rsidRPr="00507CCD">
        <w:t xml:space="preserve">see </w:t>
      </w:r>
      <w:r w:rsidRPr="00C8514E">
        <w:t>[14.</w:t>
      </w:r>
      <w:r w:rsidR="007B5686">
        <w:t>7</w:t>
      </w:r>
      <w:r w:rsidR="006215F0">
        <w:t>4</w:t>
      </w:r>
      <w:r w:rsidRPr="00C8514E">
        <w:t>]–[14.</w:t>
      </w:r>
      <w:r w:rsidR="008F1643" w:rsidRPr="00C8514E">
        <w:t>7</w:t>
      </w:r>
      <w:r w:rsidR="007B5686">
        <w:t>9</w:t>
      </w:r>
      <w:r w:rsidRPr="008F1643">
        <w:t>]</w:t>
      </w:r>
      <w:r w:rsidRPr="00507CCD">
        <w:t xml:space="preserve"> below</w:t>
      </w:r>
      <w:r>
        <w:t xml:space="preserve">). </w:t>
      </w:r>
    </w:p>
    <w:p w14:paraId="7EF5C881" w14:textId="7D26D06E" w:rsidR="00A15794" w:rsidRDefault="00967BD1" w:rsidP="00071216">
      <w:pPr>
        <w:pStyle w:val="NumberedParagraphs"/>
      </w:pPr>
      <w:r>
        <w:t>In some limited circumstanc</w:t>
      </w:r>
      <w:r w:rsidR="00BD28EB">
        <w:t>e</w:t>
      </w:r>
      <w:r>
        <w:t>s,</w:t>
      </w:r>
      <w:r w:rsidR="00A15794">
        <w:t xml:space="preserve"> </w:t>
      </w:r>
      <w:r w:rsidR="00205C62">
        <w:t xml:space="preserve">it may </w:t>
      </w:r>
      <w:r w:rsidR="00A15794" w:rsidRPr="001F00BC">
        <w:t xml:space="preserve">be more practical for </w:t>
      </w:r>
      <w:r w:rsidR="00A15794">
        <w:t xml:space="preserve">an </w:t>
      </w:r>
      <w:r w:rsidR="00A15794" w:rsidRPr="001F00BC">
        <w:t>agenc</w:t>
      </w:r>
      <w:r w:rsidR="00A15794">
        <w:t>y</w:t>
      </w:r>
      <w:r w:rsidR="00A15794" w:rsidRPr="001F00BC">
        <w:t xml:space="preserve"> </w:t>
      </w:r>
      <w:r w:rsidR="00F14DA1">
        <w:t xml:space="preserve">or minister </w:t>
      </w:r>
      <w:r w:rsidR="00A15794" w:rsidRPr="001F00BC">
        <w:t>to publish the content of a document on th</w:t>
      </w:r>
      <w:r w:rsidR="00A15794">
        <w:t>e</w:t>
      </w:r>
      <w:r w:rsidR="00A15794" w:rsidRPr="001F00BC">
        <w:t xml:space="preserve"> disclosure log in a different form, rather than publishing the document itself. For example, if the FOI applicant inspected a document or viewed a video it may be necessary to make a different publication arrangement </w:t>
      </w:r>
      <w:r w:rsidR="00A15794">
        <w:t>o</w:t>
      </w:r>
      <w:r w:rsidR="00A15794" w:rsidRPr="001F00BC">
        <w:t xml:space="preserve">n the disclosure log. Similarly, if a document </w:t>
      </w:r>
      <w:r w:rsidR="00A15794">
        <w:t>released</w:t>
      </w:r>
      <w:r w:rsidR="00A15794" w:rsidRPr="001F00BC">
        <w:t xml:space="preserve"> to an </w:t>
      </w:r>
      <w:r w:rsidR="00A15794">
        <w:t xml:space="preserve">FOI </w:t>
      </w:r>
      <w:r w:rsidR="00A15794" w:rsidRPr="001F00BC">
        <w:t>applicant would be difficult to publish online in an accessi</w:t>
      </w:r>
      <w:r w:rsidR="00A15794">
        <w:t xml:space="preserve">ble </w:t>
      </w:r>
      <w:r w:rsidR="004B3467">
        <w:t>way</w:t>
      </w:r>
      <w:r w:rsidR="00A15794">
        <w:t xml:space="preserve"> (</w:t>
      </w:r>
      <w:r w:rsidR="00A15794" w:rsidRPr="00507CCD">
        <w:t>see [</w:t>
      </w:r>
      <w:r w:rsidR="00A15794">
        <w:t>14.</w:t>
      </w:r>
      <w:r w:rsidR="008F1643">
        <w:t>6</w:t>
      </w:r>
      <w:r w:rsidR="007B5686">
        <w:t>6</w:t>
      </w:r>
      <w:r w:rsidR="00A15794" w:rsidRPr="00507CCD">
        <w:t>]–[</w:t>
      </w:r>
      <w:r w:rsidR="00A15794">
        <w:t>14.</w:t>
      </w:r>
      <w:r w:rsidR="007B5686">
        <w:t>71</w:t>
      </w:r>
      <w:r w:rsidR="00A15794" w:rsidRPr="00507CCD">
        <w:t>] below</w:t>
      </w:r>
      <w:r w:rsidR="00A15794" w:rsidRPr="001F00BC">
        <w:t xml:space="preserve">), publishing the information in the document in a different </w:t>
      </w:r>
      <w:r w:rsidR="00A15794">
        <w:t xml:space="preserve">accessible </w:t>
      </w:r>
      <w:r w:rsidR="00A15794" w:rsidRPr="001F00BC">
        <w:t>form may be more efficient</w:t>
      </w:r>
      <w:r w:rsidR="00B81D39">
        <w:t xml:space="preserve"> (for example, as a Word document or providing a textual description of an image)</w:t>
      </w:r>
      <w:r w:rsidR="00A15794" w:rsidRPr="001F00BC">
        <w:t>.</w:t>
      </w:r>
    </w:p>
    <w:p w14:paraId="4D7B84E0" w14:textId="77777777" w:rsidR="00A15794" w:rsidRPr="00A15794" w:rsidRDefault="00A15794" w:rsidP="00A15794">
      <w:pPr>
        <w:pStyle w:val="NumberedParagraphs"/>
      </w:pPr>
      <w:r w:rsidRPr="00A15794">
        <w:t>It is also open to an agency or minister to supplement the information they are required to make available under s 11C, in particular by publishing the following additional information:</w:t>
      </w:r>
    </w:p>
    <w:p w14:paraId="16A57519" w14:textId="30A9ED7B" w:rsidR="00A15794" w:rsidRPr="00A15794" w:rsidRDefault="00A15794" w:rsidP="00071216">
      <w:pPr>
        <w:pStyle w:val="NumberedParagraphs"/>
        <w:numPr>
          <w:ilvl w:val="1"/>
          <w:numId w:val="53"/>
        </w:numPr>
      </w:pPr>
      <w:r w:rsidRPr="00A15794">
        <w:t>the terms of the FOI request that prompted release of the information (this c</w:t>
      </w:r>
      <w:r w:rsidR="006E515F">
        <w:t>an</w:t>
      </w:r>
      <w:r w:rsidRPr="00A15794">
        <w:t xml:space="preserve"> be provided in a summary form, rather than as a copy of the FOI request)</w:t>
      </w:r>
    </w:p>
    <w:p w14:paraId="6489ECE3" w14:textId="5516FE4D" w:rsidR="00A15794" w:rsidRPr="00A15794" w:rsidRDefault="00A15794" w:rsidP="00071216">
      <w:pPr>
        <w:pStyle w:val="NumberedParagraphs"/>
        <w:numPr>
          <w:ilvl w:val="1"/>
          <w:numId w:val="53"/>
        </w:numPr>
      </w:pPr>
      <w:r w:rsidRPr="00A15794">
        <w:t>whether the FOI applicant was given access to all documents requested, and if not, the exemption or other basis on which partial access was granted</w:t>
      </w:r>
      <w:r w:rsidR="007C5FCE">
        <w:t xml:space="preserve"> (this information can be provided in a summary form)</w:t>
      </w:r>
      <w:r w:rsidRPr="00A15794">
        <w:t xml:space="preserve"> and</w:t>
      </w:r>
    </w:p>
    <w:p w14:paraId="1A51B222" w14:textId="7D797FA7" w:rsidR="00A15794" w:rsidRPr="00A15794" w:rsidRDefault="00A15794" w:rsidP="00071216">
      <w:pPr>
        <w:pStyle w:val="NumberedParagraphs"/>
        <w:numPr>
          <w:ilvl w:val="1"/>
          <w:numId w:val="53"/>
        </w:numPr>
      </w:pPr>
      <w:r w:rsidRPr="00A15794">
        <w:lastRenderedPageBreak/>
        <w:t>whether all the information provided to the FOI applicant has been made publicly available under s 11C and, if not, the nature of the information that has not been made available.</w:t>
      </w:r>
    </w:p>
    <w:p w14:paraId="1432FB8A" w14:textId="171538DE" w:rsidR="00A15794" w:rsidRDefault="00A15794" w:rsidP="00071216">
      <w:pPr>
        <w:pStyle w:val="NumberedParagraphs"/>
      </w:pPr>
      <w:r>
        <w:t>These details will assist the public understand the information made available by an agency or minister on its disclosure log.</w:t>
      </w:r>
    </w:p>
    <w:p w14:paraId="50B6D7F9" w14:textId="096D95DA" w:rsidR="00AC61BF" w:rsidRDefault="00AC61BF" w:rsidP="00AC61BF">
      <w:pPr>
        <w:pStyle w:val="NumberedParagraphs"/>
      </w:pPr>
      <w:r>
        <w:t>Some agencies assist their minister by publishing the minister’s disclosure log entries on the agency’s disclosure log. The FOI Act does not require</w:t>
      </w:r>
      <w:r w:rsidR="00DC7C77">
        <w:t>,</w:t>
      </w:r>
      <w:r>
        <w:t xml:space="preserve"> or prescribe</w:t>
      </w:r>
      <w:r w:rsidR="00DC7C77">
        <w:t>,</w:t>
      </w:r>
      <w:r>
        <w:t xml:space="preserve"> a way for agencies to give access to their minister’s disclosure log entries. However, statutory accountability may be reduced without a clear statement that the agency is also publishing documents released in response to FOI requests made to the relevant minister (or associated agency or board) and how the public can identify those requests. As a result, agencies should clearly indicate in the introduction</w:t>
      </w:r>
      <w:r w:rsidR="00DC7C77">
        <w:t xml:space="preserve"> to the disclosure log</w:t>
      </w:r>
      <w:r>
        <w:t xml:space="preserve"> that</w:t>
      </w:r>
      <w:r w:rsidR="00DC7C77">
        <w:t xml:space="preserve"> it </w:t>
      </w:r>
      <w:r>
        <w:t xml:space="preserve">also includes documents released in response to FOI requests made to the relevant minister (or associated agency or board). Agencies should </w:t>
      </w:r>
      <w:r w:rsidR="00DC7C77">
        <w:t xml:space="preserve">also </w:t>
      </w:r>
      <w:r>
        <w:t>provide a filter t</w:t>
      </w:r>
      <w:r w:rsidR="00DC7C77">
        <w:t xml:space="preserve">o allow selection of </w:t>
      </w:r>
      <w:r>
        <w:t xml:space="preserve">entries by </w:t>
      </w:r>
      <w:r w:rsidR="00DC7C77">
        <w:t xml:space="preserve">the </w:t>
      </w:r>
      <w:r>
        <w:t xml:space="preserve">agency or minister. </w:t>
      </w:r>
    </w:p>
    <w:p w14:paraId="7825338F" w14:textId="598586C3" w:rsidR="00A15794" w:rsidRDefault="00A15794" w:rsidP="00071216">
      <w:pPr>
        <w:pStyle w:val="NumberedParagraphs"/>
      </w:pPr>
      <w:r>
        <w:t xml:space="preserve">A practical design issue that arises is whether additional information of the kind described above should be listed on the disclosure log or provided as an attachment or preface to the information made available under the disclosure log. The template disclosure log at </w:t>
      </w:r>
      <w:hyperlink w:anchor="_Freedom_of_Information" w:history="1">
        <w:r w:rsidR="001571D1" w:rsidRPr="001571D1">
          <w:rPr>
            <w:rStyle w:val="Hyperlink"/>
          </w:rPr>
          <w:t>Annexure A — Template Disclosure Log</w:t>
        </w:r>
      </w:hyperlink>
      <w:r>
        <w:t xml:space="preserve"> contains a column for summarising the relevant FOI request, so that all relevant information is provided in a single table. However, this will increase the size of the table and agencies </w:t>
      </w:r>
      <w:r w:rsidR="001F3408">
        <w:t xml:space="preserve">and ministers </w:t>
      </w:r>
      <w:r>
        <w:t>may prefer to include this information elsewhere on their disclosure log webpage.</w:t>
      </w:r>
    </w:p>
    <w:p w14:paraId="4D59FCB8" w14:textId="311F4486" w:rsidR="00A15794" w:rsidRDefault="00A15794" w:rsidP="00F82F2C">
      <w:pPr>
        <w:pStyle w:val="NumberedParagraphs"/>
      </w:pPr>
      <w:r>
        <w:t xml:space="preserve">It is also open to an agency or minister to supplement the disclosure log in other ways. For example, an agency may wish to highlight that information in a document published on the disclosure log has been revised and published in a different form; that the information provides only partial </w:t>
      </w:r>
      <w:r w:rsidR="00967BD1">
        <w:t xml:space="preserve">or superseded information about </w:t>
      </w:r>
      <w:r>
        <w:t>an issue; or that the information is taken from an internal working paper or other document that does not necessarily reflect the views of the agency, minister or the Australian Government. Any supplementation of this kind should be distinct from the information published on the disclosure log. The disclosure log should provide an accurate historical record of information in documents released by an agency or minister under the FOI Act. However, s 11C does not require publication of documents recording the FOI decision-making process</w:t>
      </w:r>
      <w:r w:rsidR="00205C62">
        <w:t xml:space="preserve"> </w:t>
      </w:r>
      <w:r w:rsidR="001F3408">
        <w:t>because</w:t>
      </w:r>
      <w:r>
        <w:t xml:space="preserve"> the work involved in doing so may pose an additional administrative burden without any corresponding public benefit.</w:t>
      </w:r>
    </w:p>
    <w:p w14:paraId="0B7EF59A" w14:textId="77777777" w:rsidR="00F82F2C" w:rsidRPr="00A0709E" w:rsidRDefault="00F82F2C" w:rsidP="00F82F2C">
      <w:pPr>
        <w:pStyle w:val="Heading2"/>
      </w:pPr>
      <w:bookmarkStart w:id="25" w:name="_Toc13644115"/>
      <w:bookmarkStart w:id="26" w:name="_Toc237248267"/>
      <w:r w:rsidRPr="00A0709E">
        <w:t>Facilitating access</w:t>
      </w:r>
      <w:bookmarkEnd w:id="25"/>
      <w:bookmarkEnd w:id="26"/>
    </w:p>
    <w:p w14:paraId="20A0DD54" w14:textId="5750BFDA" w:rsidR="00F82F2C" w:rsidRDefault="00F82F2C" w:rsidP="00071216">
      <w:pPr>
        <w:pStyle w:val="NumberedParagraphs"/>
      </w:pPr>
      <w:r>
        <w:t>The disclosure log is intended to facilitate public access to government information where there has been a demonstrated interest in that information. To fulfil this objective it is important that the disclosure log and attached documents are easy to find on an agency</w:t>
      </w:r>
      <w:r w:rsidR="00AA5F95">
        <w:t>’s</w:t>
      </w:r>
      <w:r>
        <w:t xml:space="preserve"> or minister’s website.</w:t>
      </w:r>
    </w:p>
    <w:p w14:paraId="5657A4D3" w14:textId="49BC09FA" w:rsidR="00F82F2C" w:rsidRDefault="00275452" w:rsidP="00071216">
      <w:pPr>
        <w:pStyle w:val="NumberedParagraphs"/>
      </w:pPr>
      <w:r>
        <w:lastRenderedPageBreak/>
        <w:t>A</w:t>
      </w:r>
      <w:r w:rsidR="00F82F2C">
        <w:t>gencies and m</w:t>
      </w:r>
      <w:r w:rsidR="00F82F2C" w:rsidDel="004019CA">
        <w:t>i</w:t>
      </w:r>
      <w:r w:rsidR="00F82F2C">
        <w:t>nisters are strongly encouraged to ensure that the disclosure log (including attached documents) is:</w:t>
      </w:r>
    </w:p>
    <w:p w14:paraId="7B5B0D2A" w14:textId="77777777" w:rsidR="00F82F2C" w:rsidRDefault="00F82F2C" w:rsidP="00DA1484">
      <w:pPr>
        <w:numPr>
          <w:ilvl w:val="0"/>
          <w:numId w:val="34"/>
        </w:numPr>
        <w:tabs>
          <w:tab w:val="left" w:pos="567"/>
        </w:tabs>
        <w:spacing w:before="120"/>
      </w:pPr>
      <w:r>
        <w:t>easily discoverable and understandable</w:t>
      </w:r>
    </w:p>
    <w:p w14:paraId="6F14EE47" w14:textId="77777777" w:rsidR="00F82F2C" w:rsidRDefault="00F82F2C" w:rsidP="00DA1484">
      <w:pPr>
        <w:numPr>
          <w:ilvl w:val="0"/>
          <w:numId w:val="34"/>
        </w:numPr>
        <w:tabs>
          <w:tab w:val="left" w:pos="567"/>
        </w:tabs>
        <w:spacing w:before="120"/>
      </w:pPr>
      <w:r>
        <w:t>machine-readable</w:t>
      </w:r>
    </w:p>
    <w:p w14:paraId="11061AE6" w14:textId="361C6417" w:rsidR="00F82F2C" w:rsidRDefault="00D72822" w:rsidP="00DA1484">
      <w:pPr>
        <w:numPr>
          <w:ilvl w:val="0"/>
          <w:numId w:val="34"/>
        </w:numPr>
        <w:tabs>
          <w:tab w:val="left" w:pos="567"/>
        </w:tabs>
        <w:spacing w:before="120"/>
      </w:pPr>
      <w:r>
        <w:t>presented in a table</w:t>
      </w:r>
    </w:p>
    <w:p w14:paraId="43E29EBC" w14:textId="33346BE0" w:rsidR="008703EF" w:rsidRPr="00507CCD" w:rsidRDefault="00D72822" w:rsidP="00DA1484">
      <w:pPr>
        <w:numPr>
          <w:ilvl w:val="0"/>
          <w:numId w:val="34"/>
        </w:numPr>
        <w:tabs>
          <w:tab w:val="left" w:pos="567"/>
        </w:tabs>
        <w:spacing w:before="120"/>
      </w:pPr>
      <w:r>
        <w:t xml:space="preserve">accessible — in particular, it </w:t>
      </w:r>
      <w:r w:rsidR="00AA5F95">
        <w:t xml:space="preserve">should </w:t>
      </w:r>
      <w:r>
        <w:t xml:space="preserve">meet </w:t>
      </w:r>
      <w:r w:rsidR="004B3467">
        <w:t xml:space="preserve">the </w:t>
      </w:r>
      <w:r>
        <w:t>agency</w:t>
      </w:r>
      <w:r w:rsidR="004B3467">
        <w:t xml:space="preserve">’s or minister’s </w:t>
      </w:r>
      <w:r>
        <w:t xml:space="preserve">online accessibility obligations </w:t>
      </w:r>
      <w:r w:rsidRPr="00981211">
        <w:t>(</w:t>
      </w:r>
      <w:r w:rsidRPr="00507CCD">
        <w:t>see [</w:t>
      </w:r>
      <w:r>
        <w:t>14.</w:t>
      </w:r>
      <w:r w:rsidR="006D5DD5">
        <w:t>6</w:t>
      </w:r>
      <w:r w:rsidR="007B5686">
        <w:t>6</w:t>
      </w:r>
      <w:r w:rsidRPr="00507CCD">
        <w:t>]–[</w:t>
      </w:r>
      <w:r>
        <w:t>14.</w:t>
      </w:r>
      <w:r w:rsidR="007B5686">
        <w:t>71</w:t>
      </w:r>
      <w:r w:rsidRPr="00507CCD">
        <w:t>] below)</w:t>
      </w:r>
    </w:p>
    <w:p w14:paraId="4B01545A" w14:textId="15B4E844" w:rsidR="00D72822" w:rsidRDefault="00205C62" w:rsidP="003E0C0A">
      <w:pPr>
        <w:numPr>
          <w:ilvl w:val="0"/>
          <w:numId w:val="34"/>
        </w:numPr>
        <w:tabs>
          <w:tab w:val="left" w:pos="567"/>
        </w:tabs>
        <w:spacing w:before="120"/>
      </w:pPr>
      <w:r>
        <w:t>as</w:t>
      </w:r>
      <w:r w:rsidR="00D72822">
        <w:t xml:space="preserve"> far as </w:t>
      </w:r>
      <w:r>
        <w:t xml:space="preserve">is </w:t>
      </w:r>
      <w:r w:rsidR="00D72822">
        <w:t>possible, made available for reuse on open licensing terms, so as to enhance the economic and social value of the information.</w:t>
      </w:r>
      <w:r w:rsidR="00D72822">
        <w:rPr>
          <w:rStyle w:val="FootnoteReference"/>
        </w:rPr>
        <w:footnoteReference w:id="10"/>
      </w:r>
    </w:p>
    <w:p w14:paraId="66A221E7" w14:textId="6BE54827" w:rsidR="00F82F2C" w:rsidRDefault="00F82F2C" w:rsidP="00071216">
      <w:pPr>
        <w:pStyle w:val="NumberedParagraphs"/>
      </w:pPr>
      <w:r>
        <w:t xml:space="preserve">Agencies and ministers are encouraged to release information on the disclosure log as a </w:t>
      </w:r>
      <w:r w:rsidR="00E94452">
        <w:t>machine readable or searchable</w:t>
      </w:r>
      <w:r>
        <w:t xml:space="preserve"> PDF</w:t>
      </w:r>
      <w:r w:rsidR="006E515F">
        <w:t>,</w:t>
      </w:r>
      <w:r>
        <w:t xml:space="preserve"> or in HTML </w:t>
      </w:r>
      <w:r w:rsidR="001F3408">
        <w:t xml:space="preserve">format </w:t>
      </w:r>
      <w:r>
        <w:t xml:space="preserve">to ensure readability and accessibility of information. Agencies and ministers should avoid publishing scanned documents on their disclosure log wherever possible. </w:t>
      </w:r>
    </w:p>
    <w:p w14:paraId="74FB8982" w14:textId="4650DBD4" w:rsidR="00F82F2C" w:rsidRPr="00D66BAE" w:rsidRDefault="00F82F2C" w:rsidP="00DA1484">
      <w:pPr>
        <w:pStyle w:val="NumberedParagraphs"/>
      </w:pPr>
      <w:r w:rsidRPr="00D66BAE">
        <w:t xml:space="preserve">The Information Commissioner recommends that the following </w:t>
      </w:r>
      <w:r w:rsidR="00155310">
        <w:t>5</w:t>
      </w:r>
      <w:r w:rsidRPr="00D66BAE">
        <w:t xml:space="preserve"> features be</w:t>
      </w:r>
      <w:r w:rsidRPr="00DA1484">
        <w:t xml:space="preserve"> integrated into the design and ongoing administration of the disclosure log.</w:t>
      </w:r>
    </w:p>
    <w:p w14:paraId="201750D8" w14:textId="278CEB16" w:rsidR="00D72822" w:rsidRPr="00E83CC4" w:rsidRDefault="00D72822" w:rsidP="00071216">
      <w:pPr>
        <w:pStyle w:val="NumberedParagraphs"/>
      </w:pPr>
      <w:r>
        <w:t>First, the disclosure log will be more easily discoverable if agenc</w:t>
      </w:r>
      <w:r w:rsidR="001F3408">
        <w:t xml:space="preserve">ies and </w:t>
      </w:r>
      <w:r>
        <w:t>minister</w:t>
      </w:r>
      <w:r w:rsidR="001F3408">
        <w:t>s</w:t>
      </w:r>
      <w:r>
        <w:t xml:space="preserve"> use the ‘</w:t>
      </w:r>
      <w:r w:rsidR="004B3467">
        <w:t>Access to information</w:t>
      </w:r>
      <w:r>
        <w:t xml:space="preserve">’ icon recommended by the Information Commissioner </w:t>
      </w:r>
      <w:r w:rsidR="004B3467">
        <w:t xml:space="preserve">which </w:t>
      </w:r>
      <w:r>
        <w:t>link</w:t>
      </w:r>
      <w:r w:rsidR="004B3467">
        <w:t>s</w:t>
      </w:r>
      <w:r>
        <w:t xml:space="preserve"> to the disclosure log from a prominent webpage</w:t>
      </w:r>
      <w:r w:rsidR="008F5459">
        <w:t xml:space="preserve"> (for example, an access to information page)</w:t>
      </w:r>
      <w:r w:rsidR="004B3467">
        <w:t>.</w:t>
      </w:r>
      <w:r w:rsidR="004B3467" w:rsidDel="004B3467">
        <w:t xml:space="preserve"> </w:t>
      </w:r>
      <w:r>
        <w:t>Information about how to use the OAIC-developed icon is available</w:t>
      </w:r>
      <w:r w:rsidR="008F5459">
        <w:t xml:space="preserve"> on the OAIC website.</w:t>
      </w:r>
      <w:r w:rsidRPr="0097273A">
        <w:rPr>
          <w:rStyle w:val="FootnoteReference"/>
        </w:rPr>
        <w:footnoteReference w:id="11"/>
      </w:r>
    </w:p>
    <w:p w14:paraId="0D6506FC" w14:textId="35BA4C6D" w:rsidR="00F82F2C" w:rsidRDefault="00F82F2C" w:rsidP="00071216">
      <w:pPr>
        <w:pStyle w:val="NumberedParagraphs"/>
      </w:pPr>
      <w:r>
        <w:t>Second, agencies and ministers should clearly but briefly explain the purpose of the disclosure log — for example</w:t>
      </w:r>
      <w:r w:rsidR="003A2510">
        <w:t xml:space="preserve">, to provide access to </w:t>
      </w:r>
      <w:r>
        <w:t xml:space="preserve">‘publicly available information, released </w:t>
      </w:r>
      <w:r w:rsidR="000377B1">
        <w:t>in response to</w:t>
      </w:r>
      <w:r>
        <w:t xml:space="preserve"> an FOI request’.</w:t>
      </w:r>
    </w:p>
    <w:p w14:paraId="076724C2" w14:textId="17341AA4" w:rsidR="00D72822" w:rsidRDefault="00D72822" w:rsidP="00071216">
      <w:pPr>
        <w:pStyle w:val="NumberedParagraphs"/>
      </w:pPr>
      <w:r>
        <w:t xml:space="preserve">Third, agencies and ministers </w:t>
      </w:r>
      <w:r w:rsidR="003A2510">
        <w:t>should</w:t>
      </w:r>
      <w:r>
        <w:t xml:space="preserve"> enable information on the disclosure log to be searched — for example</w:t>
      </w:r>
      <w:r w:rsidR="00426648">
        <w:t>,</w:t>
      </w:r>
      <w:r>
        <w:t xml:space="preserve"> by reference to particular words, categories or subject matter.</w:t>
      </w:r>
      <w:r>
        <w:rPr>
          <w:rStyle w:val="FootnoteReference"/>
        </w:rPr>
        <w:footnoteReference w:id="12"/>
      </w:r>
      <w:r w:rsidR="0017347F">
        <w:t xml:space="preserve"> </w:t>
      </w:r>
      <w:r w:rsidR="005F640A">
        <w:t>Using HTML text to d</w:t>
      </w:r>
      <w:r w:rsidR="0017347F">
        <w:t>escrib</w:t>
      </w:r>
      <w:r w:rsidR="005F640A">
        <w:t>e</w:t>
      </w:r>
      <w:r w:rsidR="0017347F">
        <w:t xml:space="preserve"> the documents will allow </w:t>
      </w:r>
      <w:r w:rsidR="005F640A">
        <w:t xml:space="preserve">them to be indexed and </w:t>
      </w:r>
      <w:r w:rsidR="0017347F">
        <w:t xml:space="preserve">discovered by external search engines. </w:t>
      </w:r>
    </w:p>
    <w:p w14:paraId="112B020F" w14:textId="32C40624" w:rsidR="00F82F2C" w:rsidRDefault="009A0293" w:rsidP="00071216">
      <w:pPr>
        <w:pStyle w:val="NumberedParagraphs"/>
      </w:pPr>
      <w:r>
        <w:t xml:space="preserve">Fourth, </w:t>
      </w:r>
      <w:r w:rsidR="004074F3">
        <w:t xml:space="preserve">to ensure greater awareness of their </w:t>
      </w:r>
      <w:r>
        <w:t>disclosure log, agencies and ministers should</w:t>
      </w:r>
      <w:r w:rsidR="00AA5F95">
        <w:t xml:space="preserve"> consider</w:t>
      </w:r>
      <w:r>
        <w:t xml:space="preserve"> us</w:t>
      </w:r>
      <w:r w:rsidR="00AA5F95">
        <w:t>ing</w:t>
      </w:r>
      <w:r>
        <w:t xml:space="preserve"> appropriate </w:t>
      </w:r>
      <w:r w:rsidR="00C73197">
        <w:t>online</w:t>
      </w:r>
      <w:r>
        <w:t xml:space="preserve"> channels to </w:t>
      </w:r>
      <w:r w:rsidR="004074F3">
        <w:t xml:space="preserve">publicise its </w:t>
      </w:r>
      <w:r w:rsidR="00D64233">
        <w:t xml:space="preserve">existence and </w:t>
      </w:r>
      <w:r w:rsidR="004074F3">
        <w:t>content</w:t>
      </w:r>
      <w:r w:rsidR="00F82F2C">
        <w:t xml:space="preserve">. </w:t>
      </w:r>
      <w:r w:rsidRPr="00C327F6">
        <w:t xml:space="preserve">Use of </w:t>
      </w:r>
      <w:r w:rsidR="00515036">
        <w:t xml:space="preserve">online and </w:t>
      </w:r>
      <w:r w:rsidRPr="000D07B6">
        <w:t>social media content</w:t>
      </w:r>
      <w:r w:rsidRPr="00C327F6">
        <w:t xml:space="preserve"> has the additional benefit of being highly machine-readable. If used with appropriate open licences, </w:t>
      </w:r>
      <w:r w:rsidR="007066E0">
        <w:t>automated news and announcement</w:t>
      </w:r>
      <w:r>
        <w:t xml:space="preserve"> feed</w:t>
      </w:r>
      <w:r w:rsidR="00515036">
        <w:t>s</w:t>
      </w:r>
      <w:r w:rsidR="003A2510">
        <w:t>, it</w:t>
      </w:r>
      <w:r w:rsidRPr="00C327F6">
        <w:t xml:space="preserve"> </w:t>
      </w:r>
      <w:r w:rsidR="00272EA0">
        <w:t>can be used to</w:t>
      </w:r>
      <w:r w:rsidRPr="00C327F6">
        <w:t xml:space="preserve"> mak</w:t>
      </w:r>
      <w:r w:rsidR="00272EA0">
        <w:t>e</w:t>
      </w:r>
      <w:r w:rsidRPr="00C327F6">
        <w:t xml:space="preserve"> disclosure log content available for reuse</w:t>
      </w:r>
      <w:r>
        <w:t xml:space="preserve"> in other services</w:t>
      </w:r>
      <w:r w:rsidR="00B80E06">
        <w:t xml:space="preserve">, </w:t>
      </w:r>
      <w:r>
        <w:t>applications</w:t>
      </w:r>
      <w:r w:rsidR="00B80E06">
        <w:t xml:space="preserve"> and social media platforms</w:t>
      </w:r>
      <w:r w:rsidR="00F82F2C">
        <w:t xml:space="preserve">, such as </w:t>
      </w:r>
      <w:r w:rsidR="004D5E98">
        <w:rPr>
          <w:noProof/>
        </w:rPr>
        <w:t>public websites that faciliate access to documents</w:t>
      </w:r>
      <w:r w:rsidR="00F82F2C">
        <w:t>.</w:t>
      </w:r>
      <w:r w:rsidR="001D3BD3">
        <w:t xml:space="preserve"> This practice may </w:t>
      </w:r>
      <w:r w:rsidR="001D3BD3">
        <w:lastRenderedPageBreak/>
        <w:t>encourage individuals to review agency disclosure</w:t>
      </w:r>
      <w:r w:rsidR="000E1535">
        <w:t xml:space="preserve"> logs</w:t>
      </w:r>
      <w:r w:rsidR="001D3BD3">
        <w:t xml:space="preserve"> before making an FOI request</w:t>
      </w:r>
      <w:r w:rsidR="00C84D40">
        <w:t xml:space="preserve"> for specific documents</w:t>
      </w:r>
      <w:r w:rsidR="001D3BD3">
        <w:t>.</w:t>
      </w:r>
    </w:p>
    <w:p w14:paraId="33C2CBCE" w14:textId="34D9BF5B" w:rsidR="000937D6" w:rsidRDefault="00D9127D" w:rsidP="00357AF4">
      <w:pPr>
        <w:pStyle w:val="NumberedParagraphs"/>
      </w:pPr>
      <w:r>
        <w:t>Fifth</w:t>
      </w:r>
      <w:r w:rsidR="00F82F2C">
        <w:t xml:space="preserve">, it is important for agencies and ministers to </w:t>
      </w:r>
      <w:r w:rsidR="009A0293">
        <w:t>generate</w:t>
      </w:r>
      <w:r>
        <w:t xml:space="preserve"> and publish</w:t>
      </w:r>
      <w:r w:rsidR="009A0293">
        <w:t xml:space="preserve"> appropriate</w:t>
      </w:r>
      <w:r w:rsidR="009A0293" w:rsidRPr="00947ACF">
        <w:t xml:space="preserve"> metadata</w:t>
      </w:r>
      <w:r w:rsidR="00F82F2C" w:rsidRPr="00947ACF">
        <w:t xml:space="preserve">. </w:t>
      </w:r>
      <w:r w:rsidR="00F82F2C">
        <w:t>This will</w:t>
      </w:r>
      <w:r w:rsidR="00F82F2C" w:rsidRPr="00947ACF">
        <w:t xml:space="preserve"> </w:t>
      </w:r>
      <w:r w:rsidR="00F82F2C" w:rsidRPr="00E80DCA">
        <w:t>improve the visibility and accessibility of web services and linked data applications</w:t>
      </w:r>
      <w:r w:rsidR="00F82F2C">
        <w:t>.</w:t>
      </w:r>
      <w:r w:rsidR="000937D6">
        <w:t xml:space="preserve"> </w:t>
      </w:r>
      <w:r w:rsidR="009C798C">
        <w:t>G</w:t>
      </w:r>
      <w:r w:rsidR="000937D6" w:rsidRPr="00657666">
        <w:t xml:space="preserve">uidance on implementing </w:t>
      </w:r>
      <w:r w:rsidR="000937D6">
        <w:t>m</w:t>
      </w:r>
      <w:r w:rsidR="000937D6" w:rsidRPr="00657666">
        <w:t xml:space="preserve">etadata for the </w:t>
      </w:r>
      <w:r w:rsidR="000937D6">
        <w:t>w</w:t>
      </w:r>
      <w:r w:rsidR="000937D6" w:rsidRPr="00657666">
        <w:t xml:space="preserve">eb is available on the National Australian Archives (NAA) </w:t>
      </w:r>
      <w:r w:rsidR="000937D6">
        <w:t>web</w:t>
      </w:r>
      <w:r w:rsidR="000937D6" w:rsidRPr="00657666">
        <w:t>site</w:t>
      </w:r>
      <w:r w:rsidR="000937D6">
        <w:t>.</w:t>
      </w:r>
      <w:r w:rsidR="000937D6">
        <w:rPr>
          <w:rStyle w:val="FootnoteReference"/>
        </w:rPr>
        <w:footnoteReference w:id="13"/>
      </w:r>
    </w:p>
    <w:p w14:paraId="6222A913" w14:textId="0DB68954" w:rsidR="00F82F2C" w:rsidRDefault="00F82F2C" w:rsidP="00071216">
      <w:pPr>
        <w:pStyle w:val="NumberedParagraphs"/>
      </w:pPr>
      <w:r>
        <w:t xml:space="preserve">It is important that all disclosure logs are clearly identified and contain the features </w:t>
      </w:r>
      <w:r w:rsidRPr="00071216">
        <w:t>discussed in these Guidelines</w:t>
      </w:r>
      <w:r>
        <w:t xml:space="preserve">. </w:t>
      </w:r>
      <w:r w:rsidRPr="00507CCD">
        <w:t>As noted at [</w:t>
      </w:r>
      <w:r w:rsidR="002D7C51">
        <w:t>14.</w:t>
      </w:r>
      <w:r w:rsidR="007B5686">
        <w:t>5</w:t>
      </w:r>
      <w:r w:rsidR="00ED616F">
        <w:t>1</w:t>
      </w:r>
      <w:r w:rsidRPr="00507CCD">
        <w:t>] above</w:t>
      </w:r>
      <w:r>
        <w:t xml:space="preserve">, agencies may also wish to publish other information alongside the disclosure log, such as links to historical or other relevant information. This publication can fall under an agency’s general discretion to publish information outside of the FOI Act, where no other legal restrictions apply (s 3A). It can also fall under the explicit provision in s 8(4) </w:t>
      </w:r>
      <w:r w:rsidR="004A32EF">
        <w:t>which permits</w:t>
      </w:r>
      <w:r>
        <w:t xml:space="preserve"> agencies to proactively publish information through the IPS.</w:t>
      </w:r>
    </w:p>
    <w:p w14:paraId="66BD2BE5" w14:textId="24D6EA45" w:rsidR="00F82F2C" w:rsidRPr="005653ED" w:rsidRDefault="00F82F2C" w:rsidP="00F82F2C">
      <w:pPr>
        <w:pStyle w:val="Heading3"/>
      </w:pPr>
      <w:bookmarkStart w:id="27" w:name="_Toc13644116"/>
      <w:bookmarkStart w:id="28" w:name="_Toc237248268"/>
      <w:r w:rsidRPr="005653ED">
        <w:t>Accessibility</w:t>
      </w:r>
      <w:bookmarkEnd w:id="27"/>
      <w:bookmarkEnd w:id="28"/>
    </w:p>
    <w:p w14:paraId="0249E2E9" w14:textId="2D2FED69" w:rsidR="00F82F2C" w:rsidRDefault="00F82F2C" w:rsidP="00071216">
      <w:pPr>
        <w:pStyle w:val="NumberedParagraphs"/>
      </w:pPr>
      <w:r>
        <w:t xml:space="preserve">The disclosure log must be published to ‘members of the public generally’ (s 11C(3)) and must be done in accordance with an agency’s </w:t>
      </w:r>
      <w:r w:rsidRPr="000217BC">
        <w:t>accessibility obligations</w:t>
      </w:r>
      <w:r>
        <w:t>.</w:t>
      </w:r>
      <w:r>
        <w:rPr>
          <w:rStyle w:val="FootnoteReference"/>
        </w:rPr>
        <w:footnoteReference w:id="14"/>
      </w:r>
      <w:r w:rsidDel="00236FE2">
        <w:rPr>
          <w:rStyle w:val="FootnoteReference"/>
        </w:rPr>
        <w:t xml:space="preserve"> </w:t>
      </w:r>
      <w:r>
        <w:t xml:space="preserve"> Accessibility of published information by all members of the community is therefore an important issue for agencies and ministers to consider when managing a disclosure log.</w:t>
      </w:r>
    </w:p>
    <w:p w14:paraId="6792BBA4" w14:textId="05B3AEED" w:rsidR="00F82F2C" w:rsidRDefault="00F82F2C" w:rsidP="00071216">
      <w:pPr>
        <w:pStyle w:val="NumberedParagraphs"/>
      </w:pPr>
      <w:r>
        <w:t xml:space="preserve">Challenges associated with publishing documents in an accessible manner do not </w:t>
      </w:r>
      <w:r w:rsidR="00D66BAE">
        <w:t xml:space="preserve">diminish the need to </w:t>
      </w:r>
      <w:r>
        <w:t xml:space="preserve">comply with </w:t>
      </w:r>
      <w:r w:rsidR="00D66BAE">
        <w:t xml:space="preserve">the </w:t>
      </w:r>
      <w:r>
        <w:t xml:space="preserve">publication requirements in </w:t>
      </w:r>
      <w:r w:rsidR="004A32EF">
        <w:t>s </w:t>
      </w:r>
      <w:r>
        <w:t xml:space="preserve">11C. </w:t>
      </w:r>
      <w:r w:rsidR="00934AEC">
        <w:t>Publishing documents in HTML format provides optimal accessibility however t</w:t>
      </w:r>
      <w:r w:rsidRPr="00071216">
        <w:t>h</w:t>
      </w:r>
      <w:r w:rsidR="00934AEC">
        <w:t>is may not be possible in all cases. If</w:t>
      </w:r>
      <w:r w:rsidRPr="00071216">
        <w:t xml:space="preserve"> a document published </w:t>
      </w:r>
      <w:r>
        <w:t>o</w:t>
      </w:r>
      <w:r w:rsidRPr="00071216">
        <w:t xml:space="preserve">n the disclosure log is not available in HTML, the agency or minister should provide an alternative means to access the information that is both timely and responsive to the needs of the user. </w:t>
      </w:r>
      <w:r w:rsidR="009A0293" w:rsidRPr="000D07B6">
        <w:t>The agency or minister must respond promptly to requests for alternative access.</w:t>
      </w:r>
      <w:r w:rsidR="009A0293">
        <w:t xml:space="preserve"> </w:t>
      </w:r>
    </w:p>
    <w:p w14:paraId="34428902" w14:textId="5CD59D03" w:rsidR="00E55217" w:rsidRDefault="00F82F2C" w:rsidP="00E55217">
      <w:pPr>
        <w:pStyle w:val="NumberedParagraphs"/>
        <w:numPr>
          <w:ilvl w:val="1"/>
          <w:numId w:val="10"/>
        </w:numPr>
      </w:pPr>
      <w:r>
        <w:t xml:space="preserve">Australian Government agencies and ministers are required to meet the </w:t>
      </w:r>
      <w:r w:rsidR="00674620" w:rsidRPr="00CF2B53">
        <w:t>obligation</w:t>
      </w:r>
      <w:r w:rsidR="009C798C">
        <w:t>s set out in</w:t>
      </w:r>
      <w:r w:rsidR="00674620" w:rsidRPr="00CF2B53">
        <w:t xml:space="preserve"> the </w:t>
      </w:r>
      <w:r w:rsidR="00674620">
        <w:t xml:space="preserve">latest version of the </w:t>
      </w:r>
      <w:r w:rsidR="00674620" w:rsidRPr="00CF2B53">
        <w:t>Web Content Accessibility Guidelines</w:t>
      </w:r>
      <w:r w:rsidR="00674620">
        <w:t xml:space="preserve"> </w:t>
      </w:r>
      <w:r w:rsidR="00674620" w:rsidRPr="00CF2B53">
        <w:t>(WCAG)</w:t>
      </w:r>
      <w:r w:rsidR="00E55217">
        <w:t>.</w:t>
      </w:r>
      <w:bookmarkStart w:id="29" w:name="_Hlk29217070"/>
      <w:r w:rsidR="00E55217">
        <w:rPr>
          <w:rStyle w:val="FootnoteReference"/>
        </w:rPr>
        <w:footnoteReference w:id="15"/>
      </w:r>
      <w:bookmarkEnd w:id="29"/>
      <w:r w:rsidR="00E55217">
        <w:t xml:space="preserve"> </w:t>
      </w:r>
    </w:p>
    <w:p w14:paraId="33048814" w14:textId="09F55F39" w:rsidR="00F82F2C" w:rsidRDefault="00F82F2C" w:rsidP="00071216">
      <w:pPr>
        <w:pStyle w:val="NumberedParagraphs"/>
      </w:pPr>
      <w:r>
        <w:t xml:space="preserve">The Australian Human Rights Commission has published </w:t>
      </w:r>
      <w:r w:rsidRPr="00E55217">
        <w:rPr>
          <w:i/>
        </w:rPr>
        <w:t>World Wide Web Access: Disability Discrimination Act Advisory Notes</w:t>
      </w:r>
      <w:r>
        <w:t xml:space="preserve"> (</w:t>
      </w:r>
      <w:r w:rsidR="00E55217" w:rsidRPr="00D9127D">
        <w:t>Version 4.</w:t>
      </w:r>
      <w:r w:rsidR="00E55217" w:rsidRPr="00C52AD3">
        <w:t>1</w:t>
      </w:r>
      <w:r>
        <w:t>).</w:t>
      </w:r>
      <w:r>
        <w:rPr>
          <w:rStyle w:val="FootnoteReference"/>
        </w:rPr>
        <w:footnoteReference w:id="16"/>
      </w:r>
    </w:p>
    <w:p w14:paraId="4FE53E09" w14:textId="3E80C0F7" w:rsidR="00F82F2C" w:rsidRDefault="00F82F2C" w:rsidP="00071216">
      <w:pPr>
        <w:pStyle w:val="NumberedParagraphs"/>
      </w:pPr>
      <w:r>
        <w:lastRenderedPageBreak/>
        <w:t>It may not be straightforward to publish some documents in an accessible manner on a disclosure log. This may be an issue, for example, if information has been redacted from the document or the agency or minister only holds the hard copy document</w:t>
      </w:r>
      <w:r w:rsidR="00003AAC">
        <w:t>.</w:t>
      </w:r>
      <w:r>
        <w:t xml:space="preserve"> </w:t>
      </w:r>
    </w:p>
    <w:p w14:paraId="2889B6CA" w14:textId="0519C8BD" w:rsidR="00F82F2C" w:rsidRDefault="00F82F2C" w:rsidP="00071216">
      <w:pPr>
        <w:pStyle w:val="NumberedParagraphs"/>
      </w:pPr>
      <w:r>
        <w:t xml:space="preserve">Other options that an agency or minister should consider to strengthen accessibility include: </w:t>
      </w:r>
    </w:p>
    <w:p w14:paraId="46361CDA" w14:textId="31DA89C2" w:rsidR="00F82F2C" w:rsidRDefault="00F82F2C" w:rsidP="00285FB2">
      <w:pPr>
        <w:numPr>
          <w:ilvl w:val="0"/>
          <w:numId w:val="34"/>
        </w:numPr>
        <w:tabs>
          <w:tab w:val="left" w:pos="567"/>
        </w:tabs>
        <w:spacing w:before="120"/>
      </w:pPr>
      <w:r>
        <w:t xml:space="preserve">Working from original electronic documents wherever possible. Agencies and ministers should not publish scanned hard copies of electronic documents on their disclosure log. Instead, the original electronic document should be used wherever possible. Electronic redaction tools enable publication of electronic documents edited under s 22 </w:t>
      </w:r>
      <w:r w:rsidRPr="00507CCD">
        <w:t>(see [</w:t>
      </w:r>
      <w:r>
        <w:t>14.</w:t>
      </w:r>
      <w:r w:rsidR="007B5686">
        <w:t>72</w:t>
      </w:r>
      <w:r w:rsidRPr="00507CCD">
        <w:t>]–[</w:t>
      </w:r>
      <w:r>
        <w:t>14.</w:t>
      </w:r>
      <w:r w:rsidR="00703A2B">
        <w:t>7</w:t>
      </w:r>
      <w:r w:rsidR="007B5686">
        <w:t>3</w:t>
      </w:r>
      <w:r w:rsidRPr="00507CCD">
        <w:t>] below</w:t>
      </w:r>
      <w:r>
        <w:t xml:space="preserve">). </w:t>
      </w:r>
    </w:p>
    <w:p w14:paraId="24FDBD40" w14:textId="25BB5898" w:rsidR="00F82F2C" w:rsidRDefault="00F82F2C" w:rsidP="00285FB2">
      <w:pPr>
        <w:numPr>
          <w:ilvl w:val="0"/>
          <w:numId w:val="34"/>
        </w:numPr>
        <w:tabs>
          <w:tab w:val="left" w:pos="567"/>
        </w:tabs>
        <w:spacing w:before="120"/>
      </w:pPr>
      <w:r>
        <w:t xml:space="preserve">Applying optical character recognition (OCR) and associated accessibility optimisation to scanned hard copy documents when the original electronic document is not available. If it is necessary to publish a scanned document on the disclosure log, the agency or minister should use a multi-function printer or other device that can capture scans at a </w:t>
      </w:r>
      <w:r w:rsidR="00C10F1F">
        <w:t xml:space="preserve">sufficiently </w:t>
      </w:r>
      <w:r>
        <w:t>high resolution to produce good-quality OCR. Agencies and ministers should also apply OCR to electronic documents containing images of text (such as image files, or PDF files not optimised for accessibility) whe</w:t>
      </w:r>
      <w:r w:rsidR="0075064F">
        <w:t>re</w:t>
      </w:r>
      <w:r>
        <w:t xml:space="preserve"> it is not reasonably practical to transcribe the content of the document in HTML.</w:t>
      </w:r>
    </w:p>
    <w:p w14:paraId="355202DD" w14:textId="60DE2687" w:rsidR="00F82F2C" w:rsidRDefault="00875E9B" w:rsidP="00285FB2">
      <w:pPr>
        <w:numPr>
          <w:ilvl w:val="0"/>
          <w:numId w:val="34"/>
        </w:numPr>
        <w:tabs>
          <w:tab w:val="left" w:pos="567"/>
        </w:tabs>
        <w:spacing w:before="120"/>
      </w:pPr>
      <w:r>
        <w:t>Including a description of the accessibility status of information on the disclosure log whe</w:t>
      </w:r>
      <w:r w:rsidR="004A32EF">
        <w:t>n</w:t>
      </w:r>
      <w:r>
        <w:t xml:space="preserve"> the information is only </w:t>
      </w:r>
      <w:r w:rsidR="00B40840">
        <w:t>available as a PDF</w:t>
      </w:r>
      <w:r>
        <w:t xml:space="preserve">. </w:t>
      </w:r>
      <w:r w:rsidR="00F82F2C">
        <w:t xml:space="preserve">For example, consider stating that the information was created via OCR and is an approximation of the document provided to the FOI applicant. This description could form part of the ‘Other information’ listing in the template disclosure log at </w:t>
      </w:r>
      <w:hyperlink w:anchor="_Freedom_of_Information" w:history="1">
        <w:r w:rsidR="00260FBD" w:rsidRPr="00260FBD">
          <w:rPr>
            <w:rStyle w:val="Hyperlink"/>
          </w:rPr>
          <w:t>Annexure A — Template Disclosure Log</w:t>
        </w:r>
      </w:hyperlink>
      <w:r w:rsidR="00F82F2C" w:rsidRPr="005007F8">
        <w:t>.</w:t>
      </w:r>
      <w:r w:rsidR="00F82F2C">
        <w:t xml:space="preserve"> Alternatively, accessibility information could be provided on an HTML document cover page that can be accessed using a link on the disclosure log.</w:t>
      </w:r>
    </w:p>
    <w:p w14:paraId="26449E1F" w14:textId="77777777" w:rsidR="00F82F2C" w:rsidRPr="00071216" w:rsidRDefault="00F82F2C" w:rsidP="00F82F2C">
      <w:pPr>
        <w:pStyle w:val="Heading4"/>
        <w:rPr>
          <w:rFonts w:ascii="Source Sans Pro SemiBold" w:hAnsi="Source Sans Pro SemiBold"/>
          <w:sz w:val="34"/>
          <w:szCs w:val="34"/>
        </w:rPr>
      </w:pPr>
      <w:r w:rsidRPr="00071216">
        <w:rPr>
          <w:rFonts w:ascii="Source Sans Pro SemiBold" w:hAnsi="Source Sans Pro SemiBold"/>
          <w:sz w:val="34"/>
          <w:szCs w:val="34"/>
        </w:rPr>
        <w:t>Electronic redaction</w:t>
      </w:r>
    </w:p>
    <w:p w14:paraId="6C53FB4C" w14:textId="1612664F" w:rsidR="00F82F2C" w:rsidRDefault="00F82F2C" w:rsidP="003E0C0A">
      <w:pPr>
        <w:pStyle w:val="NumberedParagraphs"/>
      </w:pPr>
      <w:r>
        <w:t xml:space="preserve">Agencies and ministers are encouraged to use electronic rather than manual redaction. </w:t>
      </w:r>
      <w:r w:rsidRPr="00231FD9">
        <w:t>One reason agencies and ministers may prefer publishing scanned documents on the disclosure log is to preserve manual redactions made to the document given to the FOI applicant</w:t>
      </w:r>
      <w:r>
        <w:t>. However, effective redaction software exists that can be applied directly to electronic documents, enabling publication of more accessible information.</w:t>
      </w:r>
      <w:r w:rsidRPr="00031448">
        <w:t xml:space="preserve"> </w:t>
      </w:r>
    </w:p>
    <w:p w14:paraId="6CDC949C" w14:textId="16FF8D98" w:rsidR="00F82F2C" w:rsidRPr="00357AF4" w:rsidRDefault="0030622F" w:rsidP="00071216">
      <w:pPr>
        <w:pStyle w:val="NumberedParagraphs"/>
        <w:rPr>
          <w:u w:val="single"/>
        </w:rPr>
      </w:pPr>
      <w:r>
        <w:t>Agencies should undertake their own enquiries as to the effectiveness of any redaction software to permanently remove exempt matter from documents published on their disclosure log</w:t>
      </w:r>
      <w:r>
        <w:rPr>
          <w:u w:val="single"/>
        </w:rPr>
        <w:t>.</w:t>
      </w:r>
    </w:p>
    <w:p w14:paraId="653E0434" w14:textId="2E4660E3" w:rsidR="00F82F2C" w:rsidRPr="005653ED" w:rsidRDefault="00F82F2C" w:rsidP="00EB097D">
      <w:pPr>
        <w:pStyle w:val="Heading2-Unnumbered"/>
      </w:pPr>
      <w:bookmarkStart w:id="30" w:name="_Toc13644117"/>
      <w:bookmarkStart w:id="31" w:name="_Toc237248269"/>
      <w:r w:rsidRPr="005653ED">
        <w:lastRenderedPageBreak/>
        <w:t>Charges</w:t>
      </w:r>
      <w:bookmarkEnd w:id="30"/>
      <w:bookmarkEnd w:id="31"/>
    </w:p>
    <w:p w14:paraId="17342F83" w14:textId="5449A3B5" w:rsidR="00F82F2C" w:rsidRDefault="00F82F2C" w:rsidP="00071216">
      <w:pPr>
        <w:pStyle w:val="NumberedParagraphs"/>
      </w:pPr>
      <w:r w:rsidRPr="002374F2">
        <w:t xml:space="preserve">The intention of s 11C is that </w:t>
      </w:r>
      <w:r>
        <w:t xml:space="preserve">information published or made available on a disclosure log should be </w:t>
      </w:r>
      <w:r w:rsidRPr="002374F2">
        <w:t>freely accessible</w:t>
      </w:r>
      <w:r>
        <w:t xml:space="preserve"> by the </w:t>
      </w:r>
      <w:r w:rsidR="00315EE1">
        <w:t>public</w:t>
      </w:r>
      <w:r>
        <w:t xml:space="preserve"> </w:t>
      </w:r>
      <w:r w:rsidRPr="002374F2">
        <w:t>(s 11C(4)).</w:t>
      </w:r>
      <w:r>
        <w:t xml:space="preserve"> </w:t>
      </w:r>
      <w:r w:rsidRPr="002374F2">
        <w:t xml:space="preserve">An agency may </w:t>
      </w:r>
      <w:r>
        <w:t xml:space="preserve">only </w:t>
      </w:r>
      <w:r w:rsidR="00C10F1F">
        <w:t xml:space="preserve">impose a </w:t>
      </w:r>
      <w:r w:rsidRPr="002374F2">
        <w:t xml:space="preserve">charge to provide information </w:t>
      </w:r>
      <w:r w:rsidR="00C10F1F">
        <w:t>that is</w:t>
      </w:r>
      <w:r>
        <w:t xml:space="preserve"> not directly </w:t>
      </w:r>
      <w:r w:rsidR="00C10F1F">
        <w:t xml:space="preserve">available for </w:t>
      </w:r>
      <w:r>
        <w:t>download from a website and</w:t>
      </w:r>
      <w:r w:rsidR="00C10F1F">
        <w:t xml:space="preserve"> only </w:t>
      </w:r>
      <w:r w:rsidRPr="002374F2">
        <w:t>to</w:t>
      </w:r>
      <w:r>
        <w:t xml:space="preserve"> reimburse the agency for a specific reproduction cost or an incidental cost (s 11C(4)(b)).</w:t>
      </w:r>
    </w:p>
    <w:p w14:paraId="480F684A" w14:textId="6394A1D3" w:rsidR="00F82F2C" w:rsidRDefault="00F82F2C" w:rsidP="00071216">
      <w:pPr>
        <w:pStyle w:val="NumberedParagraphs"/>
      </w:pPr>
      <w:r w:rsidRPr="00B43D92">
        <w:t>The Explanatory Memorandum to the Freedom of Information Am</w:t>
      </w:r>
      <w:r>
        <w:t>endment (Reform) Bill 2009</w:t>
      </w:r>
      <w:r w:rsidRPr="00B43D92">
        <w:t xml:space="preserve"> states</w:t>
      </w:r>
      <w:r>
        <w:t>:</w:t>
      </w:r>
    </w:p>
    <w:p w14:paraId="1220C576" w14:textId="1EEB85D5" w:rsidR="00F82F2C" w:rsidRPr="0057153E" w:rsidRDefault="00F82F2C" w:rsidP="00C8514E">
      <w:pPr>
        <w:pStyle w:val="Numberpara14"/>
        <w:numPr>
          <w:ilvl w:val="0"/>
          <w:numId w:val="0"/>
        </w:numPr>
        <w:spacing w:after="120"/>
        <w:ind w:left="993"/>
        <w:rPr>
          <w:rFonts w:asciiTheme="minorHAnsi" w:hAnsiTheme="minorHAnsi"/>
          <w:sz w:val="22"/>
        </w:rPr>
      </w:pPr>
      <w:r w:rsidRPr="0057153E">
        <w:rPr>
          <w:rFonts w:asciiTheme="minorHAnsi" w:hAnsiTheme="minorHAnsi"/>
          <w:sz w:val="22"/>
        </w:rPr>
        <w:t>… subsection 11C(4) makes it clear that an agency cannot charge a person for simply accessing information from the website. Charges may be imposed if the agency incurs a specific reproduction or incidental cost in providing access. This would include a situation where, for example, the information was contained in a recording that could not be readily converted to electronic format for uploading to the website, and the agency incurred costs in having that recording transcribed. Another example would be where a hard copy of a report is requested when the report is also available online.</w:t>
      </w:r>
    </w:p>
    <w:p w14:paraId="0E440CE6" w14:textId="6173A360" w:rsidR="00F82F2C" w:rsidRDefault="00F82F2C" w:rsidP="00071216">
      <w:pPr>
        <w:pStyle w:val="NumberedParagraphs"/>
      </w:pPr>
      <w:r>
        <w:t>If a disclosure log entry only describes the documents and how they can be obtained and a person asks for the documents published under s 11C, an agency or minister cannot:</w:t>
      </w:r>
    </w:p>
    <w:p w14:paraId="63AF7C8A" w14:textId="7EFD2650" w:rsidR="00F82F2C" w:rsidRDefault="00F82F2C" w:rsidP="0075064F">
      <w:pPr>
        <w:numPr>
          <w:ilvl w:val="0"/>
          <w:numId w:val="34"/>
        </w:numPr>
        <w:tabs>
          <w:tab w:val="left" w:pos="567"/>
        </w:tabs>
        <w:spacing w:before="120"/>
      </w:pPr>
      <w:r>
        <w:t>process as an FOI request under s 15 of the FOI Act or</w:t>
      </w:r>
    </w:p>
    <w:p w14:paraId="5E49A1AF" w14:textId="281A475F" w:rsidR="00F82F2C" w:rsidRDefault="00F82F2C" w:rsidP="0075064F">
      <w:pPr>
        <w:numPr>
          <w:ilvl w:val="0"/>
          <w:numId w:val="34"/>
        </w:numPr>
        <w:tabs>
          <w:tab w:val="left" w:pos="567"/>
        </w:tabs>
        <w:spacing w:before="120"/>
      </w:pPr>
      <w:r>
        <w:t>charge for access to the documents under s 29 of the FOI Act and the Charges Regulations</w:t>
      </w:r>
      <w:r w:rsidR="00C10F1F">
        <w:t>.</w:t>
      </w:r>
    </w:p>
    <w:p w14:paraId="49CC9176" w14:textId="1AB4F8A6" w:rsidR="00F82F2C" w:rsidRDefault="00F82F2C" w:rsidP="00071216">
      <w:pPr>
        <w:pStyle w:val="NumberedParagraphs"/>
      </w:pPr>
      <w:r>
        <w:t>In determining whether to charge members of the public for information made available in another format, agencies and ministers should take account of the ‘lowest reasonable cost’ object in the FOI Act (s 3(4)).</w:t>
      </w:r>
    </w:p>
    <w:p w14:paraId="47F5425E" w14:textId="3118A795" w:rsidR="00F82F2C" w:rsidRDefault="00F82F2C" w:rsidP="00071216">
      <w:pPr>
        <w:pStyle w:val="NumberedParagraphs"/>
      </w:pPr>
      <w:r>
        <w:t>Details of any charges that an agency or minister will apply must be published on their website</w:t>
      </w:r>
      <w:r w:rsidRPr="002374F2">
        <w:t xml:space="preserve"> (s 11C(5)).</w:t>
      </w:r>
      <w:r>
        <w:rPr>
          <w:rStyle w:val="FootnoteReference"/>
        </w:rPr>
        <w:footnoteReference w:id="17"/>
      </w:r>
      <w:r w:rsidRPr="002374F2">
        <w:t xml:space="preserve"> </w:t>
      </w:r>
      <w:r>
        <w:t>This should include an explanation for the charge</w:t>
      </w:r>
      <w:r w:rsidR="00934AEC">
        <w:t xml:space="preserve"> and the amount of the charge likely to be imposed</w:t>
      </w:r>
      <w:r>
        <w:t>.</w:t>
      </w:r>
      <w:r w:rsidR="00AE2458">
        <w:t xml:space="preserve"> For ease of reference this information should be provided on the disclosure log landing page, or, if that is not appropriate, in the introduction to the disclosure log</w:t>
      </w:r>
      <w:r w:rsidR="00B304EA">
        <w:t xml:space="preserve"> (see Annexure A for more information).</w:t>
      </w:r>
    </w:p>
    <w:p w14:paraId="53C157C6" w14:textId="2E9A917F" w:rsidR="00C10F61" w:rsidRPr="00EE1985" w:rsidRDefault="00CD514D">
      <w:pPr>
        <w:pStyle w:val="NumberedParagraphs"/>
        <w:rPr>
          <w:lang w:eastAsia="en-US"/>
        </w:rPr>
      </w:pPr>
      <w:r>
        <w:t xml:space="preserve">Where an agency or minister does not apply charges for information accessed </w:t>
      </w:r>
      <w:r w:rsidR="000C481A">
        <w:t xml:space="preserve">directly </w:t>
      </w:r>
      <w:r>
        <w:t xml:space="preserve">through the disclosure log, the introductory text to the disclosure log should </w:t>
      </w:r>
      <w:r w:rsidR="007B7D3A">
        <w:t>tell</w:t>
      </w:r>
      <w:r>
        <w:t xml:space="preserve"> members of the public</w:t>
      </w:r>
      <w:r w:rsidR="007B7D3A">
        <w:t xml:space="preserve"> that the information is available at no charge</w:t>
      </w:r>
      <w:r>
        <w:t xml:space="preserve">. </w:t>
      </w:r>
    </w:p>
    <w:p w14:paraId="26FFFC92" w14:textId="386AB9CA" w:rsidR="00F82F2C" w:rsidRPr="00297C57" w:rsidRDefault="00F82F2C" w:rsidP="00357AF4">
      <w:pPr>
        <w:pStyle w:val="Heading2"/>
        <w:spacing w:before="240"/>
      </w:pPr>
      <w:bookmarkStart w:id="32" w:name="_Toc13644118"/>
      <w:bookmarkStart w:id="33" w:name="_Toc237248270"/>
      <w:r w:rsidRPr="00297C57">
        <w:lastRenderedPageBreak/>
        <w:t>Information Commissioner’s functions and powers</w:t>
      </w:r>
      <w:bookmarkEnd w:id="32"/>
      <w:bookmarkEnd w:id="33"/>
    </w:p>
    <w:p w14:paraId="45894082" w14:textId="1ACBD840" w:rsidR="00F82F2C" w:rsidRDefault="00F82F2C" w:rsidP="00071216">
      <w:pPr>
        <w:pStyle w:val="NumberedParagraphs"/>
      </w:pPr>
      <w:r>
        <w:t>The Information Commissioner plays an active role in monitoring the administration of disclosure logs by agencies and ministers.</w:t>
      </w:r>
    </w:p>
    <w:p w14:paraId="3D7CA267" w14:textId="5E673243" w:rsidR="00F82F2C" w:rsidRDefault="00F82F2C" w:rsidP="00071216">
      <w:pPr>
        <w:pStyle w:val="NumberedParagraphs"/>
      </w:pPr>
      <w:r>
        <w:t>The Information Commissioner’s power to investigate complaints about agency FOI administration extends to complaints about an agency’s disclosure log (s 70). The Information Commissioner can also undertake a</w:t>
      </w:r>
      <w:r w:rsidR="007264F1">
        <w:t xml:space="preserve"> Commissioner-initiated</w:t>
      </w:r>
      <w:r>
        <w:t xml:space="preserve"> investigation into an agency’s FOI actions (s 69(2)). These complaint and investigation powers do not extend to the actions of ministers. The disclosure log actions of an agency or minister </w:t>
      </w:r>
      <w:r w:rsidR="009711CA">
        <w:t xml:space="preserve">are </w:t>
      </w:r>
      <w:r>
        <w:t xml:space="preserve">not subject </w:t>
      </w:r>
      <w:r w:rsidR="00553B53">
        <w:t xml:space="preserve">to </w:t>
      </w:r>
      <w:r>
        <w:t>review by the Information Commissioner under Part VII of the Act.</w:t>
      </w:r>
    </w:p>
    <w:p w14:paraId="716F27D3" w14:textId="70B094A1" w:rsidR="00F82F2C" w:rsidRDefault="004F434A" w:rsidP="00071216">
      <w:pPr>
        <w:pStyle w:val="NumberedParagraphs"/>
      </w:pPr>
      <w:r>
        <w:t xml:space="preserve">To facilitate Information Commissioner oversight of agency disclosure logs it is important that accurate records are kept and retained by agencies and ministers. </w:t>
      </w:r>
      <w:r w:rsidR="00A23674">
        <w:t xml:space="preserve">Where agencies or ministers do not have an FOI case management system that captures data about FOI requests and </w:t>
      </w:r>
      <w:r>
        <w:t>disclosure</w:t>
      </w:r>
      <w:r w:rsidR="00A23674">
        <w:t xml:space="preserve"> log publication</w:t>
      </w:r>
      <w:r>
        <w:t xml:space="preserve"> from which reports can be generated, </w:t>
      </w:r>
      <w:r w:rsidR="00A23674">
        <w:t>agencies are encouraged to keep an internal register list</w:t>
      </w:r>
      <w:r>
        <w:t>ing</w:t>
      </w:r>
      <w:r w:rsidR="00A23674">
        <w:t xml:space="preserve"> </w:t>
      </w:r>
      <w:r>
        <w:t xml:space="preserve">all </w:t>
      </w:r>
      <w:r w:rsidR="00A23674">
        <w:t>FOI decisions made</w:t>
      </w:r>
      <w:r>
        <w:t xml:space="preserve"> and</w:t>
      </w:r>
      <w:r w:rsidR="00F82F2C">
        <w:t>:</w:t>
      </w:r>
    </w:p>
    <w:p w14:paraId="5057C4C2" w14:textId="77777777" w:rsidR="00F82F2C" w:rsidRDefault="00F82F2C" w:rsidP="0057153E">
      <w:pPr>
        <w:numPr>
          <w:ilvl w:val="0"/>
          <w:numId w:val="34"/>
        </w:numPr>
        <w:tabs>
          <w:tab w:val="left" w:pos="567"/>
        </w:tabs>
        <w:spacing w:before="120"/>
      </w:pPr>
      <w:r>
        <w:t>whether documents requested by the FOI applicant were released</w:t>
      </w:r>
    </w:p>
    <w:p w14:paraId="52243119" w14:textId="1069D67E" w:rsidR="00F82F2C" w:rsidRDefault="00F82F2C" w:rsidP="0057153E">
      <w:pPr>
        <w:numPr>
          <w:ilvl w:val="0"/>
          <w:numId w:val="34"/>
        </w:numPr>
        <w:tabs>
          <w:tab w:val="left" w:pos="567"/>
        </w:tabs>
        <w:spacing w:before="120"/>
      </w:pPr>
      <w:r>
        <w:t>whether any such documents, or the information contained in them, are listed in the agency disclosure log, in full or in part</w:t>
      </w:r>
    </w:p>
    <w:p w14:paraId="517C7821" w14:textId="7DFAE9EB" w:rsidR="00F82F2C" w:rsidRDefault="00F82F2C" w:rsidP="0057153E">
      <w:pPr>
        <w:numPr>
          <w:ilvl w:val="0"/>
          <w:numId w:val="34"/>
        </w:numPr>
        <w:tabs>
          <w:tab w:val="left" w:pos="567"/>
        </w:tabs>
        <w:spacing w:before="120"/>
      </w:pPr>
      <w:r>
        <w:t>if there is a listing, whether the information can be downloaded from the agency’s website (s 11C(3)(a))</w:t>
      </w:r>
      <w:r w:rsidR="008947FB">
        <w:t>,</w:t>
      </w:r>
      <w:r>
        <w:t xml:space="preserve"> from another linked website (s 11C(3)(b)), or details a</w:t>
      </w:r>
      <w:r w:rsidR="001C2125">
        <w:t xml:space="preserve">bout </w:t>
      </w:r>
      <w:r>
        <w:t>how the information may be obtained</w:t>
      </w:r>
      <w:r w:rsidR="008947FB">
        <w:t xml:space="preserve"> is published,</w:t>
      </w:r>
      <w:r>
        <w:t xml:space="preserve"> </w:t>
      </w:r>
      <w:r w:rsidR="00A9100F">
        <w:t xml:space="preserve">if the information is not available on the website or via a link provided </w:t>
      </w:r>
      <w:r w:rsidR="0086600D">
        <w:t xml:space="preserve">on the agency’s website </w:t>
      </w:r>
      <w:r>
        <w:t>(s 11C(3)(c)).</w:t>
      </w:r>
    </w:p>
    <w:p w14:paraId="2F1960FB" w14:textId="2858E1D5" w:rsidR="00F82F2C" w:rsidRDefault="00F82F2C" w:rsidP="00071216">
      <w:pPr>
        <w:pStyle w:val="NumberedParagraphs"/>
      </w:pPr>
      <w:r>
        <w:t>The</w:t>
      </w:r>
      <w:r w:rsidRPr="00CB28E5">
        <w:t xml:space="preserve"> Information Commissioner </w:t>
      </w:r>
      <w:r>
        <w:t xml:space="preserve">is also required to prepare an annual report </w:t>
      </w:r>
      <w:r w:rsidR="00140454">
        <w:t>which includes information about freedom of information matters</w:t>
      </w:r>
      <w:r>
        <w:t xml:space="preserve"> (see </w:t>
      </w:r>
      <w:r w:rsidR="005146F5">
        <w:t xml:space="preserve">s 30 </w:t>
      </w:r>
      <w:r w:rsidRPr="007C58EF">
        <w:rPr>
          <w:i/>
        </w:rPr>
        <w:t>Australian Information Commissioner Act 2010</w:t>
      </w:r>
      <w:r>
        <w:t xml:space="preserve"> and </w:t>
      </w:r>
      <w:hyperlink r:id="rId14" w:history="1">
        <w:r w:rsidRPr="00CD2E08">
          <w:rPr>
            <w:rStyle w:val="Hyperlink"/>
          </w:rPr>
          <w:t>Part 15</w:t>
        </w:r>
      </w:hyperlink>
      <w:r w:rsidRPr="00507CCD">
        <w:t xml:space="preserve"> of these Guidelines</w:t>
      </w:r>
      <w:r w:rsidRPr="00293248">
        <w:t xml:space="preserve">). </w:t>
      </w:r>
      <w:r>
        <w:t>T</w:t>
      </w:r>
      <w:r w:rsidRPr="00293248">
        <w:t xml:space="preserve">he </w:t>
      </w:r>
      <w:r w:rsidR="00D025C6">
        <w:t xml:space="preserve">Information </w:t>
      </w:r>
      <w:r w:rsidRPr="00293248">
        <w:t>Commissioner</w:t>
      </w:r>
      <w:r>
        <w:t xml:space="preserve">’s annual report includes information on the following aspects of the </w:t>
      </w:r>
      <w:r w:rsidRPr="00293248">
        <w:t xml:space="preserve">administration of </w:t>
      </w:r>
      <w:r>
        <w:t xml:space="preserve">each agency and minister’s </w:t>
      </w:r>
      <w:r w:rsidRPr="00293248">
        <w:t>disclosure log</w:t>
      </w:r>
      <w:r>
        <w:t>:</w:t>
      </w:r>
    </w:p>
    <w:p w14:paraId="7BAA5299" w14:textId="1DECDAED" w:rsidR="00F82F2C" w:rsidRPr="00B422F3" w:rsidRDefault="00F82F2C" w:rsidP="0057153E">
      <w:pPr>
        <w:numPr>
          <w:ilvl w:val="0"/>
          <w:numId w:val="34"/>
        </w:numPr>
        <w:tabs>
          <w:tab w:val="left" w:pos="567"/>
        </w:tabs>
        <w:spacing w:before="120"/>
      </w:pPr>
      <w:r>
        <w:t xml:space="preserve">the number of FOI requests where access was granted that are listed </w:t>
      </w:r>
      <w:r w:rsidR="00D025C6">
        <w:t>o</w:t>
      </w:r>
      <w:r>
        <w:t>n the agency or minister’s disclosure log</w:t>
      </w:r>
    </w:p>
    <w:p w14:paraId="6CEEC524" w14:textId="63721472" w:rsidR="00CD2E08" w:rsidRDefault="00F82F2C" w:rsidP="0057153E">
      <w:pPr>
        <w:numPr>
          <w:ilvl w:val="0"/>
          <w:numId w:val="34"/>
        </w:numPr>
        <w:tabs>
          <w:tab w:val="left" w:pos="567"/>
        </w:tabs>
        <w:spacing w:before="120"/>
      </w:pPr>
      <w:r w:rsidRPr="00300E45">
        <w:t xml:space="preserve">the number of listings on </w:t>
      </w:r>
      <w:r>
        <w:t>the</w:t>
      </w:r>
      <w:r w:rsidRPr="00300E45">
        <w:t xml:space="preserve"> agency</w:t>
      </w:r>
      <w:r w:rsidR="00D025C6">
        <w:t>’s</w:t>
      </w:r>
      <w:r w:rsidRPr="00300E45">
        <w:t xml:space="preserve"> or minister's disclosure log that have been published under</w:t>
      </w:r>
      <w:r w:rsidR="00CD2E08">
        <w:t>:</w:t>
      </w:r>
    </w:p>
    <w:p w14:paraId="41B85FBA" w14:textId="229787FF" w:rsidR="00CD2E08" w:rsidRDefault="00F82F2C" w:rsidP="00CD2E08">
      <w:pPr>
        <w:numPr>
          <w:ilvl w:val="1"/>
          <w:numId w:val="34"/>
        </w:numPr>
        <w:tabs>
          <w:tab w:val="left" w:pos="567"/>
        </w:tabs>
        <w:spacing w:before="120"/>
        <w:ind w:left="1418" w:hanging="425"/>
      </w:pPr>
      <w:r>
        <w:t xml:space="preserve">s </w:t>
      </w:r>
      <w:r w:rsidRPr="00300E45">
        <w:t>11C(3)</w:t>
      </w:r>
      <w:r>
        <w:t>(</w:t>
      </w:r>
      <w:r w:rsidRPr="00300E45">
        <w:t>a</w:t>
      </w:r>
      <w:r>
        <w:t>)</w:t>
      </w:r>
      <w:r w:rsidR="00CD2E08">
        <w:t xml:space="preserve"> (information is available for download from the agency’s website)</w:t>
      </w:r>
    </w:p>
    <w:p w14:paraId="25FE0F16" w14:textId="2A490992" w:rsidR="00CD2E08" w:rsidRDefault="00CD2E08" w:rsidP="00CD2E08">
      <w:pPr>
        <w:numPr>
          <w:ilvl w:val="1"/>
          <w:numId w:val="34"/>
        </w:numPr>
        <w:tabs>
          <w:tab w:val="left" w:pos="567"/>
        </w:tabs>
        <w:spacing w:before="120"/>
        <w:ind w:left="1418" w:hanging="425"/>
      </w:pPr>
      <w:r>
        <w:t>s 11C(3)</w:t>
      </w:r>
      <w:r w:rsidR="00F82F2C">
        <w:t>(</w:t>
      </w:r>
      <w:r w:rsidR="00F82F2C" w:rsidRPr="00300E45">
        <w:t>b</w:t>
      </w:r>
      <w:r w:rsidR="00F82F2C">
        <w:t>)</w:t>
      </w:r>
      <w:r w:rsidR="00F82F2C" w:rsidRPr="00300E45">
        <w:t xml:space="preserve"> </w:t>
      </w:r>
      <w:r>
        <w:t>(the agency website links to another website from which the information can be downloaded)</w:t>
      </w:r>
    </w:p>
    <w:p w14:paraId="502FBA7B" w14:textId="70CD55CB" w:rsidR="00F82F2C" w:rsidRDefault="00CD2E08" w:rsidP="00357AF4">
      <w:pPr>
        <w:numPr>
          <w:ilvl w:val="1"/>
          <w:numId w:val="34"/>
        </w:numPr>
        <w:tabs>
          <w:tab w:val="left" w:pos="567"/>
        </w:tabs>
        <w:spacing w:before="120"/>
        <w:ind w:left="1418" w:hanging="425"/>
      </w:pPr>
      <w:r>
        <w:t>s 11C(3)</w:t>
      </w:r>
      <w:r w:rsidR="00F82F2C">
        <w:t>(</w:t>
      </w:r>
      <w:r w:rsidR="00F82F2C" w:rsidRPr="00300E45">
        <w:t>c</w:t>
      </w:r>
      <w:r w:rsidR="00F82F2C">
        <w:t>)</w:t>
      </w:r>
      <w:r w:rsidR="00F82F2C" w:rsidRPr="008918C3">
        <w:t xml:space="preserve"> </w:t>
      </w:r>
      <w:r>
        <w:t>(details of how information may be obtained are published)</w:t>
      </w:r>
      <w:r w:rsidR="00D025C6">
        <w:t>.</w:t>
      </w:r>
    </w:p>
    <w:p w14:paraId="0D8C0978" w14:textId="2DBE2666" w:rsidR="005146F5" w:rsidRDefault="003D1E18" w:rsidP="004E5B38">
      <w:pPr>
        <w:pStyle w:val="IndentBullet1"/>
        <w:numPr>
          <w:ilvl w:val="0"/>
          <w:numId w:val="34"/>
        </w:numPr>
      </w:pPr>
      <w:r>
        <w:lastRenderedPageBreak/>
        <w:t xml:space="preserve">if the agency or minister collects the figures, the number </w:t>
      </w:r>
      <w:r w:rsidRPr="00A86682">
        <w:t xml:space="preserve">of unique visitors and page views for </w:t>
      </w:r>
      <w:r>
        <w:t>webpage</w:t>
      </w:r>
      <w:r w:rsidRPr="00A86682">
        <w:t xml:space="preserve">s </w:t>
      </w:r>
      <w:r>
        <w:t>that are part of the disclosure log.</w:t>
      </w:r>
    </w:p>
    <w:p w14:paraId="13DC02A1" w14:textId="1546A9CE" w:rsidR="00F82F2C" w:rsidRDefault="00F82F2C" w:rsidP="005146F5">
      <w:pPr>
        <w:pStyle w:val="IndentBullet1"/>
        <w:numPr>
          <w:ilvl w:val="0"/>
          <w:numId w:val="0"/>
        </w:numPr>
        <w:ind w:left="568"/>
      </w:pPr>
      <w:r>
        <w:t xml:space="preserve">Agencies and ministers are required to provide this information to the Information Commissioner under s </w:t>
      </w:r>
      <w:r w:rsidRPr="00293248">
        <w:t>93 of the FOI Act</w:t>
      </w:r>
      <w:r>
        <w:t xml:space="preserve"> (</w:t>
      </w:r>
      <w:r w:rsidRPr="00507CCD">
        <w:t xml:space="preserve">see </w:t>
      </w:r>
      <w:hyperlink r:id="rId15" w:history="1">
        <w:r w:rsidRPr="00D025C6">
          <w:rPr>
            <w:rStyle w:val="Hyperlink"/>
          </w:rPr>
          <w:t>Part 15</w:t>
        </w:r>
      </w:hyperlink>
      <w:r w:rsidRPr="00507CCD">
        <w:t xml:space="preserve"> of these Guidelines</w:t>
      </w:r>
      <w:r>
        <w:t>).</w:t>
      </w:r>
    </w:p>
    <w:p w14:paraId="17848FB9" w14:textId="10613486" w:rsidR="002F0D98" w:rsidRPr="003F4D74" w:rsidRDefault="00CD2E08" w:rsidP="000B2794">
      <w:pPr>
        <w:pStyle w:val="NumberedParagraphs"/>
      </w:pPr>
      <w:r>
        <w:t xml:space="preserve">It is important that agencies accurately report the number of new entries added to their disclosure log </w:t>
      </w:r>
      <w:r w:rsidR="00D025C6">
        <w:t xml:space="preserve">each quarter </w:t>
      </w:r>
      <w:r>
        <w:t xml:space="preserve">and how members of the public can access those documents. The Information Commissioner uses these statistics to inform </w:t>
      </w:r>
      <w:r w:rsidR="00A655C4">
        <w:t xml:space="preserve">analysis and reports about the FOI system and provide </w:t>
      </w:r>
      <w:r>
        <w:t>commentary in the OAIC’s annual report</w:t>
      </w:r>
      <w:r w:rsidR="00A655C4">
        <w:t xml:space="preserve"> on the operation of the FOI system</w:t>
      </w:r>
    </w:p>
    <w:p w14:paraId="7A5D8BB7" w14:textId="77777777" w:rsidR="00F82F2C" w:rsidRDefault="00F82F2C" w:rsidP="00CD2E08">
      <w:pPr>
        <w:pStyle w:val="Heading2"/>
        <w:spacing w:before="240"/>
      </w:pPr>
      <w:bookmarkStart w:id="34" w:name="_Toc13644119"/>
      <w:bookmarkStart w:id="35" w:name="_Toc237248271"/>
      <w:r>
        <w:t>Additional publication considerations</w:t>
      </w:r>
      <w:bookmarkEnd w:id="34"/>
      <w:bookmarkEnd w:id="35"/>
    </w:p>
    <w:p w14:paraId="71C5D248" w14:textId="77777777" w:rsidR="00F82F2C" w:rsidRPr="00B469B7" w:rsidRDefault="00F82F2C" w:rsidP="00F82F2C">
      <w:pPr>
        <w:pStyle w:val="Heading3"/>
      </w:pPr>
      <w:bookmarkStart w:id="36" w:name="_Toc13644120"/>
      <w:bookmarkStart w:id="37" w:name="_Toc237248272"/>
      <w:r w:rsidRPr="00B469B7">
        <w:t>Copyright</w:t>
      </w:r>
      <w:bookmarkEnd w:id="36"/>
      <w:bookmarkEnd w:id="37"/>
    </w:p>
    <w:p w14:paraId="10CC36A3" w14:textId="1D415495" w:rsidR="005146F5" w:rsidRPr="003F4D74" w:rsidRDefault="00F82F2C" w:rsidP="00071216">
      <w:pPr>
        <w:pStyle w:val="NumberedParagraphs"/>
      </w:pPr>
      <w:r w:rsidRPr="003F4D74">
        <w:t xml:space="preserve">Agencies and ministers should </w:t>
      </w:r>
      <w:r>
        <w:t>clearly state on their website</w:t>
      </w:r>
      <w:r w:rsidRPr="003F4D74">
        <w:t xml:space="preserve">, </w:t>
      </w:r>
      <w:r>
        <w:t xml:space="preserve">either on a dedicated copyright page or in a statement on or attached to the disclosure log, </w:t>
      </w:r>
      <w:r w:rsidRPr="003F4D74">
        <w:t>the ex</w:t>
      </w:r>
      <w:r>
        <w:t>tent to which the public can re</w:t>
      </w:r>
      <w:r w:rsidRPr="003F4D74">
        <w:t>use material in which the</w:t>
      </w:r>
      <w:r>
        <w:t xml:space="preserve"> agency or minister (or the Commonwealth)</w:t>
      </w:r>
      <w:r w:rsidRPr="003F4D74">
        <w:t xml:space="preserve"> hold</w:t>
      </w:r>
      <w:r>
        <w:t>s</w:t>
      </w:r>
      <w:r w:rsidRPr="003F4D74">
        <w:t xml:space="preserve"> copyright.</w:t>
      </w:r>
    </w:p>
    <w:p w14:paraId="048D936C" w14:textId="7C28C22E" w:rsidR="00F82F2C" w:rsidRDefault="00F82F2C" w:rsidP="004E5B38">
      <w:pPr>
        <w:pStyle w:val="NumberedParagraphs"/>
      </w:pPr>
      <w:r>
        <w:t>Agencies and ministers should consider making information published on a disclosure log available on open licensing terms wherever possible (</w:t>
      </w:r>
      <w:r w:rsidRPr="00507CCD">
        <w:t>see [</w:t>
      </w:r>
      <w:r>
        <w:t>14.</w:t>
      </w:r>
      <w:r w:rsidR="00E212F2">
        <w:t>5</w:t>
      </w:r>
      <w:r w:rsidR="007B5686">
        <w:t>7</w:t>
      </w:r>
      <w:r w:rsidRPr="00507CCD">
        <w:t>]</w:t>
      </w:r>
      <w:r>
        <w:t xml:space="preserve">). </w:t>
      </w:r>
      <w:r w:rsidR="006414F2" w:rsidRPr="0078248D">
        <w:t xml:space="preserve">In deciding on the appropriate licensing, agencies and ministers should consider the </w:t>
      </w:r>
      <w:r w:rsidR="006414F2" w:rsidRPr="00827B9B">
        <w:rPr>
          <w:i/>
        </w:rPr>
        <w:t>Australian Government Intellectual Property Manual</w:t>
      </w:r>
      <w:r w:rsidR="005146F5" w:rsidRPr="007C58EF">
        <w:rPr>
          <w:rStyle w:val="FootnoteReference"/>
          <w:iCs/>
        </w:rPr>
        <w:footnoteReference w:id="18"/>
      </w:r>
      <w:r w:rsidR="006414F2" w:rsidRPr="00827B9B">
        <w:rPr>
          <w:i/>
        </w:rPr>
        <w:t xml:space="preserve"> </w:t>
      </w:r>
      <w:r w:rsidR="006414F2" w:rsidRPr="0078248D">
        <w:t xml:space="preserve">and </w:t>
      </w:r>
      <w:r w:rsidR="006414F2" w:rsidRPr="00827B9B">
        <w:rPr>
          <w:i/>
          <w:iCs/>
        </w:rPr>
        <w:t>Guidelines on licensing public sector information for Australian Government entities</w:t>
      </w:r>
      <w:r w:rsidR="00827B9B">
        <w:rPr>
          <w:i/>
          <w:iCs/>
        </w:rPr>
        <w:t>.</w:t>
      </w:r>
      <w:r w:rsidR="007350BE" w:rsidRPr="007C58EF">
        <w:rPr>
          <w:rStyle w:val="FootnoteReference"/>
        </w:rPr>
        <w:footnoteReference w:id="19"/>
      </w:r>
    </w:p>
    <w:p w14:paraId="465D3927" w14:textId="282AD9D0" w:rsidR="00F82F2C" w:rsidRPr="00D9476D" w:rsidRDefault="00F82F2C" w:rsidP="00071216">
      <w:pPr>
        <w:pStyle w:val="NumberedParagraphs"/>
      </w:pPr>
      <w:r w:rsidRPr="00D9476D">
        <w:t>While most of the information an agency</w:t>
      </w:r>
      <w:r>
        <w:t xml:space="preserve"> or minister</w:t>
      </w:r>
      <w:r w:rsidRPr="00D9476D">
        <w:t xml:space="preserve"> publishes </w:t>
      </w:r>
      <w:r>
        <w:t>o</w:t>
      </w:r>
      <w:r w:rsidRPr="00D9476D">
        <w:t xml:space="preserve">n its </w:t>
      </w:r>
      <w:r>
        <w:t xml:space="preserve">disclosure log </w:t>
      </w:r>
      <w:r w:rsidRPr="00D9476D">
        <w:t xml:space="preserve">will have been created by government, there may </w:t>
      </w:r>
      <w:r>
        <w:t xml:space="preserve">be </w:t>
      </w:r>
      <w:r w:rsidRPr="00D9476D">
        <w:t xml:space="preserve">documents in the agency </w:t>
      </w:r>
      <w:r>
        <w:t xml:space="preserve">or minister’s </w:t>
      </w:r>
      <w:r w:rsidRPr="00D9476D">
        <w:t xml:space="preserve">possession </w:t>
      </w:r>
      <w:r w:rsidR="00B14A75">
        <w:t xml:space="preserve">to which </w:t>
      </w:r>
      <w:r w:rsidRPr="00D9476D">
        <w:t xml:space="preserve">a third party (such as the author </w:t>
      </w:r>
      <w:r>
        <w:t xml:space="preserve">or publisher </w:t>
      </w:r>
      <w:r w:rsidRPr="00D9476D">
        <w:t xml:space="preserve">of </w:t>
      </w:r>
      <w:r>
        <w:t xml:space="preserve">the </w:t>
      </w:r>
      <w:r w:rsidRPr="00D9476D">
        <w:t>material) ow</w:t>
      </w:r>
      <w:r>
        <w:t>ns the copyright.</w:t>
      </w:r>
    </w:p>
    <w:p w14:paraId="01665960" w14:textId="417C3331" w:rsidR="00F82F2C" w:rsidRPr="00D9476D" w:rsidRDefault="00F82F2C" w:rsidP="00071216">
      <w:pPr>
        <w:pStyle w:val="NumberedParagraphs"/>
      </w:pPr>
      <w:r w:rsidRPr="00D9476D">
        <w:t xml:space="preserve">No action lies against the </w:t>
      </w:r>
      <w:r>
        <w:t>Australian Government</w:t>
      </w:r>
      <w:r w:rsidRPr="00D9476D">
        <w:t xml:space="preserve">, a minister, an agency or an officer of any agency for breach of copyright if the minister or an agency officer publishes a document in good faith, in the belief that publication is </w:t>
      </w:r>
      <w:r>
        <w:t xml:space="preserve">required or permitted under </w:t>
      </w:r>
      <w:r w:rsidRPr="00D9476D">
        <w:t>the disclosur</w:t>
      </w:r>
      <w:r>
        <w:t xml:space="preserve">e log provisions (s 90(1)(a)). </w:t>
      </w:r>
      <w:r w:rsidRPr="00D9476D">
        <w:t>However, this provision does not constitute a</w:t>
      </w:r>
      <w:r>
        <w:t>uthorisation or approval for re</w:t>
      </w:r>
      <w:r w:rsidRPr="00D9476D">
        <w:t>use of the material, including by members of the public.</w:t>
      </w:r>
    </w:p>
    <w:p w14:paraId="4E7F60EF" w14:textId="54C4C082" w:rsidR="00F82F2C" w:rsidRPr="00D9476D" w:rsidRDefault="00F82F2C" w:rsidP="00071216">
      <w:pPr>
        <w:pStyle w:val="NumberedParagraphs"/>
      </w:pPr>
      <w:r w:rsidRPr="00D9476D">
        <w:t>Where a third party owns copyright in material an agency</w:t>
      </w:r>
      <w:r>
        <w:t xml:space="preserve"> or minister</w:t>
      </w:r>
      <w:r w:rsidRPr="00D9476D">
        <w:t xml:space="preserve"> publishes as part of its </w:t>
      </w:r>
      <w:r>
        <w:t>disclosure log</w:t>
      </w:r>
      <w:r w:rsidRPr="00D9476D">
        <w:t>, the agency</w:t>
      </w:r>
      <w:r>
        <w:t xml:space="preserve"> or minister</w:t>
      </w:r>
      <w:r w:rsidRPr="00D9476D">
        <w:t xml:space="preserve"> should include a clear statement on </w:t>
      </w:r>
      <w:r>
        <w:t xml:space="preserve">their </w:t>
      </w:r>
      <w:r w:rsidRPr="00D9476D">
        <w:t xml:space="preserve">website advising the public that they may need to seek permission from the </w:t>
      </w:r>
      <w:r>
        <w:t>copyright owner</w:t>
      </w:r>
      <w:r w:rsidRPr="00D9476D">
        <w:t xml:space="preserve"> to reuse the material. A statement such</w:t>
      </w:r>
      <w:r>
        <w:t xml:space="preserve"> as the following could be used:</w:t>
      </w:r>
    </w:p>
    <w:p w14:paraId="07B69F59" w14:textId="77777777" w:rsidR="00F82F2C" w:rsidRPr="007C58EF" w:rsidRDefault="00F82F2C" w:rsidP="00C8514E">
      <w:pPr>
        <w:pStyle w:val="Quotes"/>
        <w:spacing w:after="120"/>
        <w:ind w:left="1134"/>
        <w:rPr>
          <w:rFonts w:asciiTheme="minorHAnsi" w:hAnsiTheme="minorHAnsi"/>
        </w:rPr>
      </w:pPr>
      <w:r w:rsidRPr="007C58EF">
        <w:rPr>
          <w:rFonts w:asciiTheme="minorHAnsi" w:hAnsiTheme="minorHAnsi"/>
        </w:rPr>
        <w:t>To the extent that copyright in some of this material is owned by a third party, you may need to seek their permission before you can reuse that material.</w:t>
      </w:r>
    </w:p>
    <w:p w14:paraId="040BD534" w14:textId="51D80829" w:rsidR="00F82F2C" w:rsidRPr="00D9476D" w:rsidRDefault="00F82F2C" w:rsidP="00071216">
      <w:pPr>
        <w:pStyle w:val="NumberedParagraphs"/>
      </w:pPr>
      <w:r w:rsidRPr="00D9476D">
        <w:lastRenderedPageBreak/>
        <w:t>If an agency</w:t>
      </w:r>
      <w:r>
        <w:t xml:space="preserve"> or minister</w:t>
      </w:r>
      <w:r w:rsidRPr="00D9476D">
        <w:t xml:space="preserve"> knows the details of </w:t>
      </w:r>
      <w:r>
        <w:t xml:space="preserve">third party </w:t>
      </w:r>
      <w:r w:rsidRPr="00D9476D">
        <w:t xml:space="preserve">ownership of copyright in material it has published </w:t>
      </w:r>
      <w:r>
        <w:t>on its disclosure log</w:t>
      </w:r>
      <w:r w:rsidRPr="00D9476D">
        <w:t>, the agency</w:t>
      </w:r>
      <w:r>
        <w:t xml:space="preserve"> or minister</w:t>
      </w:r>
      <w:r w:rsidRPr="00D9476D">
        <w:t xml:space="preserve"> should, with the copyright owner’s consent, provide contact details on its website.</w:t>
      </w:r>
    </w:p>
    <w:p w14:paraId="54FEE463" w14:textId="27C1E604" w:rsidR="00F82F2C" w:rsidRPr="00F00E0B" w:rsidRDefault="00F82F2C" w:rsidP="00F82F2C">
      <w:pPr>
        <w:pStyle w:val="Heading3"/>
      </w:pPr>
      <w:bookmarkStart w:id="38" w:name="_Toc13644121"/>
      <w:bookmarkStart w:id="39" w:name="_Toc237248273"/>
      <w:r>
        <w:t>Retaining and archiving disclosure log information</w:t>
      </w:r>
      <w:bookmarkEnd w:id="38"/>
      <w:bookmarkEnd w:id="39"/>
    </w:p>
    <w:p w14:paraId="518C8228" w14:textId="0EF2B7CA" w:rsidR="00F82F2C" w:rsidRDefault="00F82F2C" w:rsidP="00071216">
      <w:pPr>
        <w:pStyle w:val="NumberedParagraphs"/>
      </w:pPr>
      <w:r>
        <w:t xml:space="preserve">The FOI Act does not specifically require information attached or referred to on a disclosure log to be made available indefinitely. However, the information listed on a disclosure log entry should be retained, even if a document or information attached to a listed item has been removed. Over time, the disclosure log will grow in length and provide a valuable </w:t>
      </w:r>
      <w:r w:rsidR="00CD5E32">
        <w:t xml:space="preserve">current and </w:t>
      </w:r>
      <w:r>
        <w:t>historical record of information released by an agency or minister under the FOI Act. Whe</w:t>
      </w:r>
      <w:r w:rsidR="002B4D48">
        <w:t>n</w:t>
      </w:r>
      <w:r>
        <w:t xml:space="preserve"> an agency ceases to exist or is restructured, or a minister ceases to hold office, an adjustment may be necessary in accordance with change of government procedures applying at that time.</w:t>
      </w:r>
    </w:p>
    <w:p w14:paraId="166A0A5B" w14:textId="7E118C87" w:rsidR="00F82F2C" w:rsidRDefault="00D025C6" w:rsidP="00071216">
      <w:pPr>
        <w:pStyle w:val="NumberedParagraphs"/>
      </w:pPr>
      <w:r>
        <w:t>During</w:t>
      </w:r>
      <w:r w:rsidR="00F82F2C">
        <w:t xml:space="preserve"> routine maintenance or updating of a website an agency </w:t>
      </w:r>
      <w:r w:rsidR="002B4D48">
        <w:t xml:space="preserve">or minister </w:t>
      </w:r>
      <w:r w:rsidR="00F82F2C">
        <w:t>may decide to withdraw some disclosure log content</w:t>
      </w:r>
      <w:r w:rsidR="006D7503">
        <w:t xml:space="preserve"> (information or documents)</w:t>
      </w:r>
      <w:r w:rsidR="00CD5E32">
        <w:t>,</w:t>
      </w:r>
      <w:r w:rsidR="00F82F2C">
        <w:t xml:space="preserve"> and make it available in another form, for example, </w:t>
      </w:r>
      <w:r>
        <w:t>by publishing details of how the information can be obtained</w:t>
      </w:r>
      <w:r w:rsidR="00F82F2C">
        <w:t xml:space="preserve">. Similarly, an agency </w:t>
      </w:r>
      <w:r w:rsidR="002B4D48">
        <w:t xml:space="preserve">or minister </w:t>
      </w:r>
      <w:r w:rsidR="00F82F2C">
        <w:t xml:space="preserve">may decide that it is inappropriate to publish particular information on its website following a change of government or ministerial or portfolio </w:t>
      </w:r>
      <w:r w:rsidR="004B1F9C">
        <w:t>changes</w:t>
      </w:r>
      <w:r w:rsidR="00F82F2C">
        <w:t xml:space="preserve">. Conversely, an agency may find that information listed in the disclosure log that is available only on request should instead be published on the agency website because </w:t>
      </w:r>
      <w:r>
        <w:t xml:space="preserve">they are </w:t>
      </w:r>
      <w:r w:rsidR="00F82F2C">
        <w:t>frequent</w:t>
      </w:r>
      <w:r>
        <w:t>ly asked</w:t>
      </w:r>
      <w:r w:rsidR="00F82F2C">
        <w:t xml:space="preserve"> for that information. Before agencies destroy or transfer documents or information </w:t>
      </w:r>
      <w:r>
        <w:t>when</w:t>
      </w:r>
      <w:r w:rsidR="00F82F2C">
        <w:t xml:space="preserve"> removing content from their website, they must seek approval from the National Archives of Australia (</w:t>
      </w:r>
      <w:r w:rsidR="006564F3">
        <w:t xml:space="preserve">s 24 of the </w:t>
      </w:r>
      <w:r w:rsidR="00F82F2C" w:rsidRPr="007C58EF">
        <w:rPr>
          <w:i/>
        </w:rPr>
        <w:t>Archives Act 1983</w:t>
      </w:r>
      <w:r w:rsidR="00F82F2C">
        <w:t>). Approval is granted through the issuing of general records authorities, agency-specific records authorities and normal administrative practice.</w:t>
      </w:r>
    </w:p>
    <w:p w14:paraId="59FA7C65" w14:textId="571B560E" w:rsidR="00707BEE" w:rsidRDefault="00F82F2C" w:rsidP="00071216">
      <w:pPr>
        <w:pStyle w:val="NumberedParagraphs"/>
      </w:pPr>
      <w:r>
        <w:t xml:space="preserve">Agencies and ministers should indicate if documents or information attached to a disclosure log listing are </w:t>
      </w:r>
      <w:r w:rsidR="0073539C">
        <w:t xml:space="preserve">identified </w:t>
      </w:r>
      <w:r>
        <w:t xml:space="preserve">for removal at a future date. For example, it may be appropriate that information or documents </w:t>
      </w:r>
      <w:r w:rsidR="00D32BAC">
        <w:t>are</w:t>
      </w:r>
      <w:r>
        <w:t xml:space="preserve"> removed after a certain time, for example </w:t>
      </w:r>
      <w:r w:rsidR="00AC5CAA">
        <w:t xml:space="preserve">2 </w:t>
      </w:r>
      <w:r w:rsidR="00CD5E32">
        <w:t>years</w:t>
      </w:r>
      <w:r>
        <w:t xml:space="preserve">, unless the </w:t>
      </w:r>
      <w:r w:rsidRPr="00D52BE4">
        <w:t>information has enduring public value</w:t>
      </w:r>
      <w:r>
        <w:t xml:space="preserve">. Factors affecting how long an agency should retain </w:t>
      </w:r>
      <w:r w:rsidR="0026663C">
        <w:t xml:space="preserve">documents or information on a </w:t>
      </w:r>
      <w:r>
        <w:t xml:space="preserve">disclosure log include the length of the disclosure log, and the number and file size of documents attached. After removal, details should be provided if information is made available after that date in some other </w:t>
      </w:r>
      <w:r w:rsidR="00370C1B">
        <w:t>way</w:t>
      </w:r>
      <w:r>
        <w:t>, or if it is no longer available (for example, if it has been archived).</w:t>
      </w:r>
      <w:r w:rsidR="006F2D1C">
        <w:rPr>
          <w:rStyle w:val="FootnoteReference"/>
        </w:rPr>
        <w:footnoteReference w:id="20"/>
      </w:r>
      <w:r w:rsidR="009E21E9">
        <w:t xml:space="preserve"> </w:t>
      </w:r>
    </w:p>
    <w:p w14:paraId="5C0149E8" w14:textId="3B550D6F" w:rsidR="00F82F2C" w:rsidRDefault="00F82F2C" w:rsidP="00E85DFB">
      <w:pPr>
        <w:pStyle w:val="NumberedParagraphs"/>
      </w:pPr>
      <w:r>
        <w:t>Routine monitoring by agencies and ministers of disclosure log activity will assist in deciding the best measures to further the FOI Act object of facilitating public access to government information.</w:t>
      </w:r>
    </w:p>
    <w:p w14:paraId="386D97BF" w14:textId="48F13457" w:rsidR="00F82F2C" w:rsidRPr="00514698" w:rsidRDefault="00F82F2C" w:rsidP="00F82F2C">
      <w:pPr>
        <w:pStyle w:val="Heading3"/>
      </w:pPr>
      <w:bookmarkStart w:id="40" w:name="_Toc13644122"/>
      <w:bookmarkStart w:id="41" w:name="_Toc237248274"/>
      <w:r>
        <w:lastRenderedPageBreak/>
        <w:t>Information Publication Scheme</w:t>
      </w:r>
      <w:r w:rsidRPr="00514698">
        <w:t xml:space="preserve"> </w:t>
      </w:r>
      <w:r>
        <w:t>– r</w:t>
      </w:r>
      <w:r w:rsidRPr="00514698">
        <w:t>outinely accessed information</w:t>
      </w:r>
      <w:bookmarkEnd w:id="40"/>
      <w:bookmarkEnd w:id="41"/>
    </w:p>
    <w:p w14:paraId="5F635366" w14:textId="214921D0" w:rsidR="00F82F2C" w:rsidRPr="00514698" w:rsidRDefault="00F82F2C" w:rsidP="00071216">
      <w:pPr>
        <w:pStyle w:val="NumberedParagraphs"/>
      </w:pPr>
      <w:r w:rsidRPr="00514698">
        <w:t>Under the I</w:t>
      </w:r>
      <w:r w:rsidR="006564F3">
        <w:t>PS</w:t>
      </w:r>
      <w:r w:rsidRPr="00514698">
        <w:t>, agencies must publish information in documents to which the agency routinely gives access in response to FOI requests (s 8(2)(g)), except:</w:t>
      </w:r>
    </w:p>
    <w:p w14:paraId="0083682B" w14:textId="0DA2E1E3" w:rsidR="00F82F2C" w:rsidRPr="00D70224" w:rsidRDefault="00F82F2C" w:rsidP="006564F3">
      <w:pPr>
        <w:numPr>
          <w:ilvl w:val="0"/>
          <w:numId w:val="34"/>
        </w:numPr>
        <w:tabs>
          <w:tab w:val="left" w:pos="567"/>
        </w:tabs>
        <w:spacing w:before="120"/>
      </w:pPr>
      <w:r w:rsidRPr="00D70224">
        <w:t xml:space="preserve">personal information about any individual, if it would be </w:t>
      </w:r>
      <w:r>
        <w:t>‘</w:t>
      </w:r>
      <w:r w:rsidRPr="00D70224">
        <w:t>unreasonable</w:t>
      </w:r>
      <w:r>
        <w:t>’</w:t>
      </w:r>
      <w:r w:rsidRPr="00D70224">
        <w:t xml:space="preserve"> to publish the information (s</w:t>
      </w:r>
      <w:r>
        <w:t> </w:t>
      </w:r>
      <w:r w:rsidRPr="00D70224">
        <w:t>8(2)(g)(i))</w:t>
      </w:r>
    </w:p>
    <w:p w14:paraId="4C3FF39D" w14:textId="3CC07338" w:rsidR="00F82F2C" w:rsidRPr="00D70224" w:rsidRDefault="00F82F2C" w:rsidP="006564F3">
      <w:pPr>
        <w:numPr>
          <w:ilvl w:val="0"/>
          <w:numId w:val="34"/>
        </w:numPr>
        <w:tabs>
          <w:tab w:val="left" w:pos="567"/>
        </w:tabs>
        <w:spacing w:before="120"/>
      </w:pPr>
      <w:r w:rsidRPr="00D70224">
        <w:t>information about the business, commercial, financial or professional affairs of any person, if publication of that information would be ‘unreasonable’ (s</w:t>
      </w:r>
      <w:r>
        <w:t> </w:t>
      </w:r>
      <w:r w:rsidRPr="00D70224">
        <w:t>8(2)(g)(ii))</w:t>
      </w:r>
    </w:p>
    <w:p w14:paraId="4C71BE81" w14:textId="3E10F633" w:rsidR="00F82F2C" w:rsidRPr="00D70224" w:rsidRDefault="00F82F2C" w:rsidP="006564F3">
      <w:pPr>
        <w:numPr>
          <w:ilvl w:val="0"/>
          <w:numId w:val="34"/>
        </w:numPr>
        <w:tabs>
          <w:tab w:val="left" w:pos="567"/>
        </w:tabs>
        <w:spacing w:before="120"/>
      </w:pPr>
      <w:r w:rsidRPr="00D70224">
        <w:t>other information of a kind determined by the I</w:t>
      </w:r>
      <w:r>
        <w:t>nformation Commissioner under s </w:t>
      </w:r>
      <w:r w:rsidRPr="00D70224">
        <w:t>8(3), if publication of that information would be ‘unreasonable’ (s</w:t>
      </w:r>
      <w:r>
        <w:t> </w:t>
      </w:r>
      <w:r w:rsidRPr="00D70224">
        <w:t>8(2)(g)(iii)).</w:t>
      </w:r>
    </w:p>
    <w:p w14:paraId="42A63274" w14:textId="66C92B63" w:rsidR="00F82F2C" w:rsidRDefault="00F82F2C" w:rsidP="00071216">
      <w:pPr>
        <w:pStyle w:val="NumberedParagraphs"/>
      </w:pPr>
      <w:r>
        <w:t xml:space="preserve">Publication of information on a disclosure log </w:t>
      </w:r>
      <w:r w:rsidR="004F434A">
        <w:t>may</w:t>
      </w:r>
      <w:r>
        <w:t xml:space="preserve">, in </w:t>
      </w:r>
      <w:r w:rsidR="004F434A">
        <w:t>some</w:t>
      </w:r>
      <w:r>
        <w:t xml:space="preserve"> instances, satisfy this IPS publication requirement. Nevertheless, the IPS should contain a clear link to the disclosure log and an explanation that it contains information to which the agency has routinely given access in response to FOI requests.</w:t>
      </w:r>
    </w:p>
    <w:p w14:paraId="7CEA72F0" w14:textId="1D073146" w:rsidR="00F82F2C" w:rsidRPr="005A3D39" w:rsidRDefault="00F82F2C" w:rsidP="00071216">
      <w:pPr>
        <w:pStyle w:val="NumberedParagraphs"/>
      </w:pPr>
      <w:r>
        <w:t>On the other hand, an agency may decide that it is preferable, in complying with s 8(2)(g), for the IPS to contain either an extract from the disclosure log or a separate summary of information routinely released by the agency in response to FOI requests. Whichever approach is adopted, agencies must observe the additional requirement in s 8(2)(g) that the IPS entry identify items of information that are ‘routinely’ disclosed by the agency in response to FOI requests.</w:t>
      </w:r>
    </w:p>
    <w:p w14:paraId="4948697B" w14:textId="513BE8AD" w:rsidR="00F34A0F" w:rsidRDefault="00F82F2C">
      <w:pPr>
        <w:pStyle w:val="NumberedParagraphs"/>
      </w:pPr>
      <w:r>
        <w:t xml:space="preserve">For more information on s 8(2)(g) and the IPS generally </w:t>
      </w:r>
      <w:r w:rsidRPr="00507CCD">
        <w:t xml:space="preserve">see </w:t>
      </w:r>
      <w:hyperlink r:id="rId16" w:history="1">
        <w:r w:rsidRPr="006F2D1C">
          <w:rPr>
            <w:rStyle w:val="Hyperlink"/>
          </w:rPr>
          <w:t>Part 13</w:t>
        </w:r>
      </w:hyperlink>
      <w:r w:rsidRPr="00507CCD">
        <w:t xml:space="preserve"> of these Guidelines.</w:t>
      </w:r>
    </w:p>
    <w:p w14:paraId="79702D89" w14:textId="77777777" w:rsidR="00375EA9" w:rsidRPr="00A86682" w:rsidRDefault="00375EA9" w:rsidP="00375EA9">
      <w:pPr>
        <w:pStyle w:val="Heading3"/>
      </w:pPr>
      <w:bookmarkStart w:id="42" w:name="_Toc237248275"/>
      <w:r w:rsidRPr="00A86682">
        <w:t xml:space="preserve">Legal protection for </w:t>
      </w:r>
      <w:r>
        <w:t>disclosure log</w:t>
      </w:r>
      <w:r w:rsidRPr="00A86682">
        <w:t xml:space="preserve"> publication</w:t>
      </w:r>
      <w:bookmarkEnd w:id="42"/>
    </w:p>
    <w:p w14:paraId="5F8FC95E" w14:textId="77777777" w:rsidR="00375EA9" w:rsidRPr="00A86682" w:rsidRDefault="00375EA9" w:rsidP="00DA1484">
      <w:pPr>
        <w:pStyle w:val="NumberedParagraphs"/>
      </w:pPr>
      <w:r w:rsidRPr="00A86682">
        <w:t xml:space="preserve">The FOI Act provides legal protection where information has been published in good faith in the belief that publication was either </w:t>
      </w:r>
      <w:r>
        <w:t>required or permitted by an agency or minister on a disclosure log</w:t>
      </w:r>
      <w:r w:rsidRPr="00A86682">
        <w:t xml:space="preserve"> (ss 90 and 92). The protection applies to the </w:t>
      </w:r>
      <w:r>
        <w:t>Australian Government</w:t>
      </w:r>
      <w:r w:rsidRPr="00A86682">
        <w:t xml:space="preserve">, a </w:t>
      </w:r>
      <w:r>
        <w:t>m</w:t>
      </w:r>
      <w:r w:rsidRPr="00A86682">
        <w:t xml:space="preserve">inister, an agency or an officer of an agency. The scope of the protection is that no action lies for defamation, breach of confidence or infringement of copyright </w:t>
      </w:r>
      <w:r>
        <w:t>and no m</w:t>
      </w:r>
      <w:r w:rsidRPr="00A86682">
        <w:t xml:space="preserve">inister </w:t>
      </w:r>
      <w:r>
        <w:t xml:space="preserve">or </w:t>
      </w:r>
      <w:r w:rsidRPr="00A86682">
        <w:t>agency officers</w:t>
      </w:r>
      <w:r>
        <w:t xml:space="preserve"> will be criminally liable.</w:t>
      </w:r>
    </w:p>
    <w:p w14:paraId="2A2D0ADE" w14:textId="749D3F6C" w:rsidR="00375EA9" w:rsidRPr="00A86682" w:rsidRDefault="00375EA9" w:rsidP="00DA1484">
      <w:pPr>
        <w:pStyle w:val="NumberedParagraphs"/>
      </w:pPr>
      <w:r w:rsidRPr="00A86682">
        <w:t xml:space="preserve">These protections complement the policy objective of the </w:t>
      </w:r>
      <w:r>
        <w:t>FOI </w:t>
      </w:r>
      <w:r w:rsidRPr="00A86682">
        <w:t>Act</w:t>
      </w:r>
      <w:r>
        <w:t xml:space="preserve"> to</w:t>
      </w:r>
      <w:r w:rsidRPr="00A86682">
        <w:t xml:space="preserve"> provid</w:t>
      </w:r>
      <w:r>
        <w:t>e</w:t>
      </w:r>
      <w:r w:rsidRPr="00A86682">
        <w:t xml:space="preserve"> a secure framework for publication of Australian Government information to the public. The protections are conditional, and apply only where a </w:t>
      </w:r>
      <w:r>
        <w:t>m</w:t>
      </w:r>
      <w:r w:rsidRPr="00A86682">
        <w:t>inister or agency officer publishes a document in good faith</w:t>
      </w:r>
      <w:r w:rsidR="0001551D">
        <w:t>,</w:t>
      </w:r>
      <w:r w:rsidRPr="00A86682">
        <w:t xml:space="preserve"> in the belief that the publication was required or permitted under the </w:t>
      </w:r>
      <w:r>
        <w:t>FOI </w:t>
      </w:r>
      <w:r w:rsidRPr="00A86682">
        <w:t>Act.</w:t>
      </w:r>
    </w:p>
    <w:p w14:paraId="49B7B20E" w14:textId="3B083A76" w:rsidR="00F34A0F" w:rsidRDefault="00375EA9" w:rsidP="007D0138">
      <w:pPr>
        <w:pStyle w:val="NumberedParagraphs"/>
      </w:pPr>
      <w:r w:rsidRPr="00A86682">
        <w:t>The legal protection</w:t>
      </w:r>
      <w:r>
        <w:t>s</w:t>
      </w:r>
      <w:r w:rsidRPr="00A86682">
        <w:t xml:space="preserve"> provided by ss 90 and 92 </w:t>
      </w:r>
      <w:r>
        <w:t xml:space="preserve">also </w:t>
      </w:r>
      <w:r w:rsidRPr="00A86682">
        <w:t>appl</w:t>
      </w:r>
      <w:r>
        <w:t>y</w:t>
      </w:r>
      <w:r w:rsidRPr="00A86682">
        <w:t xml:space="preserve"> to the release of information in response to an FOI request, and to publication </w:t>
      </w:r>
      <w:r>
        <w:t>other than under</w:t>
      </w:r>
      <w:r w:rsidRPr="00A86682">
        <w:t xml:space="preserve"> the FOI Act where a </w:t>
      </w:r>
      <w:r>
        <w:t>m</w:t>
      </w:r>
      <w:r w:rsidRPr="00A86682">
        <w:t>inister or agency officer believes in good faith that publication is required or permitted. For more information about</w:t>
      </w:r>
      <w:r>
        <w:t xml:space="preserve"> these</w:t>
      </w:r>
      <w:r w:rsidRPr="00A86682">
        <w:t xml:space="preserve"> protections see </w:t>
      </w:r>
      <w:hyperlink r:id="rId17" w:history="1">
        <w:r w:rsidRPr="006F2D1C">
          <w:rPr>
            <w:rStyle w:val="Hyperlink"/>
          </w:rPr>
          <w:t>Part 3</w:t>
        </w:r>
      </w:hyperlink>
      <w:r>
        <w:t xml:space="preserve"> of these Guidelines</w:t>
      </w:r>
      <w:r w:rsidRPr="00A86682">
        <w:t>.</w:t>
      </w:r>
      <w:r w:rsidR="00F34A0F">
        <w:br w:type="page"/>
      </w:r>
    </w:p>
    <w:p w14:paraId="6377BE90" w14:textId="77777777" w:rsidR="00F34A0F" w:rsidRPr="00974F7E" w:rsidRDefault="00F34A0F" w:rsidP="00F34A0F">
      <w:pPr>
        <w:pStyle w:val="Heading2"/>
      </w:pPr>
      <w:bookmarkStart w:id="43" w:name="_Annexure_A_—"/>
      <w:bookmarkStart w:id="44" w:name="_Toc237248276"/>
      <w:bookmarkEnd w:id="43"/>
      <w:r w:rsidRPr="00974F7E">
        <w:lastRenderedPageBreak/>
        <w:t>Annexure A — Template disclosure log</w:t>
      </w:r>
      <w:bookmarkEnd w:id="44"/>
    </w:p>
    <w:p w14:paraId="03D68D55" w14:textId="77777777" w:rsidR="00F34A0F" w:rsidRDefault="00F34A0F" w:rsidP="000F452A">
      <w:pPr>
        <w:pStyle w:val="Heading4"/>
      </w:pPr>
      <w:bookmarkStart w:id="45" w:name="_Freedom_of_Information"/>
      <w:bookmarkStart w:id="46" w:name="_Hlk27725962"/>
      <w:bookmarkEnd w:id="45"/>
      <w:r w:rsidRPr="0055035D">
        <w:t>Freedom of Information disclosure log</w:t>
      </w:r>
    </w:p>
    <w:p w14:paraId="58F8A263" w14:textId="77777777" w:rsidR="00F34A0F" w:rsidRPr="006A70B6" w:rsidRDefault="00F34A0F" w:rsidP="00F34A0F">
      <w:pPr>
        <w:spacing w:after="240" w:line="276" w:lineRule="auto"/>
        <w:textAlignment w:val="baseline"/>
        <w:rPr>
          <w:rFonts w:ascii="Source Sans Pro" w:eastAsia="Times New Roman" w:hAnsi="Source Sans Pro" w:cs="Segoe UI"/>
          <w:szCs w:val="22"/>
          <w:lang w:eastAsia="en-AU"/>
        </w:rPr>
      </w:pPr>
      <w:bookmarkStart w:id="47" w:name="_Hlk27741912"/>
      <w:bookmarkEnd w:id="46"/>
      <w:r w:rsidRPr="006A70B6">
        <w:rPr>
          <w:rFonts w:ascii="Source Sans Pro" w:eastAsia="Times New Roman" w:hAnsi="Source Sans Pro" w:cs="Segoe UI"/>
          <w:szCs w:val="22"/>
          <w:lang w:eastAsia="en-AU"/>
        </w:rPr>
        <w:t>The [agency/</w:t>
      </w:r>
      <w:r>
        <w:rPr>
          <w:rFonts w:ascii="Source Sans Pro" w:eastAsia="Times New Roman" w:hAnsi="Source Sans Pro" w:cs="Segoe UI"/>
          <w:szCs w:val="22"/>
          <w:lang w:eastAsia="en-AU"/>
        </w:rPr>
        <w:t>Minister</w:t>
      </w:r>
      <w:r w:rsidRPr="006A70B6">
        <w:rPr>
          <w:rFonts w:ascii="Source Sans Pro" w:eastAsia="Times New Roman" w:hAnsi="Source Sans Pro" w:cs="Segoe UI"/>
          <w:szCs w:val="22"/>
          <w:lang w:eastAsia="en-AU"/>
        </w:rPr>
        <w:t xml:space="preserve">] is required by the </w:t>
      </w:r>
      <w:r w:rsidRPr="006A7C9D">
        <w:rPr>
          <w:rFonts w:ascii="Source Sans Pro" w:eastAsia="Times New Roman" w:hAnsi="Source Sans Pro" w:cs="Segoe UI"/>
          <w:i/>
          <w:iCs/>
          <w:szCs w:val="22"/>
          <w:lang w:eastAsia="en-AU"/>
        </w:rPr>
        <w:t>Freedom of Information Act 1982</w:t>
      </w:r>
      <w:r w:rsidRPr="006A70B6">
        <w:rPr>
          <w:rFonts w:ascii="Source Sans Pro" w:eastAsia="Times New Roman" w:hAnsi="Source Sans Pro" w:cs="Segoe UI"/>
          <w:szCs w:val="22"/>
          <w:lang w:eastAsia="en-AU"/>
        </w:rPr>
        <w:t xml:space="preserve"> to publish </w:t>
      </w:r>
      <w:r>
        <w:rPr>
          <w:rFonts w:ascii="Source Sans Pro" w:eastAsia="Times New Roman" w:hAnsi="Source Sans Pro" w:cs="Segoe UI"/>
          <w:szCs w:val="22"/>
          <w:lang w:eastAsia="en-AU"/>
        </w:rPr>
        <w:t>this</w:t>
      </w:r>
      <w:r w:rsidRPr="006A70B6">
        <w:rPr>
          <w:rFonts w:ascii="Source Sans Pro" w:eastAsia="Times New Roman" w:hAnsi="Source Sans Pro" w:cs="Segoe UI"/>
          <w:szCs w:val="22"/>
          <w:lang w:eastAsia="en-AU"/>
        </w:rPr>
        <w:t xml:space="preserve"> disclosure log on its website. The disclosure log lists information </w:t>
      </w:r>
      <w:r>
        <w:rPr>
          <w:rFonts w:ascii="Source Sans Pro" w:eastAsia="Times New Roman" w:hAnsi="Source Sans Pro" w:cs="Segoe UI"/>
          <w:szCs w:val="22"/>
          <w:lang w:eastAsia="en-AU"/>
        </w:rPr>
        <w:t>that</w:t>
      </w:r>
      <w:r w:rsidRPr="006A70B6">
        <w:rPr>
          <w:rFonts w:ascii="Source Sans Pro" w:eastAsia="Times New Roman" w:hAnsi="Source Sans Pro" w:cs="Segoe UI"/>
          <w:szCs w:val="22"/>
          <w:lang w:eastAsia="en-AU"/>
        </w:rPr>
        <w:t xml:space="preserve"> has been released in response to an FOI request. The disclosure log requirement does not apply to:</w:t>
      </w:r>
    </w:p>
    <w:p w14:paraId="557A85C2" w14:textId="77777777" w:rsidR="00F34A0F" w:rsidRPr="006A70B6" w:rsidRDefault="00F34A0F" w:rsidP="00F34A0F">
      <w:pPr>
        <w:numPr>
          <w:ilvl w:val="0"/>
          <w:numId w:val="107"/>
        </w:numPr>
        <w:spacing w:after="72" w:line="276" w:lineRule="auto"/>
        <w:ind w:left="300"/>
        <w:textAlignment w:val="baseline"/>
        <w:rPr>
          <w:rFonts w:ascii="Source Sans Pro" w:eastAsia="Times New Roman" w:hAnsi="Source Sans Pro" w:cs="Segoe UI"/>
          <w:szCs w:val="22"/>
          <w:lang w:eastAsia="en-AU"/>
        </w:rPr>
      </w:pPr>
      <w:r w:rsidRPr="006A70B6">
        <w:rPr>
          <w:rFonts w:ascii="Source Sans Pro" w:eastAsia="Times New Roman" w:hAnsi="Source Sans Pro" w:cs="Segoe UI"/>
          <w:szCs w:val="22"/>
          <w:lang w:eastAsia="en-AU"/>
        </w:rPr>
        <w:t>personal information about any person if publication of that information would be unreasonable</w:t>
      </w:r>
    </w:p>
    <w:p w14:paraId="586A3C7D" w14:textId="77777777" w:rsidR="00F34A0F" w:rsidRPr="006A70B6" w:rsidRDefault="00F34A0F" w:rsidP="00F34A0F">
      <w:pPr>
        <w:numPr>
          <w:ilvl w:val="0"/>
          <w:numId w:val="107"/>
        </w:numPr>
        <w:spacing w:after="72" w:line="276" w:lineRule="auto"/>
        <w:ind w:left="300"/>
        <w:textAlignment w:val="baseline"/>
        <w:rPr>
          <w:rFonts w:ascii="Source Sans Pro" w:eastAsia="Times New Roman" w:hAnsi="Source Sans Pro" w:cs="Segoe UI"/>
          <w:szCs w:val="22"/>
          <w:lang w:eastAsia="en-AU"/>
        </w:rPr>
      </w:pPr>
      <w:r w:rsidRPr="006A70B6">
        <w:rPr>
          <w:rFonts w:ascii="Source Sans Pro" w:eastAsia="Times New Roman" w:hAnsi="Source Sans Pro" w:cs="Segoe UI"/>
          <w:szCs w:val="22"/>
          <w:lang w:eastAsia="en-AU"/>
        </w:rPr>
        <w:t>information about the business, commercial, financial or professional affairs of any person if publication of that information would be unreasonable</w:t>
      </w:r>
    </w:p>
    <w:p w14:paraId="7E9F7F84" w14:textId="77777777" w:rsidR="00F34A0F" w:rsidRPr="006A70B6" w:rsidRDefault="00F34A0F" w:rsidP="00F34A0F">
      <w:pPr>
        <w:numPr>
          <w:ilvl w:val="0"/>
          <w:numId w:val="107"/>
        </w:numPr>
        <w:spacing w:after="72" w:line="276" w:lineRule="auto"/>
        <w:ind w:left="300"/>
        <w:textAlignment w:val="baseline"/>
        <w:rPr>
          <w:rFonts w:ascii="Source Sans Pro" w:eastAsia="Times New Roman" w:hAnsi="Source Sans Pro" w:cs="Segoe UI"/>
          <w:szCs w:val="22"/>
          <w:lang w:eastAsia="en-AU"/>
        </w:rPr>
      </w:pPr>
      <w:r w:rsidRPr="006A70B6">
        <w:rPr>
          <w:rFonts w:ascii="Source Sans Pro" w:eastAsia="Times New Roman" w:hAnsi="Source Sans Pro" w:cs="Segoe UI"/>
          <w:szCs w:val="22"/>
          <w:lang w:eastAsia="en-AU"/>
        </w:rPr>
        <w:t>other information covered by a determination made by the Australian Information Commissioner if publication of that information would be unreasonable</w:t>
      </w:r>
    </w:p>
    <w:p w14:paraId="47EBF1AD" w14:textId="77777777" w:rsidR="00F34A0F" w:rsidRPr="006A70B6" w:rsidRDefault="00F34A0F" w:rsidP="00F34A0F">
      <w:pPr>
        <w:numPr>
          <w:ilvl w:val="0"/>
          <w:numId w:val="107"/>
        </w:numPr>
        <w:spacing w:after="72" w:line="276" w:lineRule="auto"/>
        <w:ind w:left="300"/>
        <w:textAlignment w:val="baseline"/>
        <w:rPr>
          <w:rFonts w:ascii="Source Sans Pro" w:eastAsia="Times New Roman" w:hAnsi="Source Sans Pro" w:cs="Segoe UI"/>
          <w:szCs w:val="22"/>
          <w:lang w:eastAsia="en-AU"/>
        </w:rPr>
      </w:pPr>
      <w:r w:rsidRPr="006A70B6">
        <w:rPr>
          <w:rFonts w:ascii="Source Sans Pro" w:eastAsia="Times New Roman" w:hAnsi="Source Sans Pro" w:cs="Segoe UI"/>
          <w:szCs w:val="22"/>
          <w:lang w:eastAsia="en-AU"/>
        </w:rPr>
        <w:t>any information it is not reasonably practicable to publish because of the extent of modifications need</w:t>
      </w:r>
      <w:r>
        <w:rPr>
          <w:rFonts w:ascii="Source Sans Pro" w:eastAsia="Times New Roman" w:hAnsi="Source Sans Pro" w:cs="Segoe UI"/>
          <w:szCs w:val="22"/>
          <w:lang w:eastAsia="en-AU"/>
        </w:rPr>
        <w:t>ed</w:t>
      </w:r>
      <w:r w:rsidRPr="006A70B6">
        <w:rPr>
          <w:rFonts w:ascii="Source Sans Pro" w:eastAsia="Times New Roman" w:hAnsi="Source Sans Pro" w:cs="Segoe UI"/>
          <w:szCs w:val="22"/>
          <w:lang w:eastAsia="en-AU"/>
        </w:rPr>
        <w:t xml:space="preserve"> to be made to </w:t>
      </w:r>
      <w:r>
        <w:rPr>
          <w:rFonts w:ascii="Source Sans Pro" w:eastAsia="Times New Roman" w:hAnsi="Source Sans Pro" w:cs="Segoe UI"/>
          <w:szCs w:val="22"/>
          <w:lang w:eastAsia="en-AU"/>
        </w:rPr>
        <w:t>remove</w:t>
      </w:r>
      <w:r w:rsidRPr="006A70B6">
        <w:rPr>
          <w:rFonts w:ascii="Source Sans Pro" w:eastAsia="Times New Roman" w:hAnsi="Source Sans Pro" w:cs="Segoe UI"/>
          <w:szCs w:val="22"/>
          <w:lang w:eastAsia="en-AU"/>
        </w:rPr>
        <w:t xml:space="preserve"> the information listed </w:t>
      </w:r>
      <w:r>
        <w:rPr>
          <w:rFonts w:ascii="Source Sans Pro" w:eastAsia="Times New Roman" w:hAnsi="Source Sans Pro" w:cs="Segoe UI"/>
          <w:szCs w:val="22"/>
          <w:lang w:eastAsia="en-AU"/>
        </w:rPr>
        <w:t>above</w:t>
      </w:r>
      <w:r w:rsidRPr="006A70B6">
        <w:rPr>
          <w:rFonts w:ascii="Source Sans Pro" w:eastAsia="Times New Roman" w:hAnsi="Source Sans Pro" w:cs="Segoe UI"/>
          <w:szCs w:val="22"/>
          <w:lang w:eastAsia="en-AU"/>
        </w:rPr>
        <w:t>.</w:t>
      </w:r>
    </w:p>
    <w:p w14:paraId="43CE33DD" w14:textId="77777777" w:rsidR="00F34A0F" w:rsidRPr="006A7C9D" w:rsidRDefault="00F34A0F" w:rsidP="00F34A0F">
      <w:pPr>
        <w:spacing w:after="240" w:line="276" w:lineRule="auto"/>
        <w:textAlignment w:val="baseline"/>
        <w:rPr>
          <w:rFonts w:ascii="Source Sans Pro" w:eastAsia="Times New Roman" w:hAnsi="Source Sans Pro" w:cs="Segoe UI"/>
          <w:szCs w:val="22"/>
          <w:lang w:eastAsia="en-AU"/>
        </w:rPr>
      </w:pPr>
      <w:r w:rsidRPr="006A7C9D">
        <w:rPr>
          <w:rFonts w:ascii="Source Sans Pro" w:eastAsia="Times New Roman" w:hAnsi="Source Sans Pro" w:cs="Segoe UI"/>
          <w:szCs w:val="22"/>
          <w:lang w:eastAsia="en-AU"/>
        </w:rPr>
        <w:t xml:space="preserve">The information described in this disclosure log has been released by [agency/Minister] under the </w:t>
      </w:r>
      <w:r w:rsidRPr="006A7C9D">
        <w:rPr>
          <w:rFonts w:ascii="Source Sans Pro" w:eastAsia="Times New Roman" w:hAnsi="Source Sans Pro" w:cs="Segoe UI"/>
          <w:i/>
          <w:iCs/>
          <w:szCs w:val="22"/>
          <w:lang w:eastAsia="en-AU"/>
        </w:rPr>
        <w:t>Freedom of Information Act 1982</w:t>
      </w:r>
      <w:r w:rsidRPr="006A7C9D">
        <w:rPr>
          <w:rFonts w:ascii="Source Sans Pro" w:eastAsia="Times New Roman" w:hAnsi="Source Sans Pro" w:cs="Segoe UI"/>
          <w:szCs w:val="22"/>
          <w:lang w:eastAsia="en-AU"/>
        </w:rPr>
        <w:t xml:space="preserve"> and is available for public access.</w:t>
      </w:r>
    </w:p>
    <w:p w14:paraId="15C9BCAE" w14:textId="77777777" w:rsidR="00616D62" w:rsidRDefault="00F34A0F" w:rsidP="00F34A0F">
      <w:pPr>
        <w:spacing w:after="240" w:line="276" w:lineRule="auto"/>
        <w:textAlignment w:val="baseline"/>
        <w:rPr>
          <w:rFonts w:ascii="Source Sans Pro" w:eastAsia="Times New Roman" w:hAnsi="Source Sans Pro" w:cs="Segoe UI"/>
          <w:szCs w:val="22"/>
          <w:lang w:eastAsia="en-AU"/>
        </w:rPr>
      </w:pPr>
      <w:r w:rsidRPr="006A70B6">
        <w:rPr>
          <w:rFonts w:ascii="Source Sans Pro" w:eastAsia="Times New Roman" w:hAnsi="Source Sans Pro" w:cs="Segoe UI"/>
          <w:szCs w:val="22"/>
          <w:lang w:eastAsia="en-AU"/>
        </w:rPr>
        <w:t>A link is provided if the information can be downloaded from this website or another website.</w:t>
      </w:r>
      <w:r>
        <w:rPr>
          <w:rFonts w:ascii="Source Sans Pro" w:eastAsia="Times New Roman" w:hAnsi="Source Sans Pro" w:cs="Segoe UI"/>
          <w:szCs w:val="22"/>
          <w:lang w:eastAsia="en-AU"/>
        </w:rPr>
        <w:t xml:space="preserve"> </w:t>
      </w:r>
      <w:r w:rsidRPr="006A70B6">
        <w:rPr>
          <w:rFonts w:ascii="Source Sans Pro" w:eastAsia="Times New Roman" w:hAnsi="Source Sans Pro" w:cs="Segoe UI"/>
          <w:szCs w:val="22"/>
          <w:lang w:eastAsia="en-AU"/>
        </w:rPr>
        <w:t xml:space="preserve">Information that is not available on </w:t>
      </w:r>
      <w:r>
        <w:rPr>
          <w:rFonts w:ascii="Source Sans Pro" w:eastAsia="Times New Roman" w:hAnsi="Source Sans Pro" w:cs="Segoe UI"/>
          <w:szCs w:val="22"/>
          <w:lang w:eastAsia="en-AU"/>
        </w:rPr>
        <w:t>this</w:t>
      </w:r>
      <w:r w:rsidRPr="006A70B6">
        <w:rPr>
          <w:rFonts w:ascii="Source Sans Pro" w:eastAsia="Times New Roman" w:hAnsi="Source Sans Pro" w:cs="Segoe UI"/>
          <w:szCs w:val="22"/>
          <w:lang w:eastAsia="en-AU"/>
        </w:rPr>
        <w:t xml:space="preserve"> website</w:t>
      </w:r>
      <w:r>
        <w:rPr>
          <w:rFonts w:ascii="Source Sans Pro" w:eastAsia="Times New Roman" w:hAnsi="Source Sans Pro" w:cs="Segoe UI"/>
          <w:szCs w:val="22"/>
          <w:lang w:eastAsia="en-AU"/>
        </w:rPr>
        <w:t>, due to technical limitations,</w:t>
      </w:r>
      <w:r w:rsidRPr="006A70B6">
        <w:rPr>
          <w:rFonts w:ascii="Source Sans Pro" w:eastAsia="Times New Roman" w:hAnsi="Source Sans Pro" w:cs="Segoe UI"/>
          <w:szCs w:val="22"/>
          <w:lang w:eastAsia="en-AU"/>
        </w:rPr>
        <w:t xml:space="preserve"> may be obtained by writing to [address].</w:t>
      </w:r>
    </w:p>
    <w:p w14:paraId="0AFC82A7" w14:textId="2DF39CA6" w:rsidR="00616D62" w:rsidRDefault="008279FA" w:rsidP="00F34A0F">
      <w:pPr>
        <w:spacing w:after="240" w:line="276" w:lineRule="auto"/>
        <w:textAlignment w:val="baseline"/>
        <w:rPr>
          <w:rFonts w:ascii="Source Sans Pro" w:eastAsia="Times New Roman" w:hAnsi="Source Sans Pro" w:cs="Segoe UI"/>
          <w:szCs w:val="22"/>
          <w:lang w:eastAsia="en-AU"/>
        </w:rPr>
      </w:pPr>
      <w:r>
        <w:rPr>
          <w:rFonts w:ascii="Source Sans Pro" w:eastAsia="Times New Roman" w:hAnsi="Source Sans Pro" w:cs="Segoe UI"/>
          <w:szCs w:val="22"/>
          <w:lang w:eastAsia="en-AU"/>
        </w:rPr>
        <w:t xml:space="preserve">[If applicable] </w:t>
      </w:r>
      <w:r w:rsidR="00F34A0F" w:rsidRPr="006A70B6">
        <w:rPr>
          <w:rFonts w:ascii="Source Sans Pro" w:eastAsia="Times New Roman" w:hAnsi="Source Sans Pro" w:cs="Segoe UI"/>
          <w:szCs w:val="22"/>
          <w:lang w:eastAsia="en-AU"/>
        </w:rPr>
        <w:t>A charge may be imposed to reimburse the [agency/</w:t>
      </w:r>
      <w:r w:rsidR="00F34A0F">
        <w:rPr>
          <w:rFonts w:ascii="Source Sans Pro" w:eastAsia="Times New Roman" w:hAnsi="Source Sans Pro" w:cs="Segoe UI"/>
          <w:szCs w:val="22"/>
          <w:lang w:eastAsia="en-AU"/>
        </w:rPr>
        <w:t>Minister</w:t>
      </w:r>
      <w:r w:rsidR="00F34A0F" w:rsidRPr="006A70B6">
        <w:rPr>
          <w:rFonts w:ascii="Source Sans Pro" w:eastAsia="Times New Roman" w:hAnsi="Source Sans Pro" w:cs="Segoe UI"/>
          <w:szCs w:val="22"/>
          <w:lang w:eastAsia="en-AU"/>
        </w:rPr>
        <w:t xml:space="preserve">] for the cost incurred in copying or reproducing the information or sending it to you. </w:t>
      </w:r>
    </w:p>
    <w:p w14:paraId="296AE713" w14:textId="27E89F81" w:rsidR="00616D62" w:rsidRDefault="00616D62" w:rsidP="00F34A0F">
      <w:pPr>
        <w:spacing w:after="240" w:line="276" w:lineRule="auto"/>
        <w:textAlignment w:val="baseline"/>
        <w:rPr>
          <w:rFonts w:ascii="Source Sans Pro" w:eastAsia="Times New Roman" w:hAnsi="Source Sans Pro" w:cs="Segoe UI"/>
          <w:szCs w:val="22"/>
          <w:lang w:eastAsia="en-AU"/>
        </w:rPr>
      </w:pPr>
      <w:r>
        <w:rPr>
          <w:rFonts w:ascii="Source Sans Pro" w:eastAsia="Times New Roman" w:hAnsi="Source Sans Pro" w:cs="Segoe UI"/>
          <w:szCs w:val="22"/>
          <w:lang w:eastAsia="en-AU"/>
        </w:rPr>
        <w:t xml:space="preserve">[Insert information about the charges that may be imposed for providing access to documents not published on the disclosure log, or which can be provided in another format. This information should be comprehensive and include the basis upon which the charge will be imposed (for example, in accordance with the charges set out in Parts 1 and 2 Schedule 1 to the </w:t>
      </w:r>
      <w:hyperlink r:id="rId18" w:history="1">
        <w:r w:rsidRPr="00616D62">
          <w:rPr>
            <w:rStyle w:val="Hyperlink"/>
            <w:rFonts w:ascii="Source Sans Pro" w:eastAsia="Times New Roman" w:hAnsi="Source Sans Pro" w:cs="Segoe UI"/>
            <w:szCs w:val="22"/>
            <w:lang w:eastAsia="en-AU"/>
          </w:rPr>
          <w:t>Freedom of Information (Charges) Regulations 2019)</w:t>
        </w:r>
      </w:hyperlink>
      <w:r>
        <w:rPr>
          <w:rFonts w:ascii="Source Sans Pro" w:eastAsia="Times New Roman" w:hAnsi="Source Sans Pro" w:cs="Segoe UI"/>
          <w:szCs w:val="22"/>
          <w:lang w:eastAsia="en-AU"/>
        </w:rPr>
        <w:t>.]</w:t>
      </w:r>
    </w:p>
    <w:p w14:paraId="58A874A2" w14:textId="3DDF1D11" w:rsidR="00F34A0F" w:rsidRPr="006A70B6" w:rsidRDefault="009E21E9" w:rsidP="00F34A0F">
      <w:pPr>
        <w:spacing w:after="240" w:line="276" w:lineRule="auto"/>
        <w:textAlignment w:val="baseline"/>
        <w:rPr>
          <w:rFonts w:ascii="Source Sans Pro" w:eastAsia="Times New Roman" w:hAnsi="Source Sans Pro" w:cs="Segoe UI"/>
          <w:szCs w:val="22"/>
          <w:lang w:eastAsia="en-AU"/>
        </w:rPr>
      </w:pPr>
      <w:r>
        <w:rPr>
          <w:rFonts w:ascii="Source Sans Pro" w:eastAsia="Times New Roman" w:hAnsi="Source Sans Pro" w:cs="Segoe UI"/>
          <w:szCs w:val="22"/>
          <w:lang w:eastAsia="en-AU"/>
        </w:rPr>
        <w:t xml:space="preserve">[If applicable] We do not impose a charge for providing access to information on our disclosure log. </w:t>
      </w:r>
      <w:r w:rsidR="00F34A0F" w:rsidRPr="006A70B6">
        <w:rPr>
          <w:rFonts w:ascii="Source Sans Pro" w:eastAsia="Times New Roman" w:hAnsi="Source Sans Pro" w:cs="Segoe UI"/>
          <w:szCs w:val="22"/>
          <w:lang w:eastAsia="en-AU"/>
        </w:rPr>
        <w:t>You will be notified if any charge is payable and required to pay the charge before the information is provided.</w:t>
      </w:r>
    </w:p>
    <w:p w14:paraId="518F5267" w14:textId="77777777" w:rsidR="00F34A0F" w:rsidRPr="006A70B6" w:rsidRDefault="00F34A0F" w:rsidP="00F34A0F">
      <w:pPr>
        <w:spacing w:after="240" w:line="276" w:lineRule="auto"/>
        <w:textAlignment w:val="baseline"/>
        <w:rPr>
          <w:rFonts w:ascii="Source Sans Pro" w:eastAsia="Times New Roman" w:hAnsi="Source Sans Pro" w:cs="Segoe UI"/>
          <w:szCs w:val="22"/>
          <w:lang w:eastAsia="en-AU"/>
        </w:rPr>
      </w:pPr>
      <w:r w:rsidRPr="006A70B6">
        <w:rPr>
          <w:rFonts w:ascii="Source Sans Pro" w:eastAsia="Times New Roman" w:hAnsi="Source Sans Pro" w:cs="Segoe UI"/>
          <w:szCs w:val="22"/>
          <w:lang w:eastAsia="en-AU"/>
        </w:rPr>
        <w:t xml:space="preserve">There may be documents </w:t>
      </w:r>
      <w:r>
        <w:rPr>
          <w:rFonts w:ascii="Source Sans Pro" w:eastAsia="Times New Roman" w:hAnsi="Source Sans Pro" w:cs="Segoe UI"/>
          <w:szCs w:val="22"/>
          <w:lang w:eastAsia="en-AU"/>
        </w:rPr>
        <w:t>o</w:t>
      </w:r>
      <w:r w:rsidRPr="006A70B6">
        <w:rPr>
          <w:rFonts w:ascii="Source Sans Pro" w:eastAsia="Times New Roman" w:hAnsi="Source Sans Pro" w:cs="Segoe UI"/>
          <w:szCs w:val="22"/>
          <w:lang w:eastAsia="en-AU"/>
        </w:rPr>
        <w:t>n the disclosure log that are currently not available in HTML format. If you are unable to read the format provided, please contact [insert FOI contact details] for assistance.</w:t>
      </w:r>
    </w:p>
    <w:p w14:paraId="2E6CDAD7" w14:textId="4A7E38AC" w:rsidR="00F34A0F" w:rsidRPr="005B5C05" w:rsidRDefault="00F34A0F" w:rsidP="00F34A0F">
      <w:pPr>
        <w:spacing w:after="240" w:line="276" w:lineRule="auto"/>
        <w:textAlignment w:val="baseline"/>
        <w:rPr>
          <w:rFonts w:ascii="Source Sans Pro" w:eastAsia="Times New Roman" w:hAnsi="Source Sans Pro" w:cs="Segoe UI"/>
          <w:color w:val="003347"/>
          <w:szCs w:val="22"/>
          <w:lang w:eastAsia="en-AU"/>
        </w:rPr>
        <w:sectPr w:rsidR="00F34A0F" w:rsidRPr="005B5C05" w:rsidSect="008D4598">
          <w:headerReference w:type="even" r:id="rId19"/>
          <w:headerReference w:type="default" r:id="rId20"/>
          <w:footerReference w:type="even" r:id="rId21"/>
          <w:footerReference w:type="default" r:id="rId22"/>
          <w:headerReference w:type="first" r:id="rId23"/>
          <w:footerReference w:type="first" r:id="rId24"/>
          <w:type w:val="continuous"/>
          <w:pgSz w:w="11906" w:h="16838" w:code="9"/>
          <w:pgMar w:top="1418" w:right="1133" w:bottom="992" w:left="1418" w:header="556" w:footer="1617" w:gutter="0"/>
          <w:cols w:space="708"/>
          <w:titlePg/>
          <w:docGrid w:linePitch="360"/>
        </w:sectPr>
      </w:pPr>
      <w:r>
        <w:rPr>
          <w:rFonts w:ascii="Source Sans Pro" w:eastAsia="Times New Roman" w:hAnsi="Source Sans Pro" w:cs="Segoe UI"/>
          <w:szCs w:val="22"/>
          <w:lang w:eastAsia="en-AU"/>
        </w:rPr>
        <w:lastRenderedPageBreak/>
        <w:t xml:space="preserve">[Optional] </w:t>
      </w:r>
      <w:r w:rsidRPr="003D68B8">
        <w:rPr>
          <w:rFonts w:ascii="Source Sans Pro" w:eastAsia="Times New Roman" w:hAnsi="Source Sans Pro" w:cs="Segoe UI"/>
          <w:szCs w:val="22"/>
          <w:lang w:eastAsia="en-AU"/>
        </w:rPr>
        <w:t xml:space="preserve">Information attached to, or referred to, in the [agency/Minister’s] disclosure log will generally be removed after </w:t>
      </w:r>
      <w:r w:rsidR="00AC5CAA">
        <w:rPr>
          <w:rFonts w:ascii="Source Sans Pro" w:eastAsia="Times New Roman" w:hAnsi="Source Sans Pro" w:cs="Segoe UI"/>
          <w:szCs w:val="22"/>
          <w:lang w:eastAsia="en-AU"/>
        </w:rPr>
        <w:t>2</w:t>
      </w:r>
      <w:r w:rsidR="00D97793">
        <w:rPr>
          <w:rFonts w:ascii="Source Sans Pro" w:eastAsia="Times New Roman" w:hAnsi="Source Sans Pro" w:cs="Segoe UI"/>
          <w:szCs w:val="22"/>
          <w:lang w:eastAsia="en-AU"/>
        </w:rPr>
        <w:t xml:space="preserve"> years</w:t>
      </w:r>
      <w:r w:rsidRPr="003D68B8">
        <w:rPr>
          <w:rFonts w:ascii="Source Sans Pro" w:eastAsia="Times New Roman" w:hAnsi="Source Sans Pro" w:cs="Segoe UI"/>
          <w:szCs w:val="22"/>
          <w:lang w:eastAsia="en-AU"/>
        </w:rPr>
        <w:t xml:space="preserve">, unless the information has enduring public value. </w:t>
      </w:r>
      <w:r>
        <w:rPr>
          <w:rFonts w:ascii="Source Sans Pro" w:eastAsia="Times New Roman" w:hAnsi="Source Sans Pro" w:cs="Segoe UI"/>
          <w:szCs w:val="22"/>
          <w:lang w:eastAsia="en-AU"/>
        </w:rPr>
        <w:t xml:space="preserve">The archived disclosure log can be found here: </w:t>
      </w:r>
      <w:r w:rsidRPr="003D68B8">
        <w:rPr>
          <w:rFonts w:ascii="Source Sans Pro" w:eastAsia="Times New Roman" w:hAnsi="Source Sans Pro" w:cs="Segoe UI"/>
          <w:szCs w:val="22"/>
          <w:lang w:eastAsia="en-AU"/>
        </w:rPr>
        <w:t>[provide a link to the separate archive if not included on the disclosure log]</w:t>
      </w:r>
      <w:r>
        <w:rPr>
          <w:rFonts w:ascii="Source Sans Pro" w:eastAsia="Times New Roman" w:hAnsi="Source Sans Pro" w:cs="Segoe UI"/>
          <w:szCs w:val="22"/>
          <w:lang w:eastAsia="en-AU"/>
        </w:rPr>
        <w:t>.</w:t>
      </w:r>
      <w:bookmarkEnd w:id="47"/>
    </w:p>
    <w:tbl>
      <w:tblPr>
        <w:tblW w:w="14175" w:type="dxa"/>
        <w:tblCellMar>
          <w:left w:w="0" w:type="dxa"/>
          <w:right w:w="0" w:type="dxa"/>
        </w:tblCellMar>
        <w:tblLook w:val="04A0" w:firstRow="1" w:lastRow="0" w:firstColumn="1" w:lastColumn="0" w:noHBand="0" w:noVBand="1"/>
      </w:tblPr>
      <w:tblGrid>
        <w:gridCol w:w="1916"/>
        <w:gridCol w:w="1203"/>
        <w:gridCol w:w="1701"/>
        <w:gridCol w:w="2126"/>
        <w:gridCol w:w="2835"/>
        <w:gridCol w:w="4394"/>
      </w:tblGrid>
      <w:tr w:rsidR="00F34A0F" w:rsidRPr="006A70B6" w14:paraId="1E88A5BC" w14:textId="77777777" w:rsidTr="00BD49D6">
        <w:trPr>
          <w:trHeight w:val="757"/>
        </w:trPr>
        <w:tc>
          <w:tcPr>
            <w:tcW w:w="14175" w:type="dxa"/>
            <w:gridSpan w:val="6"/>
            <w:tcBorders>
              <w:top w:val="nil"/>
              <w:left w:val="nil"/>
              <w:bottom w:val="nil"/>
              <w:right w:val="nil"/>
            </w:tcBorders>
          </w:tcPr>
          <w:p w14:paraId="2114302B" w14:textId="55A7C4B8" w:rsidR="00F34A0F" w:rsidRPr="006A70B6" w:rsidRDefault="008947FB" w:rsidP="000F452A">
            <w:pPr>
              <w:pStyle w:val="Heading3"/>
            </w:pPr>
            <w:bookmarkStart w:id="48" w:name="_Toc237248277"/>
            <w:r w:rsidRPr="00974F7E">
              <w:lastRenderedPageBreak/>
              <w:t>Template disclosure log</w:t>
            </w:r>
            <w:r>
              <w:rPr>
                <w:rStyle w:val="FootnoteReference"/>
              </w:rPr>
              <w:footnoteReference w:id="21"/>
            </w:r>
            <w:bookmarkEnd w:id="48"/>
          </w:p>
        </w:tc>
      </w:tr>
      <w:tr w:rsidR="00F34A0F" w:rsidRPr="006A70B6" w14:paraId="4C19D9E8" w14:textId="77777777" w:rsidTr="00357AF4">
        <w:trPr>
          <w:trHeight w:val="757"/>
        </w:trPr>
        <w:tc>
          <w:tcPr>
            <w:tcW w:w="1916" w:type="dxa"/>
            <w:tcBorders>
              <w:top w:val="single" w:sz="6" w:space="0" w:color="auto"/>
              <w:left w:val="outset" w:sz="2" w:space="0" w:color="auto"/>
              <w:bottom w:val="single" w:sz="6" w:space="0" w:color="auto"/>
              <w:right w:val="outset" w:sz="2" w:space="0" w:color="auto"/>
            </w:tcBorders>
            <w:shd w:val="clear" w:color="auto" w:fill="F2EFF0" w:themeFill="accent3" w:themeFillTint="33"/>
            <w:vAlign w:val="center"/>
            <w:hideMark/>
          </w:tcPr>
          <w:p w14:paraId="7B4AD50A" w14:textId="4AB11877" w:rsidR="00F34A0F" w:rsidRPr="006A70B6" w:rsidRDefault="00F34A0F" w:rsidP="00357AF4">
            <w:pPr>
              <w:spacing w:before="120" w:line="276" w:lineRule="auto"/>
              <w:textAlignment w:val="baseline"/>
              <w:rPr>
                <w:rFonts w:ascii="Source Sans Pro" w:eastAsia="Times New Roman" w:hAnsi="Source Sans Pro" w:cs="Segoe UI"/>
                <w:b/>
                <w:bCs/>
                <w:szCs w:val="22"/>
                <w:lang w:eastAsia="en-AU"/>
              </w:rPr>
            </w:pPr>
            <w:r w:rsidRPr="006A70B6">
              <w:rPr>
                <w:rFonts w:ascii="Source Sans Pro" w:eastAsia="Times New Roman" w:hAnsi="Source Sans Pro" w:cs="Segoe UI"/>
                <w:b/>
                <w:bCs/>
                <w:szCs w:val="22"/>
                <w:lang w:eastAsia="en-AU"/>
              </w:rPr>
              <w:t>FOI reference number</w:t>
            </w:r>
          </w:p>
        </w:tc>
        <w:tc>
          <w:tcPr>
            <w:tcW w:w="1203" w:type="dxa"/>
            <w:tcBorders>
              <w:top w:val="single" w:sz="6" w:space="0" w:color="auto"/>
              <w:left w:val="outset" w:sz="2" w:space="0" w:color="auto"/>
              <w:bottom w:val="single" w:sz="6" w:space="0" w:color="auto"/>
              <w:right w:val="outset" w:sz="2" w:space="0" w:color="auto"/>
            </w:tcBorders>
            <w:shd w:val="clear" w:color="auto" w:fill="F2EFF0" w:themeFill="accent3" w:themeFillTint="33"/>
            <w:vAlign w:val="center"/>
            <w:hideMark/>
          </w:tcPr>
          <w:p w14:paraId="00DBE63C" w14:textId="77777777" w:rsidR="00F34A0F" w:rsidRPr="006A70B6" w:rsidRDefault="00F34A0F" w:rsidP="00357AF4">
            <w:pPr>
              <w:spacing w:before="120" w:line="276" w:lineRule="auto"/>
              <w:textAlignment w:val="baseline"/>
              <w:rPr>
                <w:rFonts w:ascii="Source Sans Pro" w:eastAsia="Times New Roman" w:hAnsi="Source Sans Pro" w:cs="Segoe UI"/>
                <w:b/>
                <w:bCs/>
                <w:szCs w:val="22"/>
                <w:lang w:eastAsia="en-AU"/>
              </w:rPr>
            </w:pPr>
            <w:r w:rsidRPr="006A70B6">
              <w:rPr>
                <w:rFonts w:ascii="Source Sans Pro" w:eastAsia="Times New Roman" w:hAnsi="Source Sans Pro" w:cs="Segoe UI"/>
                <w:b/>
                <w:bCs/>
                <w:szCs w:val="22"/>
                <w:lang w:eastAsia="en-AU"/>
              </w:rPr>
              <w:t>Date of access</w:t>
            </w:r>
            <w:hyperlink r:id="rId25" w:anchor="ftn-tbl-1" w:history="1">
              <w:r w:rsidRPr="00202581">
                <w:rPr>
                  <w:rFonts w:ascii="Source Sans Pro" w:eastAsia="Times New Roman" w:hAnsi="Source Sans Pro" w:cs="Segoe UI"/>
                  <w:b/>
                  <w:bCs/>
                  <w:szCs w:val="22"/>
                  <w:u w:val="single"/>
                  <w:bdr w:val="none" w:sz="0" w:space="0" w:color="auto" w:frame="1"/>
                  <w:vertAlign w:val="superscript"/>
                  <w:lang w:eastAsia="en-AU"/>
                </w:rPr>
                <w:t>(1)</w:t>
              </w:r>
            </w:hyperlink>
          </w:p>
        </w:tc>
        <w:tc>
          <w:tcPr>
            <w:tcW w:w="1701" w:type="dxa"/>
            <w:tcBorders>
              <w:top w:val="single" w:sz="6" w:space="0" w:color="auto"/>
              <w:left w:val="outset" w:sz="2" w:space="0" w:color="auto"/>
              <w:bottom w:val="single" w:sz="6" w:space="0" w:color="auto"/>
              <w:right w:val="outset" w:sz="2" w:space="0" w:color="auto"/>
            </w:tcBorders>
            <w:shd w:val="clear" w:color="auto" w:fill="F2EFF0" w:themeFill="accent3" w:themeFillTint="33"/>
            <w:vAlign w:val="center"/>
            <w:hideMark/>
          </w:tcPr>
          <w:p w14:paraId="0F1C3A2E" w14:textId="77777777" w:rsidR="00F34A0F" w:rsidRPr="006A70B6" w:rsidRDefault="00F34A0F" w:rsidP="00357AF4">
            <w:pPr>
              <w:spacing w:before="120" w:line="276" w:lineRule="auto"/>
              <w:textAlignment w:val="baseline"/>
              <w:rPr>
                <w:rFonts w:ascii="Source Sans Pro" w:eastAsia="Times New Roman" w:hAnsi="Source Sans Pro" w:cs="Segoe UI"/>
                <w:b/>
                <w:bCs/>
                <w:szCs w:val="22"/>
                <w:lang w:eastAsia="en-AU"/>
              </w:rPr>
            </w:pPr>
            <w:r>
              <w:rPr>
                <w:rFonts w:ascii="Source Sans Pro" w:eastAsia="Times New Roman" w:hAnsi="Source Sans Pro" w:cs="Segoe UI"/>
                <w:b/>
                <w:bCs/>
                <w:szCs w:val="22"/>
                <w:lang w:eastAsia="en-AU"/>
              </w:rPr>
              <w:t>Date of publication</w:t>
            </w:r>
            <w:hyperlink r:id="rId26" w:anchor="ftn-tbl-2" w:history="1">
              <w:r w:rsidRPr="00202581">
                <w:rPr>
                  <w:rFonts w:ascii="Source Sans Pro" w:eastAsia="Times New Roman" w:hAnsi="Source Sans Pro" w:cs="Segoe UI"/>
                  <w:b/>
                  <w:bCs/>
                  <w:szCs w:val="22"/>
                  <w:u w:val="single"/>
                  <w:bdr w:val="none" w:sz="0" w:space="0" w:color="auto" w:frame="1"/>
                  <w:vertAlign w:val="superscript"/>
                  <w:lang w:eastAsia="en-AU"/>
                </w:rPr>
                <w:t>(2)</w:t>
              </w:r>
            </w:hyperlink>
          </w:p>
        </w:tc>
        <w:tc>
          <w:tcPr>
            <w:tcW w:w="2126" w:type="dxa"/>
            <w:tcBorders>
              <w:top w:val="single" w:sz="6" w:space="0" w:color="auto"/>
              <w:left w:val="outset" w:sz="2" w:space="0" w:color="auto"/>
              <w:bottom w:val="single" w:sz="6" w:space="0" w:color="auto"/>
              <w:right w:val="outset" w:sz="2" w:space="0" w:color="auto"/>
            </w:tcBorders>
            <w:shd w:val="clear" w:color="auto" w:fill="F2EFF0" w:themeFill="accent3" w:themeFillTint="33"/>
            <w:vAlign w:val="center"/>
          </w:tcPr>
          <w:p w14:paraId="48F0BAE6" w14:textId="77777777" w:rsidR="00F34A0F" w:rsidRPr="006A70B6" w:rsidRDefault="00F34A0F" w:rsidP="00357AF4">
            <w:pPr>
              <w:spacing w:before="120" w:line="276" w:lineRule="auto"/>
              <w:textAlignment w:val="baseline"/>
              <w:rPr>
                <w:rFonts w:ascii="Source Sans Pro" w:eastAsia="Times New Roman" w:hAnsi="Source Sans Pro" w:cs="Segoe UI"/>
                <w:b/>
                <w:bCs/>
                <w:szCs w:val="22"/>
                <w:lang w:eastAsia="en-AU"/>
              </w:rPr>
            </w:pPr>
            <w:r w:rsidRPr="006A70B6">
              <w:rPr>
                <w:rFonts w:ascii="Source Sans Pro" w:eastAsia="Times New Roman" w:hAnsi="Source Sans Pro" w:cs="Segoe UI"/>
                <w:b/>
                <w:bCs/>
                <w:szCs w:val="22"/>
                <w:lang w:eastAsia="en-AU"/>
              </w:rPr>
              <w:t>FOI request</w:t>
            </w:r>
            <w:hyperlink r:id="rId27" w:anchor="ftn-tbl-2" w:history="1">
              <w:r w:rsidRPr="00202581">
                <w:rPr>
                  <w:rFonts w:ascii="Source Sans Pro" w:eastAsia="Times New Roman" w:hAnsi="Source Sans Pro" w:cs="Segoe UI"/>
                  <w:b/>
                  <w:bCs/>
                  <w:szCs w:val="22"/>
                  <w:u w:val="single"/>
                  <w:bdr w:val="none" w:sz="0" w:space="0" w:color="auto" w:frame="1"/>
                  <w:vertAlign w:val="superscript"/>
                  <w:lang w:eastAsia="en-AU"/>
                </w:rPr>
                <w:t>(3)</w:t>
              </w:r>
            </w:hyperlink>
          </w:p>
        </w:tc>
        <w:tc>
          <w:tcPr>
            <w:tcW w:w="2835" w:type="dxa"/>
            <w:tcBorders>
              <w:top w:val="single" w:sz="6" w:space="0" w:color="auto"/>
              <w:left w:val="outset" w:sz="2" w:space="0" w:color="auto"/>
              <w:bottom w:val="single" w:sz="6" w:space="0" w:color="auto"/>
              <w:right w:val="outset" w:sz="2" w:space="0" w:color="auto"/>
            </w:tcBorders>
            <w:shd w:val="clear" w:color="auto" w:fill="F2EFF0" w:themeFill="accent3" w:themeFillTint="33"/>
            <w:vAlign w:val="center"/>
            <w:hideMark/>
          </w:tcPr>
          <w:p w14:paraId="563ED3C5" w14:textId="77777777" w:rsidR="00F34A0F" w:rsidRPr="006A70B6" w:rsidRDefault="00F34A0F" w:rsidP="00357AF4">
            <w:pPr>
              <w:spacing w:before="120" w:line="276" w:lineRule="auto"/>
              <w:textAlignment w:val="baseline"/>
              <w:rPr>
                <w:rFonts w:ascii="Source Sans Pro" w:eastAsia="Times New Roman" w:hAnsi="Source Sans Pro" w:cs="Segoe UI"/>
                <w:b/>
                <w:bCs/>
                <w:szCs w:val="22"/>
                <w:lang w:eastAsia="en-AU"/>
              </w:rPr>
            </w:pPr>
            <w:r w:rsidRPr="006A70B6">
              <w:rPr>
                <w:rFonts w:ascii="Source Sans Pro" w:eastAsia="Times New Roman" w:hAnsi="Source Sans Pro" w:cs="Segoe UI"/>
                <w:b/>
                <w:bCs/>
                <w:szCs w:val="22"/>
                <w:lang w:eastAsia="en-AU"/>
              </w:rPr>
              <w:t xml:space="preserve">Information published </w:t>
            </w:r>
            <w:r>
              <w:rPr>
                <w:rFonts w:ascii="Source Sans Pro" w:eastAsia="Times New Roman" w:hAnsi="Source Sans Pro" w:cs="Segoe UI"/>
                <w:b/>
                <w:bCs/>
                <w:szCs w:val="22"/>
                <w:lang w:eastAsia="en-AU"/>
              </w:rPr>
              <w:t>o</w:t>
            </w:r>
            <w:r w:rsidRPr="006A70B6">
              <w:rPr>
                <w:rFonts w:ascii="Source Sans Pro" w:eastAsia="Times New Roman" w:hAnsi="Source Sans Pro" w:cs="Segoe UI"/>
                <w:b/>
                <w:bCs/>
                <w:szCs w:val="22"/>
                <w:lang w:eastAsia="en-AU"/>
              </w:rPr>
              <w:t>n the disclosure log</w:t>
            </w:r>
            <w:hyperlink r:id="rId28" w:anchor="ftn-tbl-3" w:history="1">
              <w:r w:rsidRPr="006A7C9D">
                <w:rPr>
                  <w:rFonts w:ascii="Source Sans Pro" w:eastAsia="Times New Roman" w:hAnsi="Source Sans Pro" w:cs="Segoe UI"/>
                  <w:b/>
                  <w:bCs/>
                  <w:szCs w:val="22"/>
                  <w:u w:val="single"/>
                  <w:bdr w:val="none" w:sz="0" w:space="0" w:color="auto" w:frame="1"/>
                  <w:vertAlign w:val="superscript"/>
                  <w:lang w:eastAsia="en-AU"/>
                </w:rPr>
                <w:t>(4)</w:t>
              </w:r>
            </w:hyperlink>
          </w:p>
        </w:tc>
        <w:tc>
          <w:tcPr>
            <w:tcW w:w="4394" w:type="dxa"/>
            <w:tcBorders>
              <w:top w:val="single" w:sz="6" w:space="0" w:color="auto"/>
              <w:left w:val="outset" w:sz="2" w:space="0" w:color="auto"/>
              <w:bottom w:val="single" w:sz="6" w:space="0" w:color="auto"/>
              <w:right w:val="outset" w:sz="2" w:space="0" w:color="auto"/>
            </w:tcBorders>
            <w:shd w:val="clear" w:color="auto" w:fill="F2EFF0" w:themeFill="accent3" w:themeFillTint="33"/>
            <w:vAlign w:val="center"/>
            <w:hideMark/>
          </w:tcPr>
          <w:p w14:paraId="434F165E" w14:textId="77777777" w:rsidR="00F34A0F" w:rsidRPr="006A70B6" w:rsidRDefault="00F34A0F" w:rsidP="00357AF4">
            <w:pPr>
              <w:spacing w:before="120" w:line="276" w:lineRule="auto"/>
              <w:textAlignment w:val="baseline"/>
              <w:rPr>
                <w:rFonts w:ascii="Source Sans Pro" w:eastAsia="Times New Roman" w:hAnsi="Source Sans Pro" w:cs="Segoe UI"/>
                <w:b/>
                <w:bCs/>
                <w:szCs w:val="22"/>
                <w:lang w:eastAsia="en-AU"/>
              </w:rPr>
            </w:pPr>
            <w:r w:rsidRPr="006A70B6">
              <w:rPr>
                <w:rFonts w:ascii="Source Sans Pro" w:eastAsia="Times New Roman" w:hAnsi="Source Sans Pro" w:cs="Segoe UI"/>
                <w:b/>
                <w:bCs/>
                <w:szCs w:val="22"/>
                <w:lang w:eastAsia="en-AU"/>
              </w:rPr>
              <w:t>Other information</w:t>
            </w:r>
            <w:hyperlink r:id="rId29" w:anchor="ftn-tbl-4" w:history="1">
              <w:r w:rsidRPr="006A7C9D">
                <w:rPr>
                  <w:rFonts w:ascii="Source Sans Pro" w:eastAsia="Times New Roman" w:hAnsi="Source Sans Pro" w:cs="Segoe UI"/>
                  <w:b/>
                  <w:bCs/>
                  <w:szCs w:val="22"/>
                  <w:u w:val="single"/>
                  <w:bdr w:val="none" w:sz="0" w:space="0" w:color="auto" w:frame="1"/>
                  <w:vertAlign w:val="superscript"/>
                  <w:lang w:eastAsia="en-AU"/>
                </w:rPr>
                <w:t>(5)</w:t>
              </w:r>
            </w:hyperlink>
          </w:p>
        </w:tc>
      </w:tr>
      <w:tr w:rsidR="00F34A0F" w:rsidRPr="006A70B6" w14:paraId="0798BEC6" w14:textId="77777777" w:rsidTr="00357AF4">
        <w:trPr>
          <w:trHeight w:val="757"/>
        </w:trPr>
        <w:tc>
          <w:tcPr>
            <w:tcW w:w="1916" w:type="dxa"/>
            <w:tcBorders>
              <w:top w:val="outset" w:sz="2" w:space="0" w:color="auto"/>
              <w:left w:val="outset" w:sz="2" w:space="0" w:color="auto"/>
              <w:bottom w:val="outset" w:sz="2" w:space="0" w:color="auto"/>
              <w:right w:val="outset" w:sz="2" w:space="0" w:color="auto"/>
            </w:tcBorders>
          </w:tcPr>
          <w:p w14:paraId="16C9773F" w14:textId="6BB17AFD" w:rsidR="00F34A0F" w:rsidRPr="006A70B6" w:rsidRDefault="00F34A0F" w:rsidP="00BD49D6">
            <w:pPr>
              <w:spacing w:before="240" w:after="0" w:line="276" w:lineRule="auto"/>
              <w:rPr>
                <w:rFonts w:ascii="Source Sans Pro" w:eastAsia="Times New Roman" w:hAnsi="Source Sans Pro" w:cs="Segoe UI"/>
                <w:szCs w:val="22"/>
                <w:lang w:eastAsia="en-AU"/>
              </w:rPr>
            </w:pPr>
          </w:p>
        </w:tc>
        <w:tc>
          <w:tcPr>
            <w:tcW w:w="1203" w:type="dxa"/>
            <w:tcBorders>
              <w:top w:val="outset" w:sz="2" w:space="0" w:color="auto"/>
              <w:left w:val="outset" w:sz="2" w:space="0" w:color="auto"/>
              <w:bottom w:val="outset" w:sz="2" w:space="0" w:color="auto"/>
              <w:right w:val="outset" w:sz="2" w:space="0" w:color="auto"/>
            </w:tcBorders>
          </w:tcPr>
          <w:p w14:paraId="49F056D2" w14:textId="12C838AB" w:rsidR="00F34A0F" w:rsidRPr="006A70B6" w:rsidRDefault="00F34A0F" w:rsidP="00BD49D6">
            <w:pPr>
              <w:spacing w:before="240" w:after="0" w:line="276" w:lineRule="auto"/>
              <w:rPr>
                <w:rFonts w:ascii="Source Sans Pro" w:eastAsia="Times New Roman" w:hAnsi="Source Sans Pro" w:cs="Segoe UI"/>
                <w:szCs w:val="22"/>
                <w:lang w:eastAsia="en-AU"/>
              </w:rPr>
            </w:pPr>
          </w:p>
        </w:tc>
        <w:tc>
          <w:tcPr>
            <w:tcW w:w="1701" w:type="dxa"/>
            <w:tcBorders>
              <w:top w:val="outset" w:sz="2" w:space="0" w:color="auto"/>
              <w:left w:val="outset" w:sz="2" w:space="0" w:color="auto"/>
              <w:bottom w:val="outset" w:sz="2" w:space="0" w:color="auto"/>
              <w:right w:val="outset" w:sz="2" w:space="0" w:color="auto"/>
            </w:tcBorders>
          </w:tcPr>
          <w:p w14:paraId="243F9334" w14:textId="2632BC3C" w:rsidR="00F34A0F" w:rsidRPr="006A70B6" w:rsidRDefault="00F34A0F" w:rsidP="00BD49D6">
            <w:pPr>
              <w:spacing w:before="240" w:after="0" w:line="276" w:lineRule="auto"/>
              <w:rPr>
                <w:rFonts w:ascii="Source Sans Pro" w:eastAsia="Times New Roman" w:hAnsi="Source Sans Pro" w:cs="Segoe UI"/>
                <w:szCs w:val="22"/>
                <w:lang w:eastAsia="en-AU"/>
              </w:rPr>
            </w:pPr>
          </w:p>
        </w:tc>
        <w:tc>
          <w:tcPr>
            <w:tcW w:w="2126" w:type="dxa"/>
            <w:tcBorders>
              <w:top w:val="outset" w:sz="2" w:space="0" w:color="auto"/>
              <w:left w:val="outset" w:sz="2" w:space="0" w:color="auto"/>
              <w:bottom w:val="outset" w:sz="2" w:space="0" w:color="auto"/>
              <w:right w:val="outset" w:sz="2" w:space="0" w:color="auto"/>
            </w:tcBorders>
          </w:tcPr>
          <w:p w14:paraId="35FEEE5C" w14:textId="036C018C" w:rsidR="00F34A0F" w:rsidRPr="006A70B6" w:rsidRDefault="00F34A0F" w:rsidP="00BD49D6">
            <w:pPr>
              <w:spacing w:before="240" w:after="0" w:line="276" w:lineRule="auto"/>
              <w:rPr>
                <w:rFonts w:ascii="Source Sans Pro" w:eastAsia="Times New Roman" w:hAnsi="Source Sans Pro" w:cs="Segoe UI"/>
                <w:szCs w:val="22"/>
                <w:lang w:eastAsia="en-AU"/>
              </w:rPr>
            </w:pPr>
          </w:p>
        </w:tc>
        <w:tc>
          <w:tcPr>
            <w:tcW w:w="2835" w:type="dxa"/>
            <w:tcBorders>
              <w:top w:val="outset" w:sz="2" w:space="0" w:color="auto"/>
              <w:left w:val="outset" w:sz="2" w:space="0" w:color="auto"/>
              <w:bottom w:val="outset" w:sz="2" w:space="0" w:color="auto"/>
              <w:right w:val="outset" w:sz="2" w:space="0" w:color="auto"/>
            </w:tcBorders>
            <w:hideMark/>
          </w:tcPr>
          <w:p w14:paraId="100B094E" w14:textId="77777777" w:rsidR="00F34A0F" w:rsidRPr="006A70B6" w:rsidRDefault="00F34A0F" w:rsidP="00BD49D6">
            <w:pPr>
              <w:spacing w:before="240" w:after="0" w:line="276" w:lineRule="auto"/>
              <w:rPr>
                <w:rFonts w:ascii="Source Sans Pro" w:eastAsia="Times New Roman" w:hAnsi="Source Sans Pro" w:cs="Segoe UI"/>
                <w:szCs w:val="22"/>
                <w:lang w:eastAsia="en-AU"/>
              </w:rPr>
            </w:pPr>
            <w:r w:rsidRPr="006A70B6">
              <w:rPr>
                <w:rFonts w:ascii="Source Sans Pro" w:eastAsia="Times New Roman" w:hAnsi="Source Sans Pro" w:cs="Segoe UI"/>
                <w:szCs w:val="22"/>
                <w:lang w:eastAsia="en-AU"/>
              </w:rPr>
              <w:t> </w:t>
            </w:r>
          </w:p>
        </w:tc>
        <w:tc>
          <w:tcPr>
            <w:tcW w:w="4394" w:type="dxa"/>
            <w:tcBorders>
              <w:top w:val="outset" w:sz="2" w:space="0" w:color="auto"/>
              <w:left w:val="outset" w:sz="2" w:space="0" w:color="auto"/>
              <w:bottom w:val="outset" w:sz="2" w:space="0" w:color="auto"/>
              <w:right w:val="outset" w:sz="2" w:space="0" w:color="auto"/>
            </w:tcBorders>
            <w:hideMark/>
          </w:tcPr>
          <w:p w14:paraId="1270AC90" w14:textId="77777777" w:rsidR="00F34A0F" w:rsidRPr="006A70B6" w:rsidRDefault="00F34A0F" w:rsidP="00BD49D6">
            <w:pPr>
              <w:spacing w:before="240" w:after="0" w:line="276" w:lineRule="auto"/>
              <w:rPr>
                <w:rFonts w:ascii="Source Sans Pro" w:eastAsia="Times New Roman" w:hAnsi="Source Sans Pro" w:cs="Segoe UI"/>
                <w:szCs w:val="22"/>
                <w:lang w:eastAsia="en-AU"/>
              </w:rPr>
            </w:pPr>
            <w:r w:rsidRPr="006A70B6">
              <w:rPr>
                <w:rFonts w:ascii="Source Sans Pro" w:eastAsia="Times New Roman" w:hAnsi="Source Sans Pro" w:cs="Segoe UI"/>
                <w:szCs w:val="22"/>
                <w:lang w:eastAsia="en-AU"/>
              </w:rPr>
              <w:t> </w:t>
            </w:r>
          </w:p>
        </w:tc>
      </w:tr>
      <w:tr w:rsidR="00BA4CCA" w:rsidRPr="006A70B6" w14:paraId="40A3F4E1" w14:textId="77777777" w:rsidTr="00BD49D6">
        <w:trPr>
          <w:trHeight w:val="757"/>
        </w:trPr>
        <w:tc>
          <w:tcPr>
            <w:tcW w:w="1916" w:type="dxa"/>
            <w:tcBorders>
              <w:top w:val="outset" w:sz="2" w:space="0" w:color="auto"/>
              <w:left w:val="outset" w:sz="2" w:space="0" w:color="auto"/>
              <w:bottom w:val="single" w:sz="6" w:space="0" w:color="auto"/>
              <w:right w:val="outset" w:sz="2" w:space="0" w:color="auto"/>
            </w:tcBorders>
          </w:tcPr>
          <w:p w14:paraId="1E11801A" w14:textId="77777777" w:rsidR="00BA4CCA" w:rsidRPr="006A70B6" w:rsidRDefault="00BA4CCA" w:rsidP="00BD49D6">
            <w:pPr>
              <w:spacing w:before="240" w:after="0" w:line="276" w:lineRule="auto"/>
              <w:rPr>
                <w:rFonts w:ascii="Source Sans Pro" w:eastAsia="Times New Roman" w:hAnsi="Source Sans Pro" w:cs="Segoe UI"/>
                <w:szCs w:val="22"/>
                <w:lang w:eastAsia="en-AU"/>
              </w:rPr>
            </w:pPr>
          </w:p>
        </w:tc>
        <w:tc>
          <w:tcPr>
            <w:tcW w:w="1203" w:type="dxa"/>
            <w:tcBorders>
              <w:top w:val="outset" w:sz="2" w:space="0" w:color="auto"/>
              <w:left w:val="outset" w:sz="2" w:space="0" w:color="auto"/>
              <w:bottom w:val="single" w:sz="6" w:space="0" w:color="auto"/>
              <w:right w:val="outset" w:sz="2" w:space="0" w:color="auto"/>
            </w:tcBorders>
          </w:tcPr>
          <w:p w14:paraId="206C315A" w14:textId="77777777" w:rsidR="00BA4CCA" w:rsidRPr="006A70B6" w:rsidRDefault="00BA4CCA" w:rsidP="00BD49D6">
            <w:pPr>
              <w:spacing w:before="240" w:after="0" w:line="276" w:lineRule="auto"/>
              <w:rPr>
                <w:rFonts w:ascii="Source Sans Pro" w:eastAsia="Times New Roman" w:hAnsi="Source Sans Pro" w:cs="Segoe UI"/>
                <w:szCs w:val="22"/>
                <w:lang w:eastAsia="en-AU"/>
              </w:rPr>
            </w:pPr>
          </w:p>
        </w:tc>
        <w:tc>
          <w:tcPr>
            <w:tcW w:w="1701" w:type="dxa"/>
            <w:tcBorders>
              <w:top w:val="outset" w:sz="2" w:space="0" w:color="auto"/>
              <w:left w:val="outset" w:sz="2" w:space="0" w:color="auto"/>
              <w:bottom w:val="single" w:sz="6" w:space="0" w:color="auto"/>
              <w:right w:val="outset" w:sz="2" w:space="0" w:color="auto"/>
            </w:tcBorders>
          </w:tcPr>
          <w:p w14:paraId="71ADFD3E" w14:textId="77777777" w:rsidR="00BA4CCA" w:rsidRPr="006A70B6" w:rsidRDefault="00BA4CCA" w:rsidP="00BD49D6">
            <w:pPr>
              <w:spacing w:before="240" w:after="0" w:line="276" w:lineRule="auto"/>
              <w:rPr>
                <w:rFonts w:ascii="Source Sans Pro" w:eastAsia="Times New Roman" w:hAnsi="Source Sans Pro" w:cs="Segoe UI"/>
                <w:szCs w:val="22"/>
                <w:lang w:eastAsia="en-AU"/>
              </w:rPr>
            </w:pPr>
          </w:p>
        </w:tc>
        <w:tc>
          <w:tcPr>
            <w:tcW w:w="2126" w:type="dxa"/>
            <w:tcBorders>
              <w:top w:val="outset" w:sz="2" w:space="0" w:color="auto"/>
              <w:left w:val="outset" w:sz="2" w:space="0" w:color="auto"/>
              <w:bottom w:val="single" w:sz="6" w:space="0" w:color="auto"/>
              <w:right w:val="outset" w:sz="2" w:space="0" w:color="auto"/>
            </w:tcBorders>
          </w:tcPr>
          <w:p w14:paraId="3AD93287" w14:textId="77777777" w:rsidR="00BA4CCA" w:rsidRPr="006A70B6" w:rsidRDefault="00BA4CCA" w:rsidP="00BD49D6">
            <w:pPr>
              <w:spacing w:before="240" w:after="0" w:line="276" w:lineRule="auto"/>
              <w:rPr>
                <w:rFonts w:ascii="Source Sans Pro" w:eastAsia="Times New Roman" w:hAnsi="Source Sans Pro" w:cs="Segoe UI"/>
                <w:szCs w:val="22"/>
                <w:lang w:eastAsia="en-AU"/>
              </w:rPr>
            </w:pPr>
          </w:p>
        </w:tc>
        <w:tc>
          <w:tcPr>
            <w:tcW w:w="2835" w:type="dxa"/>
            <w:tcBorders>
              <w:top w:val="outset" w:sz="2" w:space="0" w:color="auto"/>
              <w:left w:val="outset" w:sz="2" w:space="0" w:color="auto"/>
              <w:bottom w:val="single" w:sz="6" w:space="0" w:color="auto"/>
              <w:right w:val="outset" w:sz="2" w:space="0" w:color="auto"/>
            </w:tcBorders>
          </w:tcPr>
          <w:p w14:paraId="39743A63" w14:textId="77777777" w:rsidR="00BA4CCA" w:rsidRPr="006A70B6" w:rsidRDefault="00BA4CCA" w:rsidP="00BD49D6">
            <w:pPr>
              <w:spacing w:before="240" w:after="0" w:line="276" w:lineRule="auto"/>
              <w:rPr>
                <w:rFonts w:ascii="Source Sans Pro" w:eastAsia="Times New Roman" w:hAnsi="Source Sans Pro" w:cs="Segoe UI"/>
                <w:szCs w:val="22"/>
                <w:lang w:eastAsia="en-AU"/>
              </w:rPr>
            </w:pPr>
          </w:p>
        </w:tc>
        <w:tc>
          <w:tcPr>
            <w:tcW w:w="4394" w:type="dxa"/>
            <w:tcBorders>
              <w:top w:val="outset" w:sz="2" w:space="0" w:color="auto"/>
              <w:left w:val="outset" w:sz="2" w:space="0" w:color="auto"/>
              <w:bottom w:val="single" w:sz="6" w:space="0" w:color="auto"/>
              <w:right w:val="outset" w:sz="2" w:space="0" w:color="auto"/>
            </w:tcBorders>
          </w:tcPr>
          <w:p w14:paraId="3AF0BD89" w14:textId="77777777" w:rsidR="00BA4CCA" w:rsidRPr="006A70B6" w:rsidRDefault="00BA4CCA" w:rsidP="00BD49D6">
            <w:pPr>
              <w:spacing w:before="240" w:after="0" w:line="276" w:lineRule="auto"/>
              <w:rPr>
                <w:rFonts w:ascii="Source Sans Pro" w:eastAsia="Times New Roman" w:hAnsi="Source Sans Pro" w:cs="Segoe UI"/>
                <w:szCs w:val="22"/>
                <w:lang w:eastAsia="en-AU"/>
              </w:rPr>
            </w:pPr>
          </w:p>
        </w:tc>
      </w:tr>
    </w:tbl>
    <w:p w14:paraId="09DB56B9" w14:textId="77777777" w:rsidR="00F34A0F" w:rsidRDefault="00F34A0F" w:rsidP="00F34A0F">
      <w:pPr>
        <w:spacing w:before="240" w:after="0" w:line="276" w:lineRule="auto"/>
        <w:textAlignment w:val="baseline"/>
        <w:rPr>
          <w:rFonts w:ascii="Source Sans Pro" w:eastAsia="Times New Roman" w:hAnsi="Source Sans Pro" w:cs="Segoe UI"/>
          <w:szCs w:val="22"/>
          <w:lang w:eastAsia="en-AU"/>
        </w:rPr>
      </w:pPr>
      <w:hyperlink r:id="rId30" w:anchor="ftnref-tbl-1" w:history="1">
        <w:r w:rsidRPr="006A70B6">
          <w:rPr>
            <w:rFonts w:ascii="Source Sans Pro" w:eastAsia="Times New Roman" w:hAnsi="Source Sans Pro" w:cs="Segoe UI"/>
            <w:b/>
            <w:bCs/>
            <w:szCs w:val="22"/>
            <w:u w:val="single"/>
            <w:bdr w:val="none" w:sz="0" w:space="0" w:color="auto" w:frame="1"/>
            <w:lang w:eastAsia="en-AU"/>
          </w:rPr>
          <w:t>(1)</w:t>
        </w:r>
      </w:hyperlink>
      <w:r w:rsidRPr="006A70B6">
        <w:rPr>
          <w:rFonts w:ascii="Source Sans Pro" w:eastAsia="Times New Roman" w:hAnsi="Source Sans Pro" w:cs="Segoe UI"/>
          <w:szCs w:val="22"/>
          <w:lang w:eastAsia="en-AU"/>
        </w:rPr>
        <w:t xml:space="preserve"> Agencies and </w:t>
      </w:r>
      <w:r>
        <w:rPr>
          <w:rFonts w:ascii="Source Sans Pro" w:eastAsia="Times New Roman" w:hAnsi="Source Sans Pro" w:cs="Segoe UI"/>
          <w:szCs w:val="22"/>
          <w:lang w:eastAsia="en-AU"/>
        </w:rPr>
        <w:t>Minister</w:t>
      </w:r>
      <w:r w:rsidRPr="006A70B6">
        <w:rPr>
          <w:rFonts w:ascii="Source Sans Pro" w:eastAsia="Times New Roman" w:hAnsi="Source Sans Pro" w:cs="Segoe UI"/>
          <w:szCs w:val="22"/>
          <w:lang w:eastAsia="en-AU"/>
        </w:rPr>
        <w:t>s should note the date the FOI applicant was given access to a document under s 11A.</w:t>
      </w:r>
    </w:p>
    <w:p w14:paraId="3E9AB1CD" w14:textId="77777777" w:rsidR="00F34A0F" w:rsidRPr="006A70B6" w:rsidRDefault="00F34A0F" w:rsidP="00F34A0F">
      <w:pPr>
        <w:spacing w:before="240" w:after="0" w:line="276" w:lineRule="auto"/>
        <w:textAlignment w:val="baseline"/>
        <w:rPr>
          <w:rFonts w:ascii="Source Sans Pro" w:eastAsia="Times New Roman" w:hAnsi="Source Sans Pro" w:cs="Segoe UI"/>
          <w:szCs w:val="22"/>
          <w:lang w:eastAsia="en-AU"/>
        </w:rPr>
      </w:pPr>
      <w:hyperlink r:id="rId31" w:anchor="ftnref-tbl-1" w:history="1">
        <w:r w:rsidRPr="006A70B6">
          <w:rPr>
            <w:rFonts w:ascii="Source Sans Pro" w:eastAsia="Times New Roman" w:hAnsi="Source Sans Pro" w:cs="Segoe UI"/>
            <w:b/>
            <w:bCs/>
            <w:szCs w:val="22"/>
            <w:u w:val="single"/>
            <w:bdr w:val="none" w:sz="0" w:space="0" w:color="auto" w:frame="1"/>
            <w:lang w:eastAsia="en-AU"/>
          </w:rPr>
          <w:t>(</w:t>
        </w:r>
        <w:r>
          <w:rPr>
            <w:rFonts w:ascii="Source Sans Pro" w:eastAsia="Times New Roman" w:hAnsi="Source Sans Pro" w:cs="Segoe UI"/>
            <w:b/>
            <w:bCs/>
            <w:szCs w:val="22"/>
            <w:u w:val="single"/>
            <w:bdr w:val="none" w:sz="0" w:space="0" w:color="auto" w:frame="1"/>
            <w:lang w:eastAsia="en-AU"/>
          </w:rPr>
          <w:t>2</w:t>
        </w:r>
        <w:r w:rsidRPr="006A70B6">
          <w:rPr>
            <w:rFonts w:ascii="Source Sans Pro" w:eastAsia="Times New Roman" w:hAnsi="Source Sans Pro" w:cs="Segoe UI"/>
            <w:b/>
            <w:bCs/>
            <w:szCs w:val="22"/>
            <w:u w:val="single"/>
            <w:bdr w:val="none" w:sz="0" w:space="0" w:color="auto" w:frame="1"/>
            <w:lang w:eastAsia="en-AU"/>
          </w:rPr>
          <w:t>)</w:t>
        </w:r>
      </w:hyperlink>
      <w:r w:rsidRPr="006A70B6">
        <w:rPr>
          <w:rFonts w:ascii="Source Sans Pro" w:eastAsia="Times New Roman" w:hAnsi="Source Sans Pro" w:cs="Segoe UI"/>
          <w:szCs w:val="22"/>
          <w:lang w:eastAsia="en-AU"/>
        </w:rPr>
        <w:t xml:space="preserve"> Agencies and </w:t>
      </w:r>
      <w:r>
        <w:rPr>
          <w:rFonts w:ascii="Source Sans Pro" w:eastAsia="Times New Roman" w:hAnsi="Source Sans Pro" w:cs="Segoe UI"/>
          <w:szCs w:val="22"/>
          <w:lang w:eastAsia="en-AU"/>
        </w:rPr>
        <w:t>Minister</w:t>
      </w:r>
      <w:r w:rsidRPr="006A70B6">
        <w:rPr>
          <w:rFonts w:ascii="Source Sans Pro" w:eastAsia="Times New Roman" w:hAnsi="Source Sans Pro" w:cs="Segoe UI"/>
          <w:szCs w:val="22"/>
          <w:lang w:eastAsia="en-AU"/>
        </w:rPr>
        <w:t>s should note the date t</w:t>
      </w:r>
      <w:r>
        <w:rPr>
          <w:rFonts w:ascii="Source Sans Pro" w:eastAsia="Times New Roman" w:hAnsi="Source Sans Pro" w:cs="Segoe UI"/>
          <w:szCs w:val="22"/>
          <w:lang w:eastAsia="en-AU"/>
        </w:rPr>
        <w:t>he documents were published on the disclosure log.</w:t>
      </w:r>
    </w:p>
    <w:p w14:paraId="4FA3E0F6" w14:textId="77777777" w:rsidR="00F34A0F" w:rsidRPr="006A70B6" w:rsidRDefault="00F34A0F" w:rsidP="00F34A0F">
      <w:pPr>
        <w:spacing w:before="240" w:after="0" w:line="276" w:lineRule="auto"/>
        <w:textAlignment w:val="baseline"/>
        <w:rPr>
          <w:rFonts w:ascii="Source Sans Pro" w:eastAsia="Times New Roman" w:hAnsi="Source Sans Pro" w:cs="Segoe UI"/>
          <w:szCs w:val="22"/>
          <w:lang w:eastAsia="en-AU"/>
        </w:rPr>
      </w:pPr>
      <w:hyperlink r:id="rId32" w:anchor="ftnref-tbl-2" w:history="1">
        <w:r w:rsidRPr="006A70B6">
          <w:rPr>
            <w:rFonts w:ascii="Source Sans Pro" w:eastAsia="Times New Roman" w:hAnsi="Source Sans Pro" w:cs="Segoe UI"/>
            <w:b/>
            <w:bCs/>
            <w:szCs w:val="22"/>
            <w:u w:val="single"/>
            <w:bdr w:val="none" w:sz="0" w:space="0" w:color="auto" w:frame="1"/>
            <w:lang w:eastAsia="en-AU"/>
          </w:rPr>
          <w:t>(</w:t>
        </w:r>
        <w:r>
          <w:rPr>
            <w:rFonts w:ascii="Source Sans Pro" w:eastAsia="Times New Roman" w:hAnsi="Source Sans Pro" w:cs="Segoe UI"/>
            <w:b/>
            <w:bCs/>
            <w:szCs w:val="22"/>
            <w:u w:val="single"/>
            <w:bdr w:val="none" w:sz="0" w:space="0" w:color="auto" w:frame="1"/>
            <w:lang w:eastAsia="en-AU"/>
          </w:rPr>
          <w:t>3</w:t>
        </w:r>
        <w:r w:rsidRPr="006A70B6">
          <w:rPr>
            <w:rFonts w:ascii="Source Sans Pro" w:eastAsia="Times New Roman" w:hAnsi="Source Sans Pro" w:cs="Segoe UI"/>
            <w:b/>
            <w:bCs/>
            <w:szCs w:val="22"/>
            <w:u w:val="single"/>
            <w:bdr w:val="none" w:sz="0" w:space="0" w:color="auto" w:frame="1"/>
            <w:lang w:eastAsia="en-AU"/>
          </w:rPr>
          <w:t>)</w:t>
        </w:r>
      </w:hyperlink>
      <w:r w:rsidRPr="006A70B6">
        <w:rPr>
          <w:rFonts w:ascii="Source Sans Pro" w:eastAsia="Times New Roman" w:hAnsi="Source Sans Pro" w:cs="Segoe UI"/>
          <w:szCs w:val="22"/>
          <w:lang w:eastAsia="en-AU"/>
        </w:rPr>
        <w:t xml:space="preserve"> Agencies and </w:t>
      </w:r>
      <w:r>
        <w:rPr>
          <w:rFonts w:ascii="Source Sans Pro" w:eastAsia="Times New Roman" w:hAnsi="Source Sans Pro" w:cs="Segoe UI"/>
          <w:szCs w:val="22"/>
          <w:lang w:eastAsia="en-AU"/>
        </w:rPr>
        <w:t>Minister</w:t>
      </w:r>
      <w:r w:rsidRPr="006A70B6">
        <w:rPr>
          <w:rFonts w:ascii="Source Sans Pro" w:eastAsia="Times New Roman" w:hAnsi="Source Sans Pro" w:cs="Segoe UI"/>
          <w:szCs w:val="22"/>
          <w:lang w:eastAsia="en-AU"/>
        </w:rPr>
        <w:t>s should provide a short summary of the FOI access request.</w:t>
      </w:r>
    </w:p>
    <w:p w14:paraId="5CFA0EE3" w14:textId="77777777" w:rsidR="00F34A0F" w:rsidRDefault="00F34A0F" w:rsidP="00F34A0F">
      <w:pPr>
        <w:spacing w:before="240" w:after="0" w:line="276" w:lineRule="auto"/>
        <w:textAlignment w:val="baseline"/>
        <w:rPr>
          <w:rFonts w:ascii="Source Sans Pro" w:eastAsia="Times New Roman" w:hAnsi="Source Sans Pro" w:cs="Segoe UI"/>
          <w:szCs w:val="22"/>
          <w:lang w:eastAsia="en-AU"/>
        </w:rPr>
      </w:pPr>
      <w:hyperlink r:id="rId33" w:anchor="ftnref-tbl-3" w:history="1">
        <w:r w:rsidRPr="006A70B6">
          <w:rPr>
            <w:rFonts w:ascii="Source Sans Pro" w:eastAsia="Times New Roman" w:hAnsi="Source Sans Pro" w:cs="Segoe UI"/>
            <w:b/>
            <w:bCs/>
            <w:szCs w:val="22"/>
            <w:u w:val="single"/>
            <w:bdr w:val="none" w:sz="0" w:space="0" w:color="auto" w:frame="1"/>
            <w:lang w:eastAsia="en-AU"/>
          </w:rPr>
          <w:t>(</w:t>
        </w:r>
        <w:r>
          <w:rPr>
            <w:rFonts w:ascii="Source Sans Pro" w:eastAsia="Times New Roman" w:hAnsi="Source Sans Pro" w:cs="Segoe UI"/>
            <w:b/>
            <w:bCs/>
            <w:szCs w:val="22"/>
            <w:u w:val="single"/>
            <w:bdr w:val="none" w:sz="0" w:space="0" w:color="auto" w:frame="1"/>
            <w:lang w:eastAsia="en-AU"/>
          </w:rPr>
          <w:t>4</w:t>
        </w:r>
        <w:r w:rsidRPr="006A70B6">
          <w:rPr>
            <w:rFonts w:ascii="Source Sans Pro" w:eastAsia="Times New Roman" w:hAnsi="Source Sans Pro" w:cs="Segoe UI"/>
            <w:b/>
            <w:bCs/>
            <w:szCs w:val="22"/>
            <w:u w:val="single"/>
            <w:bdr w:val="none" w:sz="0" w:space="0" w:color="auto" w:frame="1"/>
            <w:lang w:eastAsia="en-AU"/>
          </w:rPr>
          <w:t>)</w:t>
        </w:r>
      </w:hyperlink>
      <w:r w:rsidRPr="006A70B6">
        <w:rPr>
          <w:rFonts w:ascii="Source Sans Pro" w:eastAsia="Times New Roman" w:hAnsi="Source Sans Pro" w:cs="Segoe UI"/>
          <w:szCs w:val="22"/>
          <w:lang w:eastAsia="en-AU"/>
        </w:rPr>
        <w:t xml:space="preserve"> Agencies and </w:t>
      </w:r>
      <w:r>
        <w:rPr>
          <w:rFonts w:ascii="Source Sans Pro" w:eastAsia="Times New Roman" w:hAnsi="Source Sans Pro" w:cs="Segoe UI"/>
          <w:szCs w:val="22"/>
          <w:lang w:eastAsia="en-AU"/>
        </w:rPr>
        <w:t>Minister</w:t>
      </w:r>
      <w:r w:rsidRPr="006A70B6">
        <w:rPr>
          <w:rFonts w:ascii="Source Sans Pro" w:eastAsia="Times New Roman" w:hAnsi="Source Sans Pro" w:cs="Segoe UI"/>
          <w:szCs w:val="22"/>
          <w:lang w:eastAsia="en-AU"/>
        </w:rPr>
        <w:t>s should provide a short summary of information provided under s 11A.</w:t>
      </w:r>
    </w:p>
    <w:p w14:paraId="001A0C49" w14:textId="04246CE4" w:rsidR="00F34A0F" w:rsidRPr="00A87E4C" w:rsidRDefault="00F34A0F" w:rsidP="00F34A0F">
      <w:pPr>
        <w:spacing w:before="240" w:after="0" w:line="276" w:lineRule="auto"/>
        <w:textAlignment w:val="baseline"/>
        <w:rPr>
          <w:rFonts w:ascii="Source Sans Pro" w:eastAsia="Times New Roman" w:hAnsi="Source Sans Pro" w:cs="Segoe UI"/>
          <w:szCs w:val="22"/>
        </w:rPr>
      </w:pPr>
      <w:hyperlink r:id="rId34" w:anchor="ftnref-tbl-4" w:history="1">
        <w:r w:rsidRPr="00A87E4C">
          <w:rPr>
            <w:rFonts w:ascii="Source Sans Pro" w:eastAsia="Times New Roman" w:hAnsi="Source Sans Pro" w:cs="Segoe UI"/>
            <w:b/>
            <w:bCs/>
            <w:szCs w:val="14"/>
            <w:u w:val="single"/>
            <w:bdr w:val="none" w:sz="0" w:space="0" w:color="auto" w:frame="1"/>
            <w:lang w:eastAsia="en-AU"/>
          </w:rPr>
          <w:t>(5)</w:t>
        </w:r>
      </w:hyperlink>
      <w:r w:rsidRPr="00A87E4C">
        <w:rPr>
          <w:rFonts w:ascii="Source Sans Pro" w:eastAsia="Times New Roman" w:hAnsi="Source Sans Pro" w:cs="Segoe UI"/>
          <w:szCs w:val="14"/>
          <w:lang w:eastAsia="en-AU"/>
        </w:rPr>
        <w:t> Agencies and minsters may note here, for example,</w:t>
      </w:r>
      <w:r w:rsidR="00465153">
        <w:rPr>
          <w:rFonts w:ascii="Source Sans Pro" w:eastAsia="Times New Roman" w:hAnsi="Source Sans Pro" w:cs="Segoe UI"/>
          <w:szCs w:val="14"/>
          <w:lang w:eastAsia="en-AU"/>
        </w:rPr>
        <w:t xml:space="preserve"> the reasons why a document is not available for download from the agency’s website (for example, due to file size, format (e.g., video), or </w:t>
      </w:r>
      <w:r w:rsidR="00465153" w:rsidRPr="00465153">
        <w:rPr>
          <w:rFonts w:ascii="Source Sans Pro" w:eastAsia="Times New Roman" w:hAnsi="Source Sans Pro" w:cs="Segoe UI"/>
          <w:szCs w:val="14"/>
          <w:lang w:eastAsia="en-AU"/>
        </w:rPr>
        <w:t>document content being rated 18+</w:t>
      </w:r>
      <w:r w:rsidR="00465153">
        <w:rPr>
          <w:rFonts w:ascii="Source Sans Pro" w:eastAsia="Times New Roman" w:hAnsi="Source Sans Pro" w:cs="Segoe UI"/>
          <w:szCs w:val="14"/>
          <w:lang w:eastAsia="en-AU"/>
        </w:rPr>
        <w:t>)</w:t>
      </w:r>
      <w:r w:rsidR="00465153" w:rsidRPr="00465153">
        <w:rPr>
          <w:rFonts w:ascii="Source Sans Pro" w:eastAsia="Times New Roman" w:hAnsi="Source Sans Pro" w:cs="Segoe UI"/>
          <w:szCs w:val="14"/>
          <w:lang w:eastAsia="en-AU"/>
        </w:rPr>
        <w:t>. </w:t>
      </w:r>
      <w:r w:rsidR="00465153">
        <w:rPr>
          <w:rFonts w:ascii="Source Sans Pro" w:eastAsia="Times New Roman" w:hAnsi="Source Sans Pro" w:cs="Segoe UI"/>
          <w:szCs w:val="14"/>
          <w:lang w:eastAsia="en-AU"/>
        </w:rPr>
        <w:t xml:space="preserve">Other relevant information could include </w:t>
      </w:r>
      <w:r w:rsidRPr="00A87E4C">
        <w:rPr>
          <w:rFonts w:ascii="Source Sans Pro" w:eastAsia="Times New Roman" w:hAnsi="Source Sans Pro" w:cs="Segoe UI"/>
          <w:szCs w:val="14"/>
          <w:lang w:eastAsia="en-AU"/>
        </w:rPr>
        <w:t xml:space="preserve">that </w:t>
      </w:r>
      <w:r w:rsidR="00465153">
        <w:rPr>
          <w:rFonts w:ascii="Source Sans Pro" w:eastAsia="Times New Roman" w:hAnsi="Source Sans Pro" w:cs="Segoe UI"/>
          <w:szCs w:val="14"/>
          <w:lang w:eastAsia="en-AU"/>
        </w:rPr>
        <w:t xml:space="preserve">the </w:t>
      </w:r>
      <w:r w:rsidRPr="00A87E4C">
        <w:rPr>
          <w:rFonts w:ascii="Source Sans Pro" w:eastAsia="Times New Roman" w:hAnsi="Source Sans Pro" w:cs="Segoe UI"/>
          <w:szCs w:val="14"/>
          <w:lang w:eastAsia="en-AU"/>
        </w:rPr>
        <w:t>information is no longer available</w:t>
      </w:r>
      <w:r w:rsidR="00465153">
        <w:rPr>
          <w:rFonts w:ascii="Source Sans Pro" w:eastAsia="Times New Roman" w:hAnsi="Source Sans Pro" w:cs="Segoe UI"/>
          <w:szCs w:val="14"/>
          <w:lang w:eastAsia="en-AU"/>
        </w:rPr>
        <w:t>,</w:t>
      </w:r>
      <w:r w:rsidR="00FA520E">
        <w:rPr>
          <w:rFonts w:ascii="Source Sans Pro" w:eastAsia="Times New Roman" w:hAnsi="Source Sans Pro" w:cs="Segoe UI"/>
          <w:szCs w:val="14"/>
          <w:lang w:eastAsia="en-AU"/>
        </w:rPr>
        <w:t xml:space="preserve"> </w:t>
      </w:r>
      <w:r w:rsidRPr="00A87E4C">
        <w:rPr>
          <w:rFonts w:ascii="Source Sans Pro" w:eastAsia="Times New Roman" w:hAnsi="Source Sans Pro" w:cs="Segoe UI"/>
          <w:szCs w:val="14"/>
          <w:lang w:eastAsia="en-AU"/>
        </w:rPr>
        <w:t xml:space="preserve">has been revised by the agency or </w:t>
      </w:r>
      <w:r w:rsidR="00465153">
        <w:rPr>
          <w:rFonts w:ascii="Source Sans Pro" w:eastAsia="Times New Roman" w:hAnsi="Source Sans Pro" w:cs="Segoe UI"/>
          <w:szCs w:val="14"/>
          <w:lang w:eastAsia="en-AU"/>
        </w:rPr>
        <w:t>m</w:t>
      </w:r>
      <w:r w:rsidRPr="00A87E4C">
        <w:rPr>
          <w:rFonts w:ascii="Source Sans Pro" w:eastAsia="Times New Roman" w:hAnsi="Source Sans Pro" w:cs="Segoe UI"/>
          <w:szCs w:val="14"/>
          <w:lang w:eastAsia="en-AU"/>
        </w:rPr>
        <w:t>inister</w:t>
      </w:r>
      <w:r w:rsidR="00465153">
        <w:rPr>
          <w:rFonts w:ascii="Source Sans Pro" w:eastAsia="Times New Roman" w:hAnsi="Source Sans Pro" w:cs="Segoe UI"/>
          <w:szCs w:val="14"/>
          <w:lang w:eastAsia="en-AU"/>
        </w:rPr>
        <w:t xml:space="preserve">, </w:t>
      </w:r>
      <w:r w:rsidR="00FA520E">
        <w:rPr>
          <w:rFonts w:ascii="Source Sans Pro" w:eastAsia="Times New Roman" w:hAnsi="Source Sans Pro" w:cs="Segoe UI"/>
          <w:szCs w:val="14"/>
          <w:lang w:eastAsia="en-AU"/>
        </w:rPr>
        <w:t xml:space="preserve">or </w:t>
      </w:r>
      <w:r w:rsidRPr="00A87E4C">
        <w:rPr>
          <w:rFonts w:ascii="Source Sans Pro" w:eastAsia="Times New Roman" w:hAnsi="Source Sans Pro" w:cs="Segoe UI"/>
          <w:szCs w:val="14"/>
          <w:lang w:eastAsia="en-AU"/>
        </w:rPr>
        <w:t>describe</w:t>
      </w:r>
      <w:r w:rsidR="00465153">
        <w:rPr>
          <w:rFonts w:ascii="Source Sans Pro" w:eastAsia="Times New Roman" w:hAnsi="Source Sans Pro" w:cs="Segoe UI"/>
          <w:szCs w:val="14"/>
          <w:lang w:eastAsia="en-AU"/>
        </w:rPr>
        <w:t>s</w:t>
      </w:r>
      <w:r w:rsidRPr="00A87E4C">
        <w:rPr>
          <w:rFonts w:ascii="Source Sans Pro" w:eastAsia="Times New Roman" w:hAnsi="Source Sans Pro" w:cs="Segoe UI"/>
          <w:szCs w:val="14"/>
          <w:lang w:eastAsia="en-AU"/>
        </w:rPr>
        <w:t xml:space="preserve"> the accessibility status of a document only presented in a format other than HTML</w:t>
      </w:r>
      <w:r w:rsidR="00465153">
        <w:rPr>
          <w:rFonts w:ascii="Source Sans Pro" w:eastAsia="Times New Roman" w:hAnsi="Source Sans Pro" w:cs="Segoe UI"/>
          <w:szCs w:val="14"/>
          <w:lang w:eastAsia="en-AU"/>
        </w:rPr>
        <w:t>.</w:t>
      </w:r>
    </w:p>
    <w:p w14:paraId="1DD098A4" w14:textId="77777777" w:rsidR="004F434A" w:rsidRDefault="004F434A" w:rsidP="0057153E">
      <w:pPr>
        <w:spacing w:after="0"/>
        <w:sectPr w:rsidR="004F434A" w:rsidSect="00C31C1A">
          <w:headerReference w:type="even" r:id="rId35"/>
          <w:headerReference w:type="default" r:id="rId36"/>
          <w:headerReference w:type="first" r:id="rId37"/>
          <w:footerReference w:type="first" r:id="rId38"/>
          <w:endnotePr>
            <w:numFmt w:val="decimal"/>
          </w:endnotePr>
          <w:type w:val="continuous"/>
          <w:pgSz w:w="16838" w:h="11906" w:orient="landscape" w:code="9"/>
          <w:pgMar w:top="1418" w:right="1418" w:bottom="1418" w:left="992" w:header="556" w:footer="981" w:gutter="0"/>
          <w:cols w:space="708"/>
          <w:titlePg/>
          <w:docGrid w:linePitch="360"/>
        </w:sectPr>
      </w:pPr>
    </w:p>
    <w:p w14:paraId="7E69A018" w14:textId="5EF1B450" w:rsidR="004F434A" w:rsidRDefault="004F434A" w:rsidP="004F434A">
      <w:pPr>
        <w:pStyle w:val="Heading2"/>
        <w:rPr>
          <w:rStyle w:val="Heading3Char"/>
        </w:rPr>
      </w:pPr>
      <w:bookmarkStart w:id="49" w:name="_Toc237248278"/>
      <w:r w:rsidRPr="000F452A">
        <w:rPr>
          <w:rStyle w:val="Heading3Char"/>
        </w:rPr>
        <w:lastRenderedPageBreak/>
        <w:t>Annexure B — Disclosure log checklist</w:t>
      </w:r>
      <w:bookmarkEnd w:id="49"/>
    </w:p>
    <w:p w14:paraId="39BAB784" w14:textId="3619CC61" w:rsidR="003D1951" w:rsidRDefault="003D1951" w:rsidP="00357AF4">
      <w:pPr>
        <w:spacing w:after="240"/>
        <w:rPr>
          <w:lang w:eastAsia="en-AU"/>
        </w:rPr>
      </w:pPr>
      <w:r>
        <w:rPr>
          <w:lang w:eastAsia="en-AU"/>
        </w:rPr>
        <w:t>This document can be retained electronically on the agency’s case management system, along with other processing documents for the FOI request</w:t>
      </w:r>
    </w:p>
    <w:tbl>
      <w:tblPr>
        <w:tblW w:w="0" w:type="auto"/>
        <w:tblLook w:val="04A0" w:firstRow="1" w:lastRow="0" w:firstColumn="1" w:lastColumn="0" w:noHBand="0" w:noVBand="1"/>
      </w:tblPr>
      <w:tblGrid>
        <w:gridCol w:w="7366"/>
        <w:gridCol w:w="1694"/>
      </w:tblGrid>
      <w:tr w:rsidR="00572AB1" w14:paraId="27AE143D" w14:textId="77777777" w:rsidTr="00357AF4">
        <w:tc>
          <w:tcPr>
            <w:tcW w:w="9060" w:type="dxa"/>
            <w:gridSpan w:val="2"/>
            <w:tcBorders>
              <w:top w:val="single" w:sz="4" w:space="0" w:color="auto"/>
              <w:left w:val="single" w:sz="4" w:space="0" w:color="auto"/>
              <w:bottom w:val="single" w:sz="4" w:space="0" w:color="auto"/>
              <w:right w:val="single" w:sz="4" w:space="0" w:color="auto"/>
            </w:tcBorders>
            <w:shd w:val="clear" w:color="auto" w:fill="F2EFF0" w:themeFill="accent3" w:themeFillTint="33"/>
          </w:tcPr>
          <w:p w14:paraId="20185BF0" w14:textId="509CC2DC" w:rsidR="00572AB1" w:rsidRDefault="00572AB1" w:rsidP="00357AF4">
            <w:pPr>
              <w:pStyle w:val="ListParagraph"/>
              <w:spacing w:before="120"/>
              <w:ind w:left="360" w:hanging="44"/>
            </w:pPr>
            <w:r>
              <w:t xml:space="preserve">Request reference number: </w:t>
            </w:r>
            <w:r>
              <w:tab/>
            </w:r>
            <w:r w:rsidR="00C275DB">
              <w:tab/>
            </w:r>
            <w:r w:rsidR="00D95192">
              <w:t>[NUMBER]</w:t>
            </w:r>
          </w:p>
          <w:p w14:paraId="32815BDE" w14:textId="25D475D3" w:rsidR="00572AB1" w:rsidRDefault="00572AB1" w:rsidP="00357AF4">
            <w:pPr>
              <w:spacing w:before="120"/>
              <w:ind w:firstLine="316"/>
            </w:pPr>
            <w:r>
              <w:t>FOI applicant:</w:t>
            </w:r>
            <w:r>
              <w:tab/>
            </w:r>
            <w:r>
              <w:tab/>
            </w:r>
            <w:r>
              <w:tab/>
            </w:r>
            <w:r w:rsidR="00D95192">
              <w:t>[NAME]</w:t>
            </w:r>
          </w:p>
        </w:tc>
      </w:tr>
      <w:tr w:rsidR="004421DA" w14:paraId="4FED6D31" w14:textId="77777777" w:rsidTr="00357AF4">
        <w:tc>
          <w:tcPr>
            <w:tcW w:w="7366" w:type="dxa"/>
            <w:tcBorders>
              <w:top w:val="single" w:sz="4" w:space="0" w:color="auto"/>
              <w:left w:val="single" w:sz="4" w:space="0" w:color="auto"/>
              <w:bottom w:val="single" w:sz="4" w:space="0" w:color="auto"/>
              <w:right w:val="single" w:sz="4" w:space="0" w:color="auto"/>
            </w:tcBorders>
            <w:vAlign w:val="center"/>
          </w:tcPr>
          <w:p w14:paraId="7E2AC073" w14:textId="2968CABF" w:rsidR="004421DA" w:rsidRDefault="004421DA" w:rsidP="009D4E9C">
            <w:pPr>
              <w:pStyle w:val="ListParagraph"/>
              <w:numPr>
                <w:ilvl w:val="0"/>
                <w:numId w:val="130"/>
              </w:numPr>
              <w:spacing w:before="120"/>
            </w:pPr>
            <w:r>
              <w:t>Has a decision been made to release documents in response to an FOI request?</w:t>
            </w:r>
          </w:p>
        </w:tc>
        <w:tc>
          <w:tcPr>
            <w:tcW w:w="1694" w:type="dxa"/>
            <w:tcBorders>
              <w:top w:val="single" w:sz="4" w:space="0" w:color="auto"/>
              <w:left w:val="single" w:sz="4" w:space="0" w:color="auto"/>
              <w:bottom w:val="single" w:sz="4" w:space="0" w:color="auto"/>
              <w:right w:val="single" w:sz="4" w:space="0" w:color="auto"/>
            </w:tcBorders>
            <w:vAlign w:val="center"/>
          </w:tcPr>
          <w:p w14:paraId="64AB271D" w14:textId="554D4778" w:rsidR="004421DA" w:rsidRDefault="004421DA" w:rsidP="00357AF4">
            <w:pPr>
              <w:spacing w:before="120"/>
              <w:ind w:firstLine="175"/>
            </w:pPr>
            <w:r>
              <w:t>Yes</w:t>
            </w:r>
            <w:r>
              <w:tab/>
            </w:r>
            <w:sdt>
              <w:sdtPr>
                <w:id w:val="976264815"/>
                <w14:checkbox>
                  <w14:checked w14:val="0"/>
                  <w14:checkedState w14:val="2612" w14:font="MS Gothic"/>
                  <w14:uncheckedState w14:val="2610" w14:font="MS Gothic"/>
                </w14:checkbox>
              </w:sdtPr>
              <w:sdtEndPr/>
              <w:sdtContent>
                <w:r w:rsidR="00E2614F">
                  <w:rPr>
                    <w:rFonts w:ascii="MS Gothic" w:eastAsia="MS Gothic" w:hAnsi="MS Gothic" w:hint="eastAsia"/>
                  </w:rPr>
                  <w:t>☐</w:t>
                </w:r>
              </w:sdtContent>
            </w:sdt>
          </w:p>
          <w:p w14:paraId="4925F323" w14:textId="150879B3" w:rsidR="004421DA" w:rsidRDefault="004421DA" w:rsidP="00357AF4">
            <w:pPr>
              <w:spacing w:before="120"/>
              <w:ind w:firstLine="175"/>
            </w:pPr>
            <w:r>
              <w:t>No</w:t>
            </w:r>
            <w:r>
              <w:tab/>
            </w:r>
            <w:sdt>
              <w:sdtPr>
                <w:id w:val="196754488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B1C5A" w14:paraId="567A916E" w14:textId="77777777" w:rsidTr="00357AF4">
        <w:tc>
          <w:tcPr>
            <w:tcW w:w="7366" w:type="dxa"/>
            <w:tcBorders>
              <w:top w:val="single" w:sz="4" w:space="0" w:color="auto"/>
              <w:left w:val="single" w:sz="4" w:space="0" w:color="auto"/>
              <w:bottom w:val="single" w:sz="4" w:space="0" w:color="auto"/>
              <w:right w:val="single" w:sz="4" w:space="0" w:color="auto"/>
            </w:tcBorders>
            <w:vAlign w:val="center"/>
          </w:tcPr>
          <w:p w14:paraId="7EECA300" w14:textId="33E4E430" w:rsidR="004B1C5A" w:rsidRDefault="004B1C5A" w:rsidP="00357AF4">
            <w:pPr>
              <w:pStyle w:val="ListParagraph"/>
              <w:numPr>
                <w:ilvl w:val="0"/>
                <w:numId w:val="130"/>
              </w:numPr>
              <w:spacing w:before="120"/>
            </w:pPr>
            <w:r>
              <w:t>Has access to the documents been given</w:t>
            </w:r>
            <w:r w:rsidR="00C275DB">
              <w:t xml:space="preserve"> to the FOI applicant</w:t>
            </w:r>
            <w:r>
              <w:t>?</w:t>
            </w:r>
          </w:p>
        </w:tc>
        <w:tc>
          <w:tcPr>
            <w:tcW w:w="1694" w:type="dxa"/>
            <w:tcBorders>
              <w:top w:val="single" w:sz="4" w:space="0" w:color="auto"/>
              <w:left w:val="single" w:sz="4" w:space="0" w:color="auto"/>
              <w:bottom w:val="single" w:sz="4" w:space="0" w:color="auto"/>
              <w:right w:val="single" w:sz="4" w:space="0" w:color="auto"/>
            </w:tcBorders>
            <w:vAlign w:val="center"/>
          </w:tcPr>
          <w:p w14:paraId="7798435E" w14:textId="2CE61600" w:rsidR="004B1C5A" w:rsidRDefault="00572AB1" w:rsidP="00357AF4">
            <w:pPr>
              <w:spacing w:before="120"/>
              <w:ind w:firstLine="175"/>
            </w:pPr>
            <w:r>
              <w:t>Yes</w:t>
            </w:r>
            <w:r>
              <w:tab/>
            </w:r>
            <w:sdt>
              <w:sdtPr>
                <w:id w:val="-95995281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7363ACC" w14:textId="63E63776" w:rsidR="00572AB1" w:rsidRDefault="00572AB1" w:rsidP="00357AF4">
            <w:pPr>
              <w:spacing w:after="240"/>
              <w:ind w:firstLine="175"/>
            </w:pPr>
            <w:r>
              <w:t>No</w:t>
            </w:r>
            <w:r>
              <w:tab/>
            </w:r>
            <w:sdt>
              <w:sdtPr>
                <w:id w:val="76079334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AB0A1F" w14:paraId="092C5B8C" w14:textId="77777777" w:rsidTr="00357AF4">
        <w:tc>
          <w:tcPr>
            <w:tcW w:w="7366" w:type="dxa"/>
            <w:tcBorders>
              <w:top w:val="single" w:sz="4" w:space="0" w:color="auto"/>
              <w:left w:val="single" w:sz="4" w:space="0" w:color="auto"/>
              <w:bottom w:val="single" w:sz="4" w:space="0" w:color="auto"/>
              <w:right w:val="single" w:sz="4" w:space="0" w:color="auto"/>
            </w:tcBorders>
            <w:vAlign w:val="center"/>
          </w:tcPr>
          <w:p w14:paraId="7D0EE6AD" w14:textId="264A80EB" w:rsidR="00AB0A1F" w:rsidRDefault="00AB0A1F" w:rsidP="009D4E9C">
            <w:pPr>
              <w:pStyle w:val="ListParagraph"/>
              <w:numPr>
                <w:ilvl w:val="0"/>
                <w:numId w:val="130"/>
              </w:numPr>
              <w:spacing w:before="120"/>
            </w:pPr>
            <w:r>
              <w:t>On what date was access given to the applicant?</w:t>
            </w:r>
          </w:p>
        </w:tc>
        <w:tc>
          <w:tcPr>
            <w:tcW w:w="1694" w:type="dxa"/>
            <w:tcBorders>
              <w:top w:val="single" w:sz="4" w:space="0" w:color="auto"/>
              <w:left w:val="single" w:sz="4" w:space="0" w:color="auto"/>
              <w:bottom w:val="single" w:sz="4" w:space="0" w:color="auto"/>
              <w:right w:val="single" w:sz="4" w:space="0" w:color="auto"/>
            </w:tcBorders>
            <w:vAlign w:val="center"/>
          </w:tcPr>
          <w:p w14:paraId="3FB47654" w14:textId="54A268E3" w:rsidR="00AB0A1F" w:rsidRDefault="00AB0A1F" w:rsidP="0013380F">
            <w:pPr>
              <w:spacing w:before="120"/>
              <w:ind w:firstLine="175"/>
            </w:pPr>
            <w:r>
              <w:t>[DATE]</w:t>
            </w:r>
          </w:p>
        </w:tc>
      </w:tr>
      <w:tr w:rsidR="00AB0A1F" w14:paraId="4A9C714E" w14:textId="77777777" w:rsidTr="00357AF4">
        <w:tc>
          <w:tcPr>
            <w:tcW w:w="7366" w:type="dxa"/>
            <w:tcBorders>
              <w:top w:val="single" w:sz="4" w:space="0" w:color="auto"/>
              <w:left w:val="single" w:sz="4" w:space="0" w:color="auto"/>
              <w:bottom w:val="single" w:sz="4" w:space="0" w:color="auto"/>
              <w:right w:val="single" w:sz="4" w:space="0" w:color="auto"/>
            </w:tcBorders>
            <w:vAlign w:val="center"/>
          </w:tcPr>
          <w:p w14:paraId="6511B79B" w14:textId="47925607" w:rsidR="00AB0A1F" w:rsidRDefault="00AB0A1F" w:rsidP="009D4E9C">
            <w:pPr>
              <w:pStyle w:val="ListParagraph"/>
              <w:numPr>
                <w:ilvl w:val="0"/>
                <w:numId w:val="130"/>
              </w:numPr>
              <w:spacing w:before="120"/>
            </w:pPr>
            <w:r>
              <w:t xml:space="preserve">When does the 10 working days within which the documents must be published expire? </w:t>
            </w:r>
          </w:p>
        </w:tc>
        <w:tc>
          <w:tcPr>
            <w:tcW w:w="1694" w:type="dxa"/>
            <w:tcBorders>
              <w:top w:val="single" w:sz="4" w:space="0" w:color="auto"/>
              <w:left w:val="single" w:sz="4" w:space="0" w:color="auto"/>
              <w:bottom w:val="single" w:sz="4" w:space="0" w:color="auto"/>
              <w:right w:val="single" w:sz="4" w:space="0" w:color="auto"/>
            </w:tcBorders>
            <w:vAlign w:val="center"/>
          </w:tcPr>
          <w:p w14:paraId="73BD9224" w14:textId="0E681715" w:rsidR="00AB0A1F" w:rsidRDefault="00AB0A1F" w:rsidP="0013380F">
            <w:pPr>
              <w:spacing w:before="120"/>
              <w:ind w:firstLine="175"/>
            </w:pPr>
            <w:r>
              <w:t>[DATE]</w:t>
            </w:r>
          </w:p>
        </w:tc>
      </w:tr>
      <w:tr w:rsidR="004B1C5A" w14:paraId="45C1FE11" w14:textId="77777777" w:rsidTr="00357AF4">
        <w:tc>
          <w:tcPr>
            <w:tcW w:w="7366" w:type="dxa"/>
            <w:tcBorders>
              <w:top w:val="single" w:sz="4" w:space="0" w:color="auto"/>
              <w:left w:val="single" w:sz="4" w:space="0" w:color="auto"/>
              <w:bottom w:val="single" w:sz="4" w:space="0" w:color="auto"/>
              <w:right w:val="single" w:sz="4" w:space="0" w:color="auto"/>
            </w:tcBorders>
            <w:vAlign w:val="center"/>
          </w:tcPr>
          <w:p w14:paraId="372A0353" w14:textId="33B3D90D" w:rsidR="004B1C5A" w:rsidRDefault="004B1C5A" w:rsidP="00357AF4">
            <w:pPr>
              <w:pStyle w:val="ListParagraph"/>
              <w:numPr>
                <w:ilvl w:val="0"/>
                <w:numId w:val="130"/>
              </w:numPr>
              <w:spacing w:before="120"/>
            </w:pPr>
            <w:r>
              <w:t xml:space="preserve">Does an exception to </w:t>
            </w:r>
            <w:r w:rsidR="00C275DB">
              <w:t xml:space="preserve">disclosure log </w:t>
            </w:r>
            <w:r>
              <w:t>publication in s 11C</w:t>
            </w:r>
            <w:r w:rsidR="00C275DB">
              <w:t>(1)</w:t>
            </w:r>
            <w:r>
              <w:t xml:space="preserve"> apply?</w:t>
            </w:r>
          </w:p>
        </w:tc>
        <w:tc>
          <w:tcPr>
            <w:tcW w:w="1694" w:type="dxa"/>
            <w:tcBorders>
              <w:top w:val="single" w:sz="4" w:space="0" w:color="auto"/>
              <w:left w:val="single" w:sz="4" w:space="0" w:color="auto"/>
              <w:bottom w:val="single" w:sz="4" w:space="0" w:color="auto"/>
              <w:right w:val="single" w:sz="4" w:space="0" w:color="auto"/>
            </w:tcBorders>
            <w:vAlign w:val="center"/>
          </w:tcPr>
          <w:p w14:paraId="282A3CFD" w14:textId="0C040CC0" w:rsidR="004B1C5A" w:rsidRDefault="00572AB1" w:rsidP="00357AF4">
            <w:pPr>
              <w:spacing w:before="120"/>
              <w:ind w:firstLine="175"/>
            </w:pPr>
            <w:r>
              <w:t>Yes</w:t>
            </w:r>
            <w:r>
              <w:tab/>
            </w:r>
            <w:sdt>
              <w:sdtPr>
                <w:id w:val="-517083980"/>
                <w14:checkbox>
                  <w14:checked w14:val="0"/>
                  <w14:checkedState w14:val="2612" w14:font="MS Gothic"/>
                  <w14:uncheckedState w14:val="2610" w14:font="MS Gothic"/>
                </w14:checkbox>
              </w:sdtPr>
              <w:sdtEndPr/>
              <w:sdtContent>
                <w:r w:rsidR="00D95192">
                  <w:rPr>
                    <w:rFonts w:ascii="MS Gothic" w:eastAsia="MS Gothic" w:hAnsi="MS Gothic" w:hint="eastAsia"/>
                  </w:rPr>
                  <w:t>☐</w:t>
                </w:r>
              </w:sdtContent>
            </w:sdt>
          </w:p>
          <w:p w14:paraId="61CE633D" w14:textId="09BCD06F" w:rsidR="00572AB1" w:rsidRDefault="00572AB1" w:rsidP="00357AF4">
            <w:pPr>
              <w:spacing w:after="240"/>
              <w:ind w:firstLine="175"/>
            </w:pPr>
            <w:r>
              <w:t>No</w:t>
            </w:r>
            <w:r>
              <w:tab/>
            </w:r>
            <w:sdt>
              <w:sdtPr>
                <w:id w:val="1660112607"/>
                <w14:checkbox>
                  <w14:checked w14:val="0"/>
                  <w14:checkedState w14:val="2612" w14:font="MS Gothic"/>
                  <w14:uncheckedState w14:val="2610" w14:font="MS Gothic"/>
                </w14:checkbox>
              </w:sdtPr>
              <w:sdtEndPr/>
              <w:sdtContent>
                <w:r w:rsidR="00D95192">
                  <w:rPr>
                    <w:rFonts w:ascii="MS Gothic" w:eastAsia="MS Gothic" w:hAnsi="MS Gothic" w:hint="eastAsia"/>
                  </w:rPr>
                  <w:t>☐</w:t>
                </w:r>
              </w:sdtContent>
            </w:sdt>
          </w:p>
        </w:tc>
      </w:tr>
      <w:tr w:rsidR="004421DA" w14:paraId="3870ED23" w14:textId="77777777" w:rsidTr="001E2E9F">
        <w:tc>
          <w:tcPr>
            <w:tcW w:w="9060" w:type="dxa"/>
            <w:gridSpan w:val="2"/>
            <w:tcBorders>
              <w:top w:val="single" w:sz="4" w:space="0" w:color="auto"/>
              <w:left w:val="single" w:sz="4" w:space="0" w:color="auto"/>
              <w:bottom w:val="single" w:sz="4" w:space="0" w:color="auto"/>
              <w:right w:val="single" w:sz="4" w:space="0" w:color="auto"/>
            </w:tcBorders>
          </w:tcPr>
          <w:p w14:paraId="58147D5A" w14:textId="204DB077" w:rsidR="004421DA" w:rsidRDefault="00C275DB" w:rsidP="00357AF4">
            <w:pPr>
              <w:pStyle w:val="ListParagraph"/>
              <w:numPr>
                <w:ilvl w:val="0"/>
                <w:numId w:val="130"/>
              </w:numPr>
              <w:spacing w:before="120"/>
            </w:pPr>
            <w:r>
              <w:t>Which e</w:t>
            </w:r>
            <w:r w:rsidR="004421DA">
              <w:t>xception applies</w:t>
            </w:r>
            <w:r>
              <w:t xml:space="preserve"> (</w:t>
            </w:r>
            <w:r w:rsidR="004421DA">
              <w:t>check all that apply</w:t>
            </w:r>
            <w:r>
              <w:t>)?</w:t>
            </w:r>
          </w:p>
          <w:p w14:paraId="2519DC02" w14:textId="296DFB74" w:rsidR="004421DA" w:rsidRDefault="003651D4" w:rsidP="00357AF4">
            <w:pPr>
              <w:spacing w:after="240"/>
              <w:ind w:left="457" w:hanging="457"/>
            </w:pPr>
            <w:sdt>
              <w:sdtPr>
                <w:id w:val="-1541654217"/>
                <w14:checkbox>
                  <w14:checked w14:val="0"/>
                  <w14:checkedState w14:val="2612" w14:font="MS Gothic"/>
                  <w14:uncheckedState w14:val="2610" w14:font="MS Gothic"/>
                </w14:checkbox>
              </w:sdtPr>
              <w:sdtEndPr/>
              <w:sdtContent>
                <w:r w:rsidR="00BC501A">
                  <w:rPr>
                    <w:rFonts w:ascii="MS Gothic" w:eastAsia="MS Gothic" w:hAnsi="MS Gothic" w:hint="eastAsia"/>
                  </w:rPr>
                  <w:t>☐</w:t>
                </w:r>
              </w:sdtContent>
            </w:sdt>
            <w:r w:rsidR="004421DA">
              <w:tab/>
              <w:t>personal information about any person that it would be unreasonable to publish (11C(1)(a))</w:t>
            </w:r>
          </w:p>
          <w:p w14:paraId="6C1A0B4C" w14:textId="6D12114B" w:rsidR="004421DA" w:rsidRDefault="003651D4" w:rsidP="00357AF4">
            <w:pPr>
              <w:tabs>
                <w:tab w:val="left" w:pos="457"/>
              </w:tabs>
              <w:spacing w:after="240"/>
              <w:ind w:left="457" w:hanging="457"/>
            </w:pPr>
            <w:sdt>
              <w:sdtPr>
                <w:id w:val="-2112415288"/>
                <w14:checkbox>
                  <w14:checked w14:val="0"/>
                  <w14:checkedState w14:val="2612" w14:font="MS Gothic"/>
                  <w14:uncheckedState w14:val="2610" w14:font="MS Gothic"/>
                </w14:checkbox>
              </w:sdtPr>
              <w:sdtEndPr/>
              <w:sdtContent>
                <w:r w:rsidR="00BC501A">
                  <w:rPr>
                    <w:rFonts w:ascii="MS Gothic" w:eastAsia="MS Gothic" w:hAnsi="MS Gothic" w:hint="eastAsia"/>
                  </w:rPr>
                  <w:t>☐</w:t>
                </w:r>
              </w:sdtContent>
            </w:sdt>
            <w:r w:rsidR="004421DA">
              <w:tab/>
              <w:t>information about the business</w:t>
            </w:r>
            <w:r w:rsidR="00C275DB">
              <w:t>,</w:t>
            </w:r>
            <w:r w:rsidR="004421DA">
              <w:t xml:space="preserve"> commercial, financial or professional affairs of any person, if it would be unreasonable to publish</w:t>
            </w:r>
            <w:r w:rsidR="00C275DB">
              <w:t xml:space="preserve"> the information (</w:t>
            </w:r>
            <w:r w:rsidR="004421DA">
              <w:t>11C(1)(b)</w:t>
            </w:r>
            <w:r w:rsidR="00C275DB">
              <w:t>)</w:t>
            </w:r>
          </w:p>
          <w:p w14:paraId="3E3042E5" w14:textId="5CEC8DD4" w:rsidR="004421DA" w:rsidRDefault="003651D4" w:rsidP="00357AF4">
            <w:pPr>
              <w:tabs>
                <w:tab w:val="left" w:pos="457"/>
              </w:tabs>
              <w:spacing w:after="240"/>
              <w:ind w:left="457" w:hanging="457"/>
            </w:pPr>
            <w:sdt>
              <w:sdtPr>
                <w:id w:val="749941026"/>
                <w14:checkbox>
                  <w14:checked w14:val="0"/>
                  <w14:checkedState w14:val="2612" w14:font="MS Gothic"/>
                  <w14:uncheckedState w14:val="2610" w14:font="MS Gothic"/>
                </w14:checkbox>
              </w:sdtPr>
              <w:sdtEndPr/>
              <w:sdtContent>
                <w:r w:rsidR="004421DA">
                  <w:rPr>
                    <w:rFonts w:ascii="MS Gothic" w:eastAsia="MS Gothic" w:hAnsi="MS Gothic" w:hint="eastAsia"/>
                  </w:rPr>
                  <w:t>☐</w:t>
                </w:r>
              </w:sdtContent>
            </w:sdt>
            <w:r w:rsidR="004421DA">
              <w:tab/>
              <w:t xml:space="preserve">information of a kind covered by an Information Commissioner </w:t>
            </w:r>
            <w:r w:rsidR="00C275DB">
              <w:t>D</w:t>
            </w:r>
            <w:r w:rsidR="004421DA">
              <w:t xml:space="preserve">etermination </w:t>
            </w:r>
            <w:r w:rsidR="00C275DB">
              <w:t>(</w:t>
            </w:r>
            <w:r w:rsidR="004421DA">
              <w:t>11C(1)(c)</w:t>
            </w:r>
            <w:r w:rsidR="00C275DB">
              <w:t>)</w:t>
            </w:r>
          </w:p>
          <w:p w14:paraId="3746F6A5" w14:textId="361B7D17" w:rsidR="004421DA" w:rsidRDefault="003651D4" w:rsidP="00357AF4">
            <w:pPr>
              <w:tabs>
                <w:tab w:val="left" w:pos="430"/>
              </w:tabs>
              <w:ind w:left="457" w:hanging="457"/>
            </w:pPr>
            <w:sdt>
              <w:sdtPr>
                <w:id w:val="-1311625193"/>
                <w14:checkbox>
                  <w14:checked w14:val="0"/>
                  <w14:checkedState w14:val="2612" w14:font="MS Gothic"/>
                  <w14:uncheckedState w14:val="2610" w14:font="MS Gothic"/>
                </w14:checkbox>
              </w:sdtPr>
              <w:sdtEndPr/>
              <w:sdtContent>
                <w:r w:rsidR="004421DA">
                  <w:rPr>
                    <w:rFonts w:ascii="MS Gothic" w:eastAsia="MS Gothic" w:hAnsi="MS Gothic" w:hint="eastAsia"/>
                  </w:rPr>
                  <w:t>☐</w:t>
                </w:r>
              </w:sdtContent>
            </w:sdt>
            <w:r w:rsidR="004421DA">
              <w:tab/>
            </w:r>
            <w:r w:rsidR="00C275DB">
              <w:t>any i</w:t>
            </w:r>
            <w:r w:rsidR="004421DA">
              <w:t xml:space="preserve">nformation that would not be reasonably practicable to publish because of the </w:t>
            </w:r>
            <w:r w:rsidR="00C275DB">
              <w:t>extent of modifications needed to delete information referred to above.</w:t>
            </w:r>
          </w:p>
        </w:tc>
      </w:tr>
      <w:tr w:rsidR="00C275DB" w14:paraId="73831247" w14:textId="77777777" w:rsidTr="00357AF4">
        <w:trPr>
          <w:trHeight w:val="524"/>
        </w:trPr>
        <w:tc>
          <w:tcPr>
            <w:tcW w:w="7366" w:type="dxa"/>
            <w:tcBorders>
              <w:top w:val="single" w:sz="4" w:space="0" w:color="auto"/>
              <w:left w:val="single" w:sz="4" w:space="0" w:color="auto"/>
              <w:bottom w:val="single" w:sz="4" w:space="0" w:color="auto"/>
              <w:right w:val="single" w:sz="4" w:space="0" w:color="auto"/>
            </w:tcBorders>
            <w:vAlign w:val="center"/>
          </w:tcPr>
          <w:p w14:paraId="774AE8EF" w14:textId="15711D97" w:rsidR="00C275DB" w:rsidRDefault="00C275DB" w:rsidP="00357AF4">
            <w:pPr>
              <w:pStyle w:val="ListParagraph"/>
              <w:numPr>
                <w:ilvl w:val="0"/>
                <w:numId w:val="130"/>
              </w:numPr>
              <w:spacing w:before="120"/>
            </w:pPr>
            <w:r>
              <w:t>Will the document(s) be available for download from the agency website?</w:t>
            </w:r>
          </w:p>
        </w:tc>
        <w:tc>
          <w:tcPr>
            <w:tcW w:w="1694" w:type="dxa"/>
            <w:tcBorders>
              <w:top w:val="single" w:sz="4" w:space="0" w:color="auto"/>
              <w:left w:val="single" w:sz="4" w:space="0" w:color="auto"/>
              <w:bottom w:val="single" w:sz="4" w:space="0" w:color="auto"/>
              <w:right w:val="single" w:sz="4" w:space="0" w:color="auto"/>
            </w:tcBorders>
          </w:tcPr>
          <w:p w14:paraId="7F7CEA01" w14:textId="77777777" w:rsidR="000C4063" w:rsidRDefault="000C4063" w:rsidP="000C4063">
            <w:pPr>
              <w:spacing w:before="120"/>
              <w:ind w:firstLine="175"/>
            </w:pPr>
            <w:r>
              <w:t>Yes</w:t>
            </w:r>
            <w:r>
              <w:tab/>
            </w:r>
            <w:sdt>
              <w:sdtPr>
                <w:id w:val="-14119918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305E084" w14:textId="762A1F32" w:rsidR="00C275DB" w:rsidRDefault="000C4063" w:rsidP="00357AF4">
            <w:pPr>
              <w:spacing w:after="240"/>
              <w:ind w:firstLine="175"/>
            </w:pPr>
            <w:r>
              <w:t>No</w:t>
            </w:r>
            <w:r>
              <w:tab/>
            </w:r>
            <w:sdt>
              <w:sdtPr>
                <w:id w:val="126010233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C275DB" w14:paraId="58653409" w14:textId="77777777" w:rsidTr="00357AF4">
        <w:trPr>
          <w:trHeight w:val="523"/>
        </w:trPr>
        <w:tc>
          <w:tcPr>
            <w:tcW w:w="7366" w:type="dxa"/>
            <w:tcBorders>
              <w:top w:val="single" w:sz="4" w:space="0" w:color="auto"/>
              <w:left w:val="single" w:sz="4" w:space="0" w:color="auto"/>
              <w:bottom w:val="single" w:sz="4" w:space="0" w:color="auto"/>
              <w:right w:val="single" w:sz="4" w:space="0" w:color="auto"/>
            </w:tcBorders>
            <w:vAlign w:val="center"/>
          </w:tcPr>
          <w:p w14:paraId="3383614B" w14:textId="77777777" w:rsidR="00C275DB" w:rsidRDefault="00C275DB">
            <w:pPr>
              <w:pStyle w:val="ListParagraph"/>
              <w:numPr>
                <w:ilvl w:val="0"/>
                <w:numId w:val="130"/>
              </w:numPr>
              <w:spacing w:before="120"/>
            </w:pPr>
            <w:r>
              <w:t xml:space="preserve">Will the document(s) be available for download </w:t>
            </w:r>
            <w:r w:rsidR="00FA3AD1">
              <w:t>via a li</w:t>
            </w:r>
            <w:r w:rsidR="000C4063">
              <w:t>n</w:t>
            </w:r>
            <w:r w:rsidR="00FA3AD1">
              <w:t xml:space="preserve">k to another website? </w:t>
            </w:r>
          </w:p>
          <w:p w14:paraId="6E7035DF" w14:textId="410CC9D5" w:rsidR="00BC501A" w:rsidRDefault="00BC501A" w:rsidP="00357AF4">
            <w:pPr>
              <w:spacing w:before="120"/>
              <w:ind w:left="360"/>
            </w:pPr>
            <w:r>
              <w:t xml:space="preserve">If so, which website (include URL): </w:t>
            </w:r>
          </w:p>
        </w:tc>
        <w:tc>
          <w:tcPr>
            <w:tcW w:w="1694" w:type="dxa"/>
            <w:tcBorders>
              <w:top w:val="single" w:sz="4" w:space="0" w:color="auto"/>
              <w:left w:val="single" w:sz="4" w:space="0" w:color="auto"/>
              <w:bottom w:val="single" w:sz="4" w:space="0" w:color="auto"/>
              <w:right w:val="single" w:sz="4" w:space="0" w:color="auto"/>
            </w:tcBorders>
          </w:tcPr>
          <w:p w14:paraId="74F77571" w14:textId="77777777" w:rsidR="000C4063" w:rsidRDefault="000C4063" w:rsidP="000C4063">
            <w:pPr>
              <w:spacing w:before="120"/>
              <w:ind w:firstLine="175"/>
            </w:pPr>
            <w:r>
              <w:t>Yes</w:t>
            </w:r>
            <w:r>
              <w:tab/>
            </w:r>
            <w:sdt>
              <w:sdtPr>
                <w:id w:val="-7164290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B402F59" w14:textId="54615F9E" w:rsidR="00C275DB" w:rsidRDefault="000C4063" w:rsidP="00357AF4">
            <w:pPr>
              <w:spacing w:after="240"/>
              <w:ind w:firstLine="175"/>
            </w:pPr>
            <w:r>
              <w:t>No</w:t>
            </w:r>
            <w:r>
              <w:tab/>
            </w:r>
            <w:sdt>
              <w:sdtPr>
                <w:id w:val="27799624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AF237F" w14:paraId="76323881" w14:textId="77777777" w:rsidTr="00357AF4">
        <w:trPr>
          <w:trHeight w:val="4626"/>
        </w:trPr>
        <w:tc>
          <w:tcPr>
            <w:tcW w:w="9060" w:type="dxa"/>
            <w:gridSpan w:val="2"/>
            <w:tcBorders>
              <w:top w:val="single" w:sz="4" w:space="0" w:color="auto"/>
              <w:left w:val="single" w:sz="4" w:space="0" w:color="auto"/>
              <w:bottom w:val="single" w:sz="4" w:space="0" w:color="auto"/>
              <w:right w:val="single" w:sz="4" w:space="0" w:color="auto"/>
            </w:tcBorders>
          </w:tcPr>
          <w:p w14:paraId="65088732" w14:textId="56C9BAEA" w:rsidR="00AF237F" w:rsidRDefault="00090160" w:rsidP="000C4063">
            <w:pPr>
              <w:pStyle w:val="ListParagraph"/>
              <w:numPr>
                <w:ilvl w:val="0"/>
                <w:numId w:val="130"/>
              </w:numPr>
              <w:spacing w:before="120"/>
            </w:pPr>
            <w:r>
              <w:lastRenderedPageBreak/>
              <w:t>If the documents cannot be published on the disclosure log, document the reasons for this (check all that apply)</w:t>
            </w:r>
            <w:r w:rsidR="00AF237F">
              <w:t>:</w:t>
            </w:r>
          </w:p>
          <w:p w14:paraId="13377943" w14:textId="77777777" w:rsidR="00AF237F" w:rsidRDefault="00AF237F" w:rsidP="000C4063">
            <w:pPr>
              <w:pStyle w:val="ListParagraph"/>
              <w:spacing w:before="120"/>
              <w:ind w:left="360"/>
            </w:pPr>
          </w:p>
          <w:p w14:paraId="5233A8A0" w14:textId="77777777" w:rsidR="00AF237F" w:rsidRDefault="003651D4" w:rsidP="000C4063">
            <w:pPr>
              <w:pStyle w:val="ListParagraph"/>
              <w:spacing w:before="120"/>
              <w:ind w:left="360"/>
              <w:rPr>
                <w:rFonts w:ascii="Source Sans Pro" w:eastAsia="Times New Roman" w:hAnsi="Source Sans Pro" w:cstheme="minorHAnsi"/>
                <w:szCs w:val="22"/>
                <w:lang w:eastAsia="en-AU"/>
              </w:rPr>
            </w:pPr>
            <w:sdt>
              <w:sdtPr>
                <w:rPr>
                  <w:rFonts w:ascii="Source Sans Pro" w:eastAsia="Times New Roman" w:hAnsi="Source Sans Pro" w:cstheme="minorHAnsi"/>
                  <w:szCs w:val="22"/>
                  <w:lang w:eastAsia="en-AU"/>
                </w:rPr>
                <w:id w:val="1470250393"/>
                <w14:checkbox>
                  <w14:checked w14:val="0"/>
                  <w14:checkedState w14:val="2612" w14:font="MS Gothic"/>
                  <w14:uncheckedState w14:val="2610" w14:font="MS Gothic"/>
                </w14:checkbox>
              </w:sdtPr>
              <w:sdtEndPr/>
              <w:sdtContent>
                <w:r w:rsidR="00AF237F">
                  <w:rPr>
                    <w:rFonts w:ascii="MS Gothic" w:eastAsia="MS Gothic" w:hAnsi="MS Gothic" w:cstheme="minorHAnsi" w:hint="eastAsia"/>
                    <w:szCs w:val="22"/>
                    <w:lang w:eastAsia="en-AU"/>
                  </w:rPr>
                  <w:t>☐</w:t>
                </w:r>
              </w:sdtContent>
            </w:sdt>
            <w:r w:rsidR="00AF237F">
              <w:rPr>
                <w:rFonts w:ascii="Source Sans Pro" w:eastAsia="Times New Roman" w:hAnsi="Source Sans Pro" w:cstheme="minorHAnsi"/>
                <w:szCs w:val="22"/>
                <w:lang w:eastAsia="en-AU"/>
              </w:rPr>
              <w:tab/>
              <w:t xml:space="preserve">File </w:t>
            </w:r>
            <w:r w:rsidR="00AF237F" w:rsidRPr="00395EC7">
              <w:rPr>
                <w:rFonts w:ascii="Source Sans Pro" w:eastAsia="Times New Roman" w:hAnsi="Source Sans Pro" w:cstheme="minorHAnsi"/>
                <w:szCs w:val="22"/>
                <w:lang w:eastAsia="en-AU"/>
              </w:rPr>
              <w:t>size</w:t>
            </w:r>
          </w:p>
          <w:p w14:paraId="3763D97E" w14:textId="77777777" w:rsidR="00AF237F" w:rsidRDefault="00AF237F" w:rsidP="000C4063">
            <w:pPr>
              <w:pStyle w:val="ListParagraph"/>
              <w:spacing w:before="120"/>
              <w:ind w:left="360"/>
              <w:rPr>
                <w:rFonts w:ascii="Source Sans Pro" w:eastAsia="Times New Roman" w:hAnsi="Source Sans Pro" w:cstheme="minorHAnsi"/>
                <w:szCs w:val="22"/>
                <w:lang w:eastAsia="en-AU"/>
              </w:rPr>
            </w:pPr>
          </w:p>
          <w:p w14:paraId="22D8DF30" w14:textId="77777777" w:rsidR="00AF237F" w:rsidRDefault="003651D4" w:rsidP="000C4063">
            <w:pPr>
              <w:pStyle w:val="ListParagraph"/>
              <w:spacing w:before="120"/>
              <w:ind w:left="360"/>
              <w:rPr>
                <w:rFonts w:ascii="Source Sans Pro" w:eastAsia="Times New Roman" w:hAnsi="Source Sans Pro" w:cstheme="minorHAnsi"/>
                <w:szCs w:val="22"/>
                <w:lang w:eastAsia="en-AU"/>
              </w:rPr>
            </w:pPr>
            <w:sdt>
              <w:sdtPr>
                <w:rPr>
                  <w:rFonts w:ascii="Source Sans Pro" w:eastAsia="Times New Roman" w:hAnsi="Source Sans Pro" w:cstheme="minorHAnsi"/>
                  <w:szCs w:val="22"/>
                  <w:lang w:eastAsia="en-AU"/>
                </w:rPr>
                <w:id w:val="-1132172629"/>
                <w14:checkbox>
                  <w14:checked w14:val="0"/>
                  <w14:checkedState w14:val="2612" w14:font="MS Gothic"/>
                  <w14:uncheckedState w14:val="2610" w14:font="MS Gothic"/>
                </w14:checkbox>
              </w:sdtPr>
              <w:sdtEndPr/>
              <w:sdtContent>
                <w:r w:rsidR="00AF237F">
                  <w:rPr>
                    <w:rFonts w:ascii="MS Gothic" w:eastAsia="MS Gothic" w:hAnsi="MS Gothic" w:cstheme="minorHAnsi" w:hint="eastAsia"/>
                    <w:szCs w:val="22"/>
                    <w:lang w:eastAsia="en-AU"/>
                  </w:rPr>
                  <w:t>☐</w:t>
                </w:r>
              </w:sdtContent>
            </w:sdt>
            <w:r w:rsidR="00AF237F">
              <w:rPr>
                <w:rFonts w:ascii="Source Sans Pro" w:eastAsia="Times New Roman" w:hAnsi="Source Sans Pro" w:cstheme="minorHAnsi"/>
                <w:szCs w:val="22"/>
                <w:lang w:eastAsia="en-AU"/>
              </w:rPr>
              <w:tab/>
              <w:t>R</w:t>
            </w:r>
            <w:r w:rsidR="00AF237F" w:rsidRPr="00395EC7">
              <w:rPr>
                <w:rFonts w:ascii="Source Sans Pro" w:eastAsia="Times New Roman" w:hAnsi="Source Sans Pro" w:cstheme="minorHAnsi"/>
                <w:szCs w:val="22"/>
                <w:lang w:eastAsia="en-AU"/>
              </w:rPr>
              <w:t xml:space="preserve">equirement </w:t>
            </w:r>
            <w:r w:rsidR="00AF237F">
              <w:rPr>
                <w:rFonts w:ascii="Source Sans Pro" w:eastAsia="Times New Roman" w:hAnsi="Source Sans Pro" w:cstheme="minorHAnsi"/>
                <w:szCs w:val="22"/>
                <w:lang w:eastAsia="en-AU"/>
              </w:rPr>
              <w:t>for</w:t>
            </w:r>
            <w:r w:rsidR="00AF237F" w:rsidRPr="00395EC7">
              <w:rPr>
                <w:rFonts w:ascii="Source Sans Pro" w:eastAsia="Times New Roman" w:hAnsi="Source Sans Pro" w:cstheme="minorHAnsi"/>
                <w:szCs w:val="22"/>
                <w:lang w:eastAsia="en-AU"/>
              </w:rPr>
              <w:t xml:space="preserve"> specialist software to view the </w:t>
            </w:r>
            <w:r w:rsidR="00AF237F">
              <w:rPr>
                <w:rFonts w:ascii="Source Sans Pro" w:eastAsia="Times New Roman" w:hAnsi="Source Sans Pro" w:cstheme="minorHAnsi"/>
                <w:szCs w:val="22"/>
                <w:lang w:eastAsia="en-AU"/>
              </w:rPr>
              <w:t>information</w:t>
            </w:r>
          </w:p>
          <w:p w14:paraId="4C124680" w14:textId="77777777" w:rsidR="00AF237F" w:rsidRDefault="00AF237F" w:rsidP="000C4063">
            <w:pPr>
              <w:pStyle w:val="ListParagraph"/>
              <w:spacing w:before="120"/>
              <w:ind w:left="360"/>
              <w:rPr>
                <w:rFonts w:ascii="Source Sans Pro" w:eastAsia="Times New Roman" w:hAnsi="Source Sans Pro" w:cstheme="minorHAnsi"/>
                <w:szCs w:val="22"/>
                <w:lang w:eastAsia="en-AU"/>
              </w:rPr>
            </w:pPr>
          </w:p>
          <w:p w14:paraId="74F6FED7" w14:textId="77777777" w:rsidR="00AF237F" w:rsidRDefault="003651D4" w:rsidP="000C4063">
            <w:pPr>
              <w:pStyle w:val="ListParagraph"/>
              <w:spacing w:before="120"/>
              <w:ind w:left="360"/>
              <w:rPr>
                <w:rFonts w:ascii="Source Sans Pro" w:eastAsia="Times New Roman" w:hAnsi="Source Sans Pro" w:cstheme="minorHAnsi"/>
                <w:szCs w:val="22"/>
                <w:lang w:eastAsia="en-AU"/>
              </w:rPr>
            </w:pPr>
            <w:sdt>
              <w:sdtPr>
                <w:rPr>
                  <w:rFonts w:ascii="Source Sans Pro" w:eastAsia="Times New Roman" w:hAnsi="Source Sans Pro" w:cstheme="minorHAnsi"/>
                  <w:szCs w:val="22"/>
                  <w:lang w:eastAsia="en-AU"/>
                </w:rPr>
                <w:id w:val="-839856560"/>
                <w14:checkbox>
                  <w14:checked w14:val="0"/>
                  <w14:checkedState w14:val="2612" w14:font="MS Gothic"/>
                  <w14:uncheckedState w14:val="2610" w14:font="MS Gothic"/>
                </w14:checkbox>
              </w:sdtPr>
              <w:sdtEndPr/>
              <w:sdtContent>
                <w:r w:rsidR="00AF237F">
                  <w:rPr>
                    <w:rFonts w:ascii="MS Gothic" w:eastAsia="MS Gothic" w:hAnsi="MS Gothic" w:cstheme="minorHAnsi" w:hint="eastAsia"/>
                    <w:szCs w:val="22"/>
                    <w:lang w:eastAsia="en-AU"/>
                  </w:rPr>
                  <w:t>☐</w:t>
                </w:r>
              </w:sdtContent>
            </w:sdt>
            <w:r w:rsidR="00AF237F">
              <w:rPr>
                <w:rFonts w:ascii="Source Sans Pro" w:eastAsia="Times New Roman" w:hAnsi="Source Sans Pro" w:cstheme="minorHAnsi"/>
                <w:szCs w:val="22"/>
                <w:lang w:eastAsia="en-AU"/>
              </w:rPr>
              <w:tab/>
              <w:t>Format (e.g., video )</w:t>
            </w:r>
          </w:p>
          <w:p w14:paraId="75DD4A58" w14:textId="77777777" w:rsidR="00AF237F" w:rsidRDefault="00AF237F" w:rsidP="000C4063">
            <w:pPr>
              <w:pStyle w:val="ListParagraph"/>
              <w:spacing w:before="120"/>
              <w:ind w:left="360"/>
              <w:rPr>
                <w:rFonts w:ascii="Source Sans Pro" w:eastAsia="Times New Roman" w:hAnsi="Source Sans Pro" w:cstheme="minorHAnsi"/>
                <w:szCs w:val="22"/>
                <w:lang w:eastAsia="en-AU"/>
              </w:rPr>
            </w:pPr>
          </w:p>
          <w:p w14:paraId="429B661B" w14:textId="77777777" w:rsidR="00AF237F" w:rsidRDefault="003651D4" w:rsidP="000C4063">
            <w:pPr>
              <w:pStyle w:val="ListParagraph"/>
              <w:spacing w:before="120"/>
              <w:ind w:left="360"/>
              <w:rPr>
                <w:rFonts w:ascii="Source Sans Pro" w:eastAsia="Times New Roman" w:hAnsi="Source Sans Pro" w:cstheme="minorHAnsi"/>
                <w:szCs w:val="22"/>
                <w:lang w:eastAsia="en-AU"/>
              </w:rPr>
            </w:pPr>
            <w:sdt>
              <w:sdtPr>
                <w:rPr>
                  <w:rFonts w:ascii="Source Sans Pro" w:eastAsia="Times New Roman" w:hAnsi="Source Sans Pro" w:cstheme="minorHAnsi"/>
                  <w:szCs w:val="22"/>
                  <w:lang w:eastAsia="en-AU"/>
                </w:rPr>
                <w:id w:val="-355190491"/>
                <w14:checkbox>
                  <w14:checked w14:val="0"/>
                  <w14:checkedState w14:val="2612" w14:font="MS Gothic"/>
                  <w14:uncheckedState w14:val="2610" w14:font="MS Gothic"/>
                </w14:checkbox>
              </w:sdtPr>
              <w:sdtEndPr/>
              <w:sdtContent>
                <w:r w:rsidR="00AF237F">
                  <w:rPr>
                    <w:rFonts w:ascii="MS Gothic" w:eastAsia="MS Gothic" w:hAnsi="MS Gothic" w:cstheme="minorHAnsi" w:hint="eastAsia"/>
                    <w:szCs w:val="22"/>
                    <w:lang w:eastAsia="en-AU"/>
                  </w:rPr>
                  <w:t>☐</w:t>
                </w:r>
              </w:sdtContent>
            </w:sdt>
            <w:r w:rsidR="00AF237F">
              <w:rPr>
                <w:rFonts w:ascii="Source Sans Pro" w:eastAsia="Times New Roman" w:hAnsi="Source Sans Pro" w:cstheme="minorHAnsi"/>
                <w:szCs w:val="22"/>
                <w:lang w:eastAsia="en-AU"/>
              </w:rPr>
              <w:tab/>
              <w:t>Content rating</w:t>
            </w:r>
          </w:p>
          <w:p w14:paraId="420FFD87" w14:textId="77777777" w:rsidR="00AF237F" w:rsidRDefault="00AF237F" w:rsidP="000C4063">
            <w:pPr>
              <w:pStyle w:val="ListParagraph"/>
              <w:spacing w:before="120"/>
              <w:ind w:left="360"/>
              <w:rPr>
                <w:rFonts w:ascii="Source Sans Pro" w:eastAsia="Times New Roman" w:hAnsi="Source Sans Pro" w:cstheme="minorHAnsi"/>
                <w:szCs w:val="22"/>
                <w:lang w:eastAsia="en-AU"/>
              </w:rPr>
            </w:pPr>
          </w:p>
          <w:p w14:paraId="5EA8F824" w14:textId="77777777" w:rsidR="00AF237F" w:rsidRDefault="003651D4" w:rsidP="000C4063">
            <w:pPr>
              <w:pStyle w:val="ListParagraph"/>
              <w:spacing w:before="120"/>
              <w:ind w:left="360"/>
              <w:rPr>
                <w:rFonts w:ascii="Source Sans Pro" w:eastAsia="Times New Roman" w:hAnsi="Source Sans Pro" w:cstheme="minorHAnsi"/>
                <w:szCs w:val="22"/>
                <w:lang w:eastAsia="en-AU"/>
              </w:rPr>
            </w:pPr>
            <w:sdt>
              <w:sdtPr>
                <w:rPr>
                  <w:rFonts w:ascii="Source Sans Pro" w:eastAsia="Times New Roman" w:hAnsi="Source Sans Pro" w:cstheme="minorHAnsi"/>
                  <w:szCs w:val="22"/>
                  <w:lang w:eastAsia="en-AU"/>
                </w:rPr>
                <w:id w:val="2043239545"/>
                <w14:checkbox>
                  <w14:checked w14:val="0"/>
                  <w14:checkedState w14:val="2612" w14:font="MS Gothic"/>
                  <w14:uncheckedState w14:val="2610" w14:font="MS Gothic"/>
                </w14:checkbox>
              </w:sdtPr>
              <w:sdtEndPr/>
              <w:sdtContent>
                <w:r w:rsidR="00AF237F">
                  <w:rPr>
                    <w:rFonts w:ascii="MS Gothic" w:eastAsia="MS Gothic" w:hAnsi="MS Gothic" w:cstheme="minorHAnsi" w:hint="eastAsia"/>
                    <w:szCs w:val="22"/>
                    <w:lang w:eastAsia="en-AU"/>
                  </w:rPr>
                  <w:t>☐</w:t>
                </w:r>
              </w:sdtContent>
            </w:sdt>
            <w:r w:rsidR="00AF237F">
              <w:rPr>
                <w:rFonts w:ascii="Source Sans Pro" w:eastAsia="Times New Roman" w:hAnsi="Source Sans Pro" w:cstheme="minorHAnsi"/>
                <w:szCs w:val="22"/>
                <w:lang w:eastAsia="en-AU"/>
              </w:rPr>
              <w:tab/>
              <w:t>Other (specify)</w:t>
            </w:r>
          </w:p>
          <w:p w14:paraId="57019701" w14:textId="77777777" w:rsidR="009D4E9C" w:rsidRDefault="009D4E9C" w:rsidP="000C4063">
            <w:pPr>
              <w:pStyle w:val="ListParagraph"/>
              <w:spacing w:before="120"/>
              <w:ind w:left="360"/>
              <w:rPr>
                <w:rFonts w:ascii="Source Sans Pro" w:eastAsia="Times New Roman" w:hAnsi="Source Sans Pro" w:cstheme="minorHAnsi"/>
                <w:szCs w:val="22"/>
                <w:lang w:eastAsia="en-AU"/>
              </w:rPr>
            </w:pPr>
          </w:p>
          <w:tbl>
            <w:tblPr>
              <w:tblStyle w:val="TableGrid"/>
              <w:tblW w:w="0" w:type="auto"/>
              <w:tblInd w:w="360" w:type="dxa"/>
              <w:tblLook w:val="04A0" w:firstRow="1" w:lastRow="0" w:firstColumn="1" w:lastColumn="0" w:noHBand="0" w:noVBand="1"/>
            </w:tblPr>
            <w:tblGrid>
              <w:gridCol w:w="8172"/>
            </w:tblGrid>
            <w:tr w:rsidR="00AF237F" w14:paraId="0D887A03" w14:textId="77777777" w:rsidTr="00357AF4">
              <w:tc>
                <w:tcPr>
                  <w:tcW w:w="8172" w:type="dxa"/>
                </w:tcPr>
                <w:p w14:paraId="127E154C" w14:textId="77777777" w:rsidR="00AF237F" w:rsidRDefault="00AF237F" w:rsidP="00357AF4">
                  <w:pPr>
                    <w:pStyle w:val="ListParagraph"/>
                    <w:spacing w:before="120"/>
                    <w:ind w:left="0" w:right="-995"/>
                  </w:pPr>
                </w:p>
                <w:p w14:paraId="43B839A6" w14:textId="77777777" w:rsidR="00AF237F" w:rsidRDefault="00AF237F" w:rsidP="000C4063">
                  <w:pPr>
                    <w:pStyle w:val="ListParagraph"/>
                    <w:spacing w:before="120"/>
                    <w:ind w:left="0"/>
                  </w:pPr>
                </w:p>
              </w:tc>
            </w:tr>
          </w:tbl>
          <w:p w14:paraId="3D8A1AC8" w14:textId="7CE15C7D" w:rsidR="00AF237F" w:rsidRDefault="00AF237F" w:rsidP="00357AF4">
            <w:pPr>
              <w:spacing w:after="240"/>
            </w:pPr>
          </w:p>
        </w:tc>
      </w:tr>
      <w:tr w:rsidR="004B1C5A" w14:paraId="08A2C7F0" w14:textId="77777777" w:rsidTr="00357AF4">
        <w:trPr>
          <w:trHeight w:val="1015"/>
        </w:trPr>
        <w:tc>
          <w:tcPr>
            <w:tcW w:w="7366" w:type="dxa"/>
            <w:tcBorders>
              <w:top w:val="single" w:sz="4" w:space="0" w:color="auto"/>
              <w:left w:val="single" w:sz="4" w:space="0" w:color="auto"/>
              <w:bottom w:val="single" w:sz="4" w:space="0" w:color="auto"/>
              <w:right w:val="single" w:sz="4" w:space="0" w:color="auto"/>
            </w:tcBorders>
            <w:vAlign w:val="center"/>
          </w:tcPr>
          <w:p w14:paraId="5F461F58" w14:textId="2BF7657D" w:rsidR="004B1C5A" w:rsidRDefault="00090160" w:rsidP="00357AF4">
            <w:pPr>
              <w:pStyle w:val="ListParagraph"/>
              <w:numPr>
                <w:ilvl w:val="0"/>
                <w:numId w:val="130"/>
              </w:numPr>
              <w:spacing w:before="120"/>
            </w:pPr>
            <w:r>
              <w:t xml:space="preserve">Were the documents </w:t>
            </w:r>
            <w:r w:rsidR="00AB0A1F">
              <w:t>publi</w:t>
            </w:r>
            <w:r>
              <w:t>shed</w:t>
            </w:r>
            <w:r w:rsidR="00AB0A1F">
              <w:t xml:space="preserve"> within 10 working days of the </w:t>
            </w:r>
            <w:r>
              <w:t xml:space="preserve">day after the </w:t>
            </w:r>
            <w:r w:rsidR="00AB0A1F">
              <w:t xml:space="preserve">documents </w:t>
            </w:r>
            <w:r>
              <w:t xml:space="preserve">were </w:t>
            </w:r>
            <w:r w:rsidR="00AB0A1F">
              <w:t>released to the FOI Applicant?</w:t>
            </w:r>
          </w:p>
        </w:tc>
        <w:tc>
          <w:tcPr>
            <w:tcW w:w="1694" w:type="dxa"/>
            <w:tcBorders>
              <w:top w:val="single" w:sz="4" w:space="0" w:color="auto"/>
              <w:left w:val="single" w:sz="4" w:space="0" w:color="auto"/>
              <w:bottom w:val="single" w:sz="4" w:space="0" w:color="auto"/>
              <w:right w:val="single" w:sz="4" w:space="0" w:color="auto"/>
            </w:tcBorders>
          </w:tcPr>
          <w:p w14:paraId="1ED8BACD" w14:textId="77777777" w:rsidR="00AB0A1F" w:rsidRDefault="00AB0A1F" w:rsidP="00AB0A1F">
            <w:pPr>
              <w:spacing w:before="120"/>
              <w:ind w:firstLine="175"/>
            </w:pPr>
            <w:r>
              <w:t>Yes</w:t>
            </w:r>
            <w:r>
              <w:tab/>
            </w:r>
            <w:sdt>
              <w:sdtPr>
                <w:id w:val="212187455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02D65B0" w14:textId="7B82FF12" w:rsidR="004B1C5A" w:rsidRDefault="00AB0A1F" w:rsidP="00357AF4">
            <w:pPr>
              <w:spacing w:after="240"/>
              <w:ind w:firstLine="175"/>
            </w:pPr>
            <w:r>
              <w:t>No</w:t>
            </w:r>
            <w:r>
              <w:tab/>
            </w:r>
            <w:sdt>
              <w:sdtPr>
                <w:id w:val="152296753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B1C5A" w14:paraId="212E9B34" w14:textId="77777777" w:rsidTr="00357AF4">
        <w:tc>
          <w:tcPr>
            <w:tcW w:w="7366" w:type="dxa"/>
            <w:tcBorders>
              <w:top w:val="single" w:sz="4" w:space="0" w:color="auto"/>
              <w:left w:val="single" w:sz="4" w:space="0" w:color="auto"/>
              <w:bottom w:val="single" w:sz="4" w:space="0" w:color="auto"/>
              <w:right w:val="single" w:sz="4" w:space="0" w:color="auto"/>
            </w:tcBorders>
          </w:tcPr>
          <w:p w14:paraId="67DD0219" w14:textId="69CE3079" w:rsidR="004B1C5A" w:rsidRDefault="00AB0A1F" w:rsidP="00357AF4">
            <w:pPr>
              <w:pStyle w:val="ListParagraph"/>
              <w:numPr>
                <w:ilvl w:val="0"/>
                <w:numId w:val="130"/>
              </w:numPr>
              <w:spacing w:before="120"/>
            </w:pPr>
            <w:r>
              <w:t xml:space="preserve">If </w:t>
            </w:r>
            <w:r w:rsidR="00090160">
              <w:t>the document</w:t>
            </w:r>
            <w:r w:rsidR="0026663C">
              <w:t>s</w:t>
            </w:r>
            <w:r w:rsidR="00090160">
              <w:t xml:space="preserve"> were not published </w:t>
            </w:r>
            <w:r>
              <w:t xml:space="preserve">within 10 working days </w:t>
            </w:r>
            <w:r w:rsidR="00090160">
              <w:t>of the day the documents were released to the FOI applicant, how long did it take for them to be published?</w:t>
            </w:r>
          </w:p>
        </w:tc>
        <w:tc>
          <w:tcPr>
            <w:tcW w:w="1694" w:type="dxa"/>
            <w:tcBorders>
              <w:top w:val="single" w:sz="4" w:space="0" w:color="auto"/>
              <w:left w:val="single" w:sz="4" w:space="0" w:color="auto"/>
              <w:bottom w:val="single" w:sz="4" w:space="0" w:color="auto"/>
              <w:right w:val="single" w:sz="4" w:space="0" w:color="auto"/>
            </w:tcBorders>
            <w:vAlign w:val="center"/>
          </w:tcPr>
          <w:p w14:paraId="24A676F7" w14:textId="296FC5B8" w:rsidR="004B1C5A" w:rsidRDefault="009D4E9C" w:rsidP="00357AF4">
            <w:pPr>
              <w:spacing w:after="0"/>
            </w:pPr>
            <w:r>
              <w:t xml:space="preserve">[NUMBER] </w:t>
            </w:r>
            <w:r w:rsidR="00090160">
              <w:t>days</w:t>
            </w:r>
          </w:p>
        </w:tc>
      </w:tr>
      <w:tr w:rsidR="0026663C" w14:paraId="0D2E1A99" w14:textId="77777777" w:rsidTr="00357AF4">
        <w:tc>
          <w:tcPr>
            <w:tcW w:w="7366" w:type="dxa"/>
            <w:tcBorders>
              <w:top w:val="single" w:sz="4" w:space="0" w:color="auto"/>
              <w:left w:val="single" w:sz="4" w:space="0" w:color="auto"/>
              <w:bottom w:val="single" w:sz="4" w:space="0" w:color="auto"/>
              <w:right w:val="single" w:sz="4" w:space="0" w:color="auto"/>
            </w:tcBorders>
          </w:tcPr>
          <w:p w14:paraId="6E541473" w14:textId="39B01805" w:rsidR="0026663C" w:rsidRDefault="0026663C">
            <w:pPr>
              <w:pStyle w:val="ListParagraph"/>
              <w:numPr>
                <w:ilvl w:val="0"/>
                <w:numId w:val="130"/>
              </w:numPr>
              <w:spacing w:before="120"/>
            </w:pPr>
            <w:r>
              <w:t>How long will the documents be retained on the disclosure log before being archived?</w:t>
            </w:r>
          </w:p>
        </w:tc>
        <w:tc>
          <w:tcPr>
            <w:tcW w:w="1694" w:type="dxa"/>
            <w:tcBorders>
              <w:top w:val="single" w:sz="4" w:space="0" w:color="auto"/>
              <w:left w:val="single" w:sz="4" w:space="0" w:color="auto"/>
              <w:bottom w:val="single" w:sz="4" w:space="0" w:color="auto"/>
              <w:right w:val="single" w:sz="4" w:space="0" w:color="auto"/>
            </w:tcBorders>
            <w:vAlign w:val="center"/>
          </w:tcPr>
          <w:p w14:paraId="2AA16861" w14:textId="7D8D3E8F" w:rsidR="0026663C" w:rsidRDefault="0026663C" w:rsidP="00357AF4">
            <w:pPr>
              <w:spacing w:after="0"/>
            </w:pPr>
            <w:r>
              <w:t>[NUMBER] years</w:t>
            </w:r>
          </w:p>
        </w:tc>
      </w:tr>
    </w:tbl>
    <w:p w14:paraId="4BF1DC48" w14:textId="77777777" w:rsidR="00C31C1A" w:rsidRPr="00357AF4" w:rsidRDefault="00C31C1A" w:rsidP="000C4063">
      <w:pPr>
        <w:pStyle w:val="Heading2"/>
        <w:rPr>
          <w:sz w:val="18"/>
          <w:szCs w:val="18"/>
        </w:rPr>
      </w:pPr>
    </w:p>
    <w:sectPr w:rsidR="00C31C1A" w:rsidRPr="00357AF4" w:rsidSect="00357AF4">
      <w:endnotePr>
        <w:numFmt w:val="decimal"/>
      </w:endnotePr>
      <w:pgSz w:w="11906" w:h="16838" w:code="9"/>
      <w:pgMar w:top="992" w:right="1418" w:bottom="1418" w:left="1418" w:header="556" w:footer="98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A79E0" w14:textId="77777777" w:rsidR="003651D4" w:rsidRDefault="003651D4" w:rsidP="00207961">
      <w:pPr>
        <w:spacing w:after="0"/>
      </w:pPr>
      <w:r>
        <w:separator/>
      </w:r>
    </w:p>
    <w:p w14:paraId="2C323475" w14:textId="77777777" w:rsidR="003651D4" w:rsidRDefault="003651D4"/>
  </w:endnote>
  <w:endnote w:type="continuationSeparator" w:id="0">
    <w:p w14:paraId="05D222EA" w14:textId="77777777" w:rsidR="003651D4" w:rsidRDefault="003651D4" w:rsidP="00207961">
      <w:pPr>
        <w:spacing w:after="0"/>
      </w:pPr>
      <w:r>
        <w:continuationSeparator/>
      </w:r>
    </w:p>
    <w:p w14:paraId="69921E42" w14:textId="77777777" w:rsidR="003651D4" w:rsidRDefault="003651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ource Sans Pro">
    <w:altName w:val="Arial"/>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SimHei">
    <w:panose1 w:val="02010600030101010101"/>
    <w:charset w:val="86"/>
    <w:family w:val="modern"/>
    <w:pitch w:val="fixed"/>
    <w:sig w:usb0="800002BF" w:usb1="38CF7CFA" w:usb2="00000016" w:usb3="00000000" w:csb0="00040001" w:csb1="00000000"/>
  </w:font>
  <w:font w:name="Source Sans Pro SemiBold">
    <w:charset w:val="00"/>
    <w:family w:val="swiss"/>
    <w:pitch w:val="variable"/>
    <w:sig w:usb0="600002F7" w:usb1="02000001" w:usb2="00000000" w:usb3="00000000" w:csb0="0000019F" w:csb1="00000000"/>
  </w:font>
  <w:font w:name="Dotum">
    <w:panose1 w:val="020B0600000101010101"/>
    <w:charset w:val="81"/>
    <w:family w:val="swiss"/>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ource Sans Pro Light">
    <w:altName w:val="Source Sans Pro Light"/>
    <w:charset w:val="00"/>
    <w:family w:val="swiss"/>
    <w:pitch w:val="variable"/>
    <w:sig w:usb0="600002F7" w:usb1="02000001" w:usb2="00000000" w:usb3="00000000" w:csb0="0000019F" w:csb1="00000000"/>
  </w:font>
  <w:font w:name="Monaco">
    <w:altName w:val="Courier New"/>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ayoutGrid"/>
      <w:tblW w:w="5000" w:type="pct"/>
      <w:tblLayout w:type="fixed"/>
      <w:tblLook w:val="04A0" w:firstRow="1" w:lastRow="0" w:firstColumn="1" w:lastColumn="0" w:noHBand="0" w:noVBand="1"/>
      <w:tblCaption w:val="Footer Grid"/>
      <w:tblDescription w:val="Footer Grid — Containing page number"/>
    </w:tblPr>
    <w:tblGrid>
      <w:gridCol w:w="9355"/>
    </w:tblGrid>
    <w:tr w:rsidR="001F1321" w14:paraId="47991F88" w14:textId="77777777" w:rsidTr="00BD49D6">
      <w:trPr>
        <w:tblHeader/>
      </w:trPr>
      <w:tc>
        <w:tcPr>
          <w:tcW w:w="9570" w:type="dxa"/>
        </w:tcPr>
        <w:p w14:paraId="3649C862" w14:textId="77777777" w:rsidR="001F1321" w:rsidRPr="00093B03" w:rsidRDefault="001F1321">
          <w:pPr>
            <w:pStyle w:val="Footer"/>
            <w:rPr>
              <w:rStyle w:val="PageNumber"/>
            </w:rPr>
          </w:pPr>
          <w:r w:rsidRPr="00093B03">
            <w:rPr>
              <w:rStyle w:val="PageNumber"/>
            </w:rPr>
            <w:fldChar w:fldCharType="begin"/>
          </w:r>
          <w:r w:rsidRPr="00093B03">
            <w:rPr>
              <w:rStyle w:val="PageNumber"/>
            </w:rPr>
            <w:instrText xml:space="preserve"> PAGE  \* Arabic  \* MERGEFORMAT </w:instrText>
          </w:r>
          <w:r w:rsidRPr="00093B03">
            <w:rPr>
              <w:rStyle w:val="PageNumber"/>
            </w:rPr>
            <w:fldChar w:fldCharType="separate"/>
          </w:r>
          <w:r>
            <w:rPr>
              <w:rStyle w:val="PageNumber"/>
              <w:noProof/>
            </w:rPr>
            <w:t>4</w:t>
          </w:r>
          <w:r w:rsidRPr="00093B03">
            <w:rPr>
              <w:rStyle w:val="PageNumber"/>
            </w:rPr>
            <w:fldChar w:fldCharType="end"/>
          </w:r>
        </w:p>
      </w:tc>
    </w:tr>
  </w:tbl>
  <w:p w14:paraId="585B8CA1" w14:textId="77777777" w:rsidR="001F1321" w:rsidRDefault="001F1321" w:rsidP="00093B03">
    <w:pPr>
      <w:pStyle w:val="Footer"/>
    </w:pPr>
    <w:r>
      <w:rPr>
        <w:noProof/>
        <w:lang w:eastAsia="en-AU"/>
      </w:rPr>
      <w:drawing>
        <wp:anchor distT="0" distB="0" distL="114300" distR="114300" simplePos="0" relativeHeight="251671552" behindDoc="1" locked="1" layoutInCell="0" allowOverlap="1" wp14:anchorId="65CD839C" wp14:editId="183EE4D8">
          <wp:simplePos x="0" y="0"/>
          <wp:positionH relativeFrom="page">
            <wp:posOffset>0</wp:posOffset>
          </wp:positionH>
          <wp:positionV relativeFrom="page">
            <wp:align>bottom</wp:align>
          </wp:positionV>
          <wp:extent cx="7635600" cy="15696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extLst>
                      <a:ext uri="{28A0092B-C50C-407E-A947-70E740481C1C}">
                        <a14:useLocalDpi xmlns:a14="http://schemas.microsoft.com/office/drawing/2010/main" val="0"/>
                      </a:ext>
                    </a:extLst>
                  </a:blip>
                  <a:stretch>
                    <a:fillRect/>
                  </a:stretch>
                </pic:blipFill>
                <pic:spPr>
                  <a:xfrm flipH="1">
                    <a:off x="0" y="0"/>
                    <a:ext cx="7635600" cy="1569600"/>
                  </a:xfrm>
                  <a:prstGeom prst="rect">
                    <a:avLst/>
                  </a:prstGeom>
                </pic:spPr>
              </pic:pic>
            </a:graphicData>
          </a:graphic>
          <wp14:sizeRelH relativeFrom="page">
            <wp14:pctWidth>0</wp14:pctWidth>
          </wp14:sizeRelH>
          <wp14:sizeRelV relativeFrom="page">
            <wp14:pctHeight>0</wp14:pctHeight>
          </wp14:sizeRelV>
        </wp:anchor>
      </w:drawing>
    </w:r>
  </w:p>
  <w:p w14:paraId="4B2EEFBA" w14:textId="77777777" w:rsidR="001F1321" w:rsidRDefault="001F132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111C4" w14:textId="77777777" w:rsidR="001F1321" w:rsidRPr="00462513" w:rsidRDefault="001F1321" w:rsidP="00BD49D6">
    <w:pPr>
      <w:pStyle w:val="Footer"/>
    </w:pPr>
    <w:r w:rsidRPr="00462513">
      <w:fldChar w:fldCharType="begin"/>
    </w:r>
    <w:r w:rsidRPr="00462513">
      <w:instrText xml:space="preserve"> PAGE   \* MERGEFORMAT </w:instrText>
    </w:r>
    <w:r w:rsidRPr="00462513">
      <w:fldChar w:fldCharType="separate"/>
    </w:r>
    <w:r>
      <w:rPr>
        <w:noProof/>
      </w:rPr>
      <w:t>2</w:t>
    </w:r>
    <w:r w:rsidRPr="00462513">
      <w:fldChar w:fldCharType="end"/>
    </w:r>
  </w:p>
  <w:p w14:paraId="5AD33FFA" w14:textId="77777777" w:rsidR="001F1321" w:rsidRPr="00462513" w:rsidRDefault="001F1321" w:rsidP="00BD49D6">
    <w:pPr>
      <w:pStyle w:val="Footer"/>
      <w:rPr>
        <w:rStyle w:val="Strong"/>
      </w:rPr>
    </w:pPr>
    <w:r w:rsidRPr="00462513">
      <w:rPr>
        <w:rStyle w:val="Strong"/>
      </w:rPr>
      <w:t>oaic.gov.au</w:t>
    </w:r>
  </w:p>
  <w:p w14:paraId="754A475D" w14:textId="77777777" w:rsidR="001F1321" w:rsidRDefault="001F1321">
    <w:r>
      <w:rPr>
        <w:noProof/>
        <w:lang w:eastAsia="en-AU"/>
      </w:rPr>
      <mc:AlternateContent>
        <mc:Choice Requires="wpg">
          <w:drawing>
            <wp:anchor distT="0" distB="0" distL="114300" distR="114300" simplePos="0" relativeHeight="251675648" behindDoc="1" locked="1" layoutInCell="1" allowOverlap="1" wp14:anchorId="3FDDFEE5" wp14:editId="42887B85">
              <wp:simplePos x="0" y="0"/>
              <wp:positionH relativeFrom="page">
                <wp:posOffset>6316980</wp:posOffset>
              </wp:positionH>
              <wp:positionV relativeFrom="page">
                <wp:posOffset>9537700</wp:posOffset>
              </wp:positionV>
              <wp:extent cx="881380" cy="881380"/>
              <wp:effectExtent l="0" t="0" r="0" b="0"/>
              <wp:wrapNone/>
              <wp:docPr id="26" name="Group 26"/>
              <wp:cNvGraphicFramePr/>
              <a:graphic xmlns:a="http://schemas.openxmlformats.org/drawingml/2006/main">
                <a:graphicData uri="http://schemas.microsoft.com/office/word/2010/wordprocessingGroup">
                  <wpg:wgp>
                    <wpg:cNvGrpSpPr/>
                    <wpg:grpSpPr>
                      <a:xfrm>
                        <a:off x="0" y="0"/>
                        <a:ext cx="881380" cy="881380"/>
                        <a:chOff x="0" y="0"/>
                        <a:chExt cx="882000" cy="882000"/>
                      </a:xfrm>
                    </wpg:grpSpPr>
                    <wps:wsp>
                      <wps:cNvPr id="27" name="Rectangle 27"/>
                      <wps:cNvSpPr>
                        <a:spLocks noChangeAspect="1"/>
                      </wps:cNvSpPr>
                      <wps:spPr>
                        <a:xfrm>
                          <a:off x="0" y="0"/>
                          <a:ext cx="882000" cy="882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8" name="Picture 8"/>
                        <pic:cNvPicPr>
                          <a:picLocks noChangeAspect="1"/>
                        </pic:cNvPicPr>
                      </pic:nvPicPr>
                      <pic:blipFill>
                        <a:blip r:embed="rId1"/>
                        <a:stretch>
                          <a:fillRect/>
                        </a:stretch>
                      </pic:blipFill>
                      <pic:spPr>
                        <a:xfrm>
                          <a:off x="236764" y="375558"/>
                          <a:ext cx="413385" cy="12573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AF009AB" id="Group 26" o:spid="_x0000_s1026" style="position:absolute;margin-left:497.4pt;margin-top:751pt;width:69.4pt;height:69.4pt;z-index:-251640832;mso-position-horizontal-relative:page;mso-position-vertical-relative:page;mso-width-relative:margin;mso-height-relative:margin" coordsize="8820,882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">
              <v:rect id="Rectangle 27" o:spid="_x0000_s1027" style="position:absolute;width:8820;height:8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" fillcolor="#002a3a [3215]" stroked="f" strokeweight="2pt">
                <o:lock v:ext="edit" aspectratio="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left:2367;top:3755;width:4134;height:1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">
                <v:imagedata r:id="rId2" o:title=""/>
              </v:shape>
              <w10:wrap anchorx="page" anchory="page"/>
              <w10:anchorlock/>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554BF" w14:textId="77777777" w:rsidR="00BD0D23" w:rsidRDefault="00BD0D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E5F8F" w14:textId="77777777" w:rsidR="001F1321" w:rsidRPr="00EB4F37" w:rsidRDefault="001F1321" w:rsidP="00C31C1A">
    <w:pPr>
      <w:pStyle w:val="Footer"/>
      <w:tabs>
        <w:tab w:val="right" w:pos="14428"/>
      </w:tabs>
      <w:jc w:val="left"/>
      <w:rPr>
        <w:rStyle w:val="Strong"/>
        <w:rFonts w:ascii="Source Sans Pro SemiBold" w:hAnsi="Source Sans Pro SemiBold"/>
        <w:b w:val="0"/>
        <w:bCs w:val="0"/>
      </w:rPr>
    </w:pPr>
    <w:r>
      <w:rPr>
        <w:sz w:val="16"/>
        <w:szCs w:val="16"/>
      </w:rPr>
      <w:t>Office of the Australian Information Commissioner — FOI Guidelines</w:t>
    </w:r>
    <w:r>
      <w:rPr>
        <w:rFonts w:ascii="Source Sans Pro SemiBold" w:hAnsi="Source Sans Pro SemiBold"/>
        <w:sz w:val="16"/>
        <w:szCs w:val="16"/>
      </w:rPr>
      <w:t xml:space="preserve"> </w:t>
    </w:r>
    <w:r>
      <w:rPr>
        <w:rFonts w:ascii="Source Sans Pro SemiBold" w:hAnsi="Source Sans Pro SemiBold"/>
        <w:sz w:val="16"/>
        <w:szCs w:val="16"/>
      </w:rPr>
      <w:tab/>
      <w:t xml:space="preserve">Page </w:t>
    </w:r>
    <w:r>
      <w:rPr>
        <w:rFonts w:ascii="Source Sans Pro SemiBold" w:hAnsi="Source Sans Pro SemiBold"/>
        <w:sz w:val="16"/>
        <w:szCs w:val="16"/>
      </w:rPr>
      <w:fldChar w:fldCharType="begin"/>
    </w:r>
    <w:r>
      <w:rPr>
        <w:rFonts w:ascii="Source Sans Pro SemiBold" w:hAnsi="Source Sans Pro SemiBold"/>
        <w:sz w:val="16"/>
        <w:szCs w:val="16"/>
      </w:rPr>
      <w:instrText xml:space="preserve"> PAGE   \* MERGEFORMAT </w:instrText>
    </w:r>
    <w:r>
      <w:rPr>
        <w:rFonts w:ascii="Source Sans Pro SemiBold" w:hAnsi="Source Sans Pro SemiBold"/>
        <w:sz w:val="16"/>
        <w:szCs w:val="16"/>
      </w:rPr>
      <w:fldChar w:fldCharType="separate"/>
    </w:r>
    <w:r>
      <w:rPr>
        <w:rFonts w:ascii="Source Sans Pro SemiBold" w:hAnsi="Source Sans Pro SemiBold"/>
        <w:sz w:val="16"/>
        <w:szCs w:val="16"/>
      </w:rPr>
      <w:t>17</w:t>
    </w:r>
    <w:r>
      <w:rPr>
        <w:rFonts w:ascii="Source Sans Pro SemiBold" w:hAnsi="Source Sans Pro SemiBold"/>
        <w:sz w:val="16"/>
        <w:szCs w:val="16"/>
      </w:rPr>
      <w:fldChar w:fldCharType="end"/>
    </w:r>
  </w:p>
  <w:p w14:paraId="316C2AE8" w14:textId="42E6469F" w:rsidR="001F1321" w:rsidRDefault="001F1321">
    <w:pPr>
      <w:pStyle w:val="Footer"/>
    </w:pPr>
    <w:r w:rsidRPr="00C579AF">
      <w:rPr>
        <w:noProof/>
      </w:rPr>
      <w:drawing>
        <wp:anchor distT="0" distB="0" distL="114300" distR="114300" simplePos="0" relativeHeight="251669504" behindDoc="0" locked="0" layoutInCell="1" allowOverlap="1" wp14:anchorId="1DB6D6E8" wp14:editId="0A5F46D8">
          <wp:simplePos x="0" y="0"/>
          <wp:positionH relativeFrom="column">
            <wp:posOffset>5760085</wp:posOffset>
          </wp:positionH>
          <wp:positionV relativeFrom="paragraph">
            <wp:posOffset>22860</wp:posOffset>
          </wp:positionV>
          <wp:extent cx="393065" cy="119380"/>
          <wp:effectExtent l="0" t="0" r="0" b="0"/>
          <wp:wrapNone/>
          <wp:docPr id="1360923083" name="Picture 1360923083">
            <a:extLst xmlns:a="http://schemas.openxmlformats.org/drawingml/2006/main">
              <a:ext uri="{FF2B5EF4-FFF2-40B4-BE49-F238E27FC236}">
                <a16:creationId xmlns:a16="http://schemas.microsoft.com/office/drawing/2014/main" id="{712CA3A5-7006-4389-895D-9282C2A1C0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8">
                    <a:extLst>
                      <a:ext uri="{FF2B5EF4-FFF2-40B4-BE49-F238E27FC236}">
                        <a16:creationId xmlns:a16="http://schemas.microsoft.com/office/drawing/2014/main" id="{712CA3A5-7006-4389-895D-9282C2A1C0B2}"/>
                      </a:ext>
                    </a:extLst>
                  </pic:cNvPr>
                  <pic:cNvPicPr>
                    <a:picLocks noChangeAspect="1"/>
                  </pic:cNvPicPr>
                </pic:nvPicPr>
                <pic:blipFill>
                  <a:blip r:embed="rId1"/>
                  <a:stretch>
                    <a:fillRect/>
                  </a:stretch>
                </pic:blipFill>
                <pic:spPr>
                  <a:xfrm>
                    <a:off x="0" y="0"/>
                    <a:ext cx="393065" cy="11938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B4B4B" w14:textId="77777777" w:rsidR="003651D4" w:rsidRDefault="003651D4" w:rsidP="004F05EC">
      <w:pPr>
        <w:spacing w:before="60" w:after="60"/>
      </w:pPr>
      <w:r>
        <w:separator/>
      </w:r>
    </w:p>
  </w:footnote>
  <w:footnote w:type="continuationSeparator" w:id="0">
    <w:p w14:paraId="308397D8" w14:textId="77777777" w:rsidR="003651D4" w:rsidRDefault="003651D4" w:rsidP="00207961">
      <w:pPr>
        <w:spacing w:after="0"/>
      </w:pPr>
      <w:r>
        <w:continuationSeparator/>
      </w:r>
    </w:p>
    <w:p w14:paraId="4364F5DC" w14:textId="77777777" w:rsidR="003651D4" w:rsidRDefault="003651D4"/>
  </w:footnote>
  <w:footnote w:id="1">
    <w:p w14:paraId="417A23F2" w14:textId="5EA1514E" w:rsidR="00AE4B39" w:rsidRDefault="00AE4B39" w:rsidP="00357AF4">
      <w:pPr>
        <w:pStyle w:val="FootnoteText"/>
        <w:tabs>
          <w:tab w:val="left" w:pos="284"/>
        </w:tabs>
      </w:pPr>
      <w:r>
        <w:rPr>
          <w:rStyle w:val="FootnoteReference"/>
        </w:rPr>
        <w:footnoteRef/>
      </w:r>
      <w:r>
        <w:t xml:space="preserve"> </w:t>
      </w:r>
      <w:r>
        <w:tab/>
        <w:t xml:space="preserve">As at the date of publication of this </w:t>
      </w:r>
      <w:r w:rsidR="00B85361">
        <w:t>P</w:t>
      </w:r>
      <w:r>
        <w:t>art, there is no Information Commissioner Determination in place.</w:t>
      </w:r>
    </w:p>
  </w:footnote>
  <w:footnote w:id="2">
    <w:p w14:paraId="5BDD66B5" w14:textId="60AD16F4" w:rsidR="004A1C73" w:rsidRDefault="004A1C73" w:rsidP="00357AF4">
      <w:pPr>
        <w:pStyle w:val="FootnoteText"/>
        <w:tabs>
          <w:tab w:val="left" w:pos="284"/>
        </w:tabs>
        <w:ind w:left="284" w:hanging="284"/>
      </w:pPr>
      <w:r>
        <w:rPr>
          <w:rStyle w:val="FootnoteReference"/>
        </w:rPr>
        <w:footnoteRef/>
      </w:r>
      <w:r>
        <w:t xml:space="preserve"> </w:t>
      </w:r>
      <w:r>
        <w:tab/>
        <w:t xml:space="preserve">Where possible, agencies and ministers </w:t>
      </w:r>
      <w:r w:rsidR="00311D71">
        <w:t>should</w:t>
      </w:r>
      <w:r>
        <w:t xml:space="preserve"> include disclosure log publication as a mandatory step in their FOI case management system. For example, when a decision is made to grant access to documents, a new action ‘Publish on disclosure log?’ could be programmed to appear. If the response is that publication would be unreasonable, a drop-down menu could provide for one of the 4 exceptions in s 11C(1) to be selected. Where the released documents are to be published, the case management system can be programmed to generate a separate step requiring the date of publication to be confirmed. This will enable agencies to monitor timeliness of publication to ensure s 11C(6) is complied with.</w:t>
      </w:r>
    </w:p>
  </w:footnote>
  <w:footnote w:id="3">
    <w:p w14:paraId="39D08C62" w14:textId="5FC6C27F" w:rsidR="001F1321" w:rsidRDefault="001F1321" w:rsidP="00357AF4">
      <w:pPr>
        <w:pStyle w:val="FootnoteText"/>
        <w:tabs>
          <w:tab w:val="left" w:pos="284"/>
        </w:tabs>
        <w:ind w:left="284" w:hanging="284"/>
      </w:pPr>
      <w:r>
        <w:rPr>
          <w:rStyle w:val="FootnoteReference"/>
        </w:rPr>
        <w:footnoteRef/>
      </w:r>
      <w:r>
        <w:t xml:space="preserve"> </w:t>
      </w:r>
      <w:r>
        <w:tab/>
        <w:t>The OAIC has published sample FOI notices</w:t>
      </w:r>
      <w:r w:rsidRPr="00EC6230">
        <w:t xml:space="preserve"> </w:t>
      </w:r>
      <w:r>
        <w:t xml:space="preserve">that agencies and ministers can use for their own purposes. The </w:t>
      </w:r>
      <w:r w:rsidRPr="00B17415">
        <w:t>sample notices</w:t>
      </w:r>
      <w:r w:rsidRPr="008F3EF1">
        <w:t xml:space="preserve"> are available as an agency resource</w:t>
      </w:r>
      <w:r>
        <w:t xml:space="preserve"> at </w:t>
      </w:r>
      <w:hyperlink r:id="rId1" w:history="1">
        <w:r w:rsidR="00A45B00" w:rsidRPr="00A45B00">
          <w:rPr>
            <w:rStyle w:val="Hyperlink"/>
          </w:rPr>
          <w:t>Sample freedom of information notices | OAIC</w:t>
        </w:r>
      </w:hyperlink>
      <w:r w:rsidR="00A45B00">
        <w:t>.</w:t>
      </w:r>
    </w:p>
  </w:footnote>
  <w:footnote w:id="4">
    <w:p w14:paraId="14C8B7CD" w14:textId="18644206" w:rsidR="001F1321" w:rsidRDefault="001F1321" w:rsidP="00930DCB">
      <w:pPr>
        <w:pStyle w:val="FootnoteText"/>
        <w:tabs>
          <w:tab w:val="left" w:pos="284"/>
        </w:tabs>
        <w:ind w:left="284" w:hanging="284"/>
      </w:pPr>
      <w:r>
        <w:rPr>
          <w:rStyle w:val="FootnoteReference"/>
        </w:rPr>
        <w:footnoteRef/>
      </w:r>
      <w:r>
        <w:t xml:space="preserve"> </w:t>
      </w:r>
      <w:r>
        <w:tab/>
        <w:t>Available at</w:t>
      </w:r>
      <w:r w:rsidR="00D7427E">
        <w:t xml:space="preserve"> </w:t>
      </w:r>
      <w:hyperlink r:id="rId2" w:history="1">
        <w:r w:rsidR="00D7427E" w:rsidRPr="00D7427E">
          <w:rPr>
            <w:rStyle w:val="Hyperlink"/>
          </w:rPr>
          <w:t>Information Publication Scheme and disclosure log determinations policy and procedure | OAIC</w:t>
        </w:r>
      </w:hyperlink>
      <w:r w:rsidR="00D7427E">
        <w:t>.</w:t>
      </w:r>
    </w:p>
  </w:footnote>
  <w:footnote w:id="5">
    <w:p w14:paraId="47F6705D" w14:textId="591CDC25" w:rsidR="00B04D64" w:rsidRPr="00336D04" w:rsidRDefault="00B04D64" w:rsidP="00930DCB">
      <w:pPr>
        <w:pStyle w:val="FootnoteText"/>
        <w:ind w:left="284" w:hanging="284"/>
        <w:rPr>
          <w:lang w:val="en-US"/>
        </w:rPr>
      </w:pPr>
      <w:r>
        <w:rPr>
          <w:rStyle w:val="FootnoteReference"/>
        </w:rPr>
        <w:footnoteRef/>
      </w:r>
      <w:r>
        <w:t xml:space="preserve"> </w:t>
      </w:r>
      <w:r>
        <w:tab/>
      </w:r>
      <w:r>
        <w:rPr>
          <w:lang w:val="en-US"/>
        </w:rPr>
        <w:t>See ‘</w:t>
      </w:r>
      <w:hyperlink r:id="rId3" w:history="1">
        <w:r w:rsidRPr="00641542">
          <w:rPr>
            <w:rStyle w:val="Hyperlink"/>
            <w:i/>
            <w:iCs/>
            <w:lang w:val="en-US"/>
          </w:rPr>
          <w:t xml:space="preserve">ZJ' and Chief Executive Officer for the Australian Centre for International Agricultural Research (Privacy) </w:t>
        </w:r>
        <w:r w:rsidRPr="00336D04">
          <w:rPr>
            <w:rStyle w:val="Hyperlink"/>
            <w:lang w:val="en-US"/>
          </w:rPr>
          <w:t>[2021] AICmr 92 (17 December 2021</w:t>
        </w:r>
      </w:hyperlink>
      <w:r w:rsidRPr="00336D04">
        <w:rPr>
          <w:lang w:val="en-US"/>
        </w:rPr>
        <w:t>)</w:t>
      </w:r>
      <w:r>
        <w:rPr>
          <w:lang w:val="en-US"/>
        </w:rPr>
        <w:t xml:space="preserve"> where the Australian Information Commissioner and Privacy Commissioner found the agency had i</w:t>
      </w:r>
      <w:r w:rsidRPr="00336D04">
        <w:rPr>
          <w:lang w:val="en-US"/>
        </w:rPr>
        <w:t>nterfered with the complainant’s privacy by disclosing their sensitive and personal information on a disclosure log in breach of A</w:t>
      </w:r>
      <w:r>
        <w:rPr>
          <w:lang w:val="en-US"/>
        </w:rPr>
        <w:t xml:space="preserve">ustralian Privacy Principle </w:t>
      </w:r>
      <w:r w:rsidRPr="00336D04">
        <w:rPr>
          <w:lang w:val="en-US"/>
        </w:rPr>
        <w:t>6</w:t>
      </w:r>
      <w:r>
        <w:rPr>
          <w:lang w:val="en-US"/>
        </w:rPr>
        <w:t>. In that determination, the agency did not satisfy the Commissioner that it turned its mind to whether publication was ‘unreasonable’ or that it was open to find that publication was not unreasonable – see [80]-[90].</w:t>
      </w:r>
    </w:p>
  </w:footnote>
  <w:footnote w:id="6">
    <w:p w14:paraId="587FEFAF" w14:textId="77777777" w:rsidR="001F1321" w:rsidRDefault="001F1321" w:rsidP="00357AF4">
      <w:pPr>
        <w:pStyle w:val="FootnoteText"/>
        <w:tabs>
          <w:tab w:val="left" w:pos="284"/>
        </w:tabs>
      </w:pPr>
      <w:r>
        <w:rPr>
          <w:rStyle w:val="FootnoteReference"/>
        </w:rPr>
        <w:footnoteRef/>
      </w:r>
      <w:r>
        <w:t xml:space="preserve"> </w:t>
      </w:r>
      <w:r>
        <w:tab/>
        <w:t xml:space="preserve">Explanatory Memorandum to the </w:t>
      </w:r>
      <w:r w:rsidRPr="00627650">
        <w:t>Freedom of Information Amendment (Reform) Bill 2009</w:t>
      </w:r>
      <w:r w:rsidRPr="00C1690B">
        <w:t xml:space="preserve">, p </w:t>
      </w:r>
      <w:r w:rsidRPr="00917360">
        <w:t>14</w:t>
      </w:r>
      <w:r w:rsidRPr="00C1690B">
        <w:t>.</w:t>
      </w:r>
    </w:p>
  </w:footnote>
  <w:footnote w:id="7">
    <w:p w14:paraId="010D30AA" w14:textId="722CC480" w:rsidR="00D97987" w:rsidRDefault="00D97987" w:rsidP="00930DCB">
      <w:pPr>
        <w:pStyle w:val="FootnoteText"/>
        <w:tabs>
          <w:tab w:val="left" w:pos="284"/>
        </w:tabs>
      </w:pPr>
      <w:r>
        <w:rPr>
          <w:rStyle w:val="FootnoteReference"/>
        </w:rPr>
        <w:footnoteRef/>
      </w:r>
      <w:r>
        <w:t xml:space="preserve"> </w:t>
      </w:r>
      <w:r>
        <w:tab/>
      </w:r>
      <w:hyperlink r:id="rId4" w:history="1">
        <w:r w:rsidRPr="00930DCB">
          <w:rPr>
            <w:rStyle w:val="Hyperlink"/>
            <w:i/>
            <w:iCs/>
          </w:rPr>
          <w:t xml:space="preserve">Electronic Transactions Act </w:t>
        </w:r>
        <w:r w:rsidRPr="00D97987">
          <w:rPr>
            <w:rStyle w:val="Hyperlink"/>
            <w:i/>
            <w:iCs/>
          </w:rPr>
          <w:t>1</w:t>
        </w:r>
        <w:r w:rsidRPr="00357AF4">
          <w:rPr>
            <w:rStyle w:val="Hyperlink"/>
            <w:i/>
            <w:iCs/>
          </w:rPr>
          <w:t>999</w:t>
        </w:r>
      </w:hyperlink>
      <w:r>
        <w:t xml:space="preserve"> s 14A.</w:t>
      </w:r>
    </w:p>
  </w:footnote>
  <w:footnote w:id="8">
    <w:p w14:paraId="7EE0D35A" w14:textId="2C939C72" w:rsidR="00D97987" w:rsidRDefault="00D97987" w:rsidP="00930DCB">
      <w:pPr>
        <w:pStyle w:val="FootnoteText"/>
        <w:tabs>
          <w:tab w:val="left" w:pos="284"/>
        </w:tabs>
      </w:pPr>
      <w:r>
        <w:rPr>
          <w:rStyle w:val="FootnoteReference"/>
        </w:rPr>
        <w:footnoteRef/>
      </w:r>
      <w:r>
        <w:t xml:space="preserve"> </w:t>
      </w:r>
      <w:r>
        <w:tab/>
      </w:r>
      <w:hyperlink r:id="rId5" w:history="1">
        <w:r w:rsidR="002D708E" w:rsidRPr="00357AF4">
          <w:rPr>
            <w:rStyle w:val="Hyperlink"/>
            <w:i/>
            <w:iCs/>
          </w:rPr>
          <w:t>Acts Interpretation Act</w:t>
        </w:r>
        <w:r w:rsidRPr="002D708E">
          <w:rPr>
            <w:rStyle w:val="Hyperlink"/>
          </w:rPr>
          <w:t xml:space="preserve"> </w:t>
        </w:r>
        <w:r w:rsidRPr="00357AF4">
          <w:rPr>
            <w:rStyle w:val="Hyperlink"/>
            <w:i/>
            <w:iCs/>
          </w:rPr>
          <w:t>1901</w:t>
        </w:r>
      </w:hyperlink>
      <w:r w:rsidR="00D7427E">
        <w:t xml:space="preserve"> s 29</w:t>
      </w:r>
      <w:r>
        <w:t>.</w:t>
      </w:r>
    </w:p>
  </w:footnote>
  <w:footnote w:id="9">
    <w:p w14:paraId="2118E1D9" w14:textId="6B633482" w:rsidR="001F1321" w:rsidRPr="00FB19E5" w:rsidRDefault="001F1321" w:rsidP="00357AF4">
      <w:pPr>
        <w:pStyle w:val="FootnoteText"/>
        <w:tabs>
          <w:tab w:val="left" w:pos="284"/>
        </w:tabs>
        <w:rPr>
          <w:i/>
        </w:rPr>
      </w:pPr>
      <w:r>
        <w:rPr>
          <w:rStyle w:val="FootnoteReference"/>
        </w:rPr>
        <w:footnoteRef/>
      </w:r>
      <w:r>
        <w:t xml:space="preserve"> </w:t>
      </w:r>
      <w:r>
        <w:tab/>
        <w:t xml:space="preserve">See </w:t>
      </w:r>
      <w:r w:rsidRPr="00507CCD">
        <w:t>Explanatory Memorandum to the Freedom of Information Amendment (Reform) Bill 2009, p 14</w:t>
      </w:r>
      <w:r w:rsidRPr="00507CCD">
        <w:rPr>
          <w:i/>
        </w:rPr>
        <w:t>.</w:t>
      </w:r>
    </w:p>
  </w:footnote>
  <w:footnote w:id="10">
    <w:p w14:paraId="66C2143C" w14:textId="3E98C62A" w:rsidR="001F1321" w:rsidRDefault="001F1321" w:rsidP="00DA1484">
      <w:pPr>
        <w:pStyle w:val="FootnoteText"/>
        <w:tabs>
          <w:tab w:val="left" w:pos="426"/>
        </w:tabs>
        <w:ind w:left="426" w:hanging="426"/>
      </w:pPr>
      <w:r>
        <w:rPr>
          <w:rStyle w:val="FootnoteReference"/>
        </w:rPr>
        <w:footnoteRef/>
      </w:r>
      <w:r>
        <w:t xml:space="preserve"> </w:t>
      </w:r>
      <w:r>
        <w:tab/>
        <w:t xml:space="preserve">See </w:t>
      </w:r>
      <w:hyperlink r:id="rId6" w:history="1">
        <w:r w:rsidR="009C1880" w:rsidRPr="009C1880">
          <w:rPr>
            <w:rStyle w:val="Hyperlink"/>
          </w:rPr>
          <w:t>Australian Government intellectual property manual | Attorney-General's Department</w:t>
        </w:r>
      </w:hyperlink>
      <w:r w:rsidR="009C1880">
        <w:t xml:space="preserve"> </w:t>
      </w:r>
      <w:r w:rsidRPr="005F083C">
        <w:t xml:space="preserve">and </w:t>
      </w:r>
      <w:hyperlink r:id="rId7" w:history="1">
        <w:r w:rsidR="009C1880" w:rsidRPr="009C1880">
          <w:rPr>
            <w:rStyle w:val="Hyperlink"/>
          </w:rPr>
          <w:t>Guidelines on licensing public sector information for Australian Government entities | Attorney-General's Department</w:t>
        </w:r>
      </w:hyperlink>
      <w:r w:rsidR="009C1880">
        <w:rPr>
          <w:i/>
        </w:rPr>
        <w:t>.</w:t>
      </w:r>
      <w:r w:rsidR="009C1880" w:rsidDel="009C1880">
        <w:rPr>
          <w:i/>
        </w:rPr>
        <w:t xml:space="preserve"> </w:t>
      </w:r>
      <w:r>
        <w:t xml:space="preserve">See also </w:t>
      </w:r>
      <w:hyperlink r:id="rId8" w:history="1">
        <w:r w:rsidR="009C1880" w:rsidRPr="009C1880">
          <w:rPr>
            <w:rStyle w:val="Hyperlink"/>
          </w:rPr>
          <w:t>Principles on open public sector information | OAIC</w:t>
        </w:r>
      </w:hyperlink>
      <w:r>
        <w:t>.</w:t>
      </w:r>
    </w:p>
  </w:footnote>
  <w:footnote w:id="11">
    <w:p w14:paraId="71FDF5FF" w14:textId="28EA56A8" w:rsidR="001F1321" w:rsidRPr="00D94375" w:rsidRDefault="001F1321" w:rsidP="00DA1484">
      <w:pPr>
        <w:pStyle w:val="FootnoteText"/>
        <w:tabs>
          <w:tab w:val="left" w:pos="426"/>
        </w:tabs>
        <w:ind w:left="426" w:hanging="426"/>
        <w:rPr>
          <w:lang w:val="en-US"/>
        </w:rPr>
      </w:pPr>
      <w:r>
        <w:rPr>
          <w:rStyle w:val="FootnoteReference"/>
        </w:rPr>
        <w:footnoteRef/>
      </w:r>
      <w:r>
        <w:t xml:space="preserve"> </w:t>
      </w:r>
      <w:r>
        <w:tab/>
        <w:t>See</w:t>
      </w:r>
      <w:r w:rsidR="008F5459">
        <w:t xml:space="preserve"> </w:t>
      </w:r>
      <w:hyperlink r:id="rId9" w:history="1">
        <w:r w:rsidR="008F5459" w:rsidRPr="008F5459">
          <w:rPr>
            <w:rStyle w:val="Hyperlink"/>
          </w:rPr>
          <w:t>Guide to the access of information page on an agency's website | OAIC</w:t>
        </w:r>
      </w:hyperlink>
      <w:r>
        <w:rPr>
          <w:lang w:val="en-US"/>
        </w:rPr>
        <w:t xml:space="preserve">. </w:t>
      </w:r>
    </w:p>
  </w:footnote>
  <w:footnote w:id="12">
    <w:p w14:paraId="6E772E84" w14:textId="7E102B96" w:rsidR="001F1321" w:rsidRPr="00FC44D2" w:rsidRDefault="001F1321" w:rsidP="00DA1484">
      <w:pPr>
        <w:pStyle w:val="FootnoteText"/>
        <w:tabs>
          <w:tab w:val="left" w:pos="426"/>
        </w:tabs>
      </w:pPr>
      <w:r>
        <w:rPr>
          <w:rStyle w:val="FootnoteReference"/>
        </w:rPr>
        <w:footnoteRef/>
      </w:r>
      <w:r>
        <w:t xml:space="preserve"> </w:t>
      </w:r>
      <w:r>
        <w:tab/>
        <w:t xml:space="preserve">See the </w:t>
      </w:r>
      <w:r w:rsidRPr="004C7666">
        <w:t xml:space="preserve">Australian </w:t>
      </w:r>
      <w:r>
        <w:t>G</w:t>
      </w:r>
      <w:r w:rsidRPr="004C7666">
        <w:t>overnment</w:t>
      </w:r>
      <w:r w:rsidR="00426648">
        <w:t xml:space="preserve"> Style Guide </w:t>
      </w:r>
      <w:hyperlink r:id="rId10" w:history="1">
        <w:r w:rsidR="00426648" w:rsidRPr="00426648">
          <w:rPr>
            <w:rStyle w:val="Hyperlink"/>
          </w:rPr>
          <w:t>Keywords and search engines | Style Manual</w:t>
        </w:r>
      </w:hyperlink>
      <w:r w:rsidR="00426648">
        <w:t>.</w:t>
      </w:r>
    </w:p>
  </w:footnote>
  <w:footnote w:id="13">
    <w:p w14:paraId="53117B92" w14:textId="6D89637A" w:rsidR="000937D6" w:rsidRDefault="000937D6" w:rsidP="00357AF4">
      <w:pPr>
        <w:pStyle w:val="FootnoteText"/>
        <w:tabs>
          <w:tab w:val="left" w:pos="284"/>
          <w:tab w:val="left" w:pos="426"/>
          <w:tab w:val="left" w:pos="709"/>
        </w:tabs>
      </w:pPr>
      <w:r>
        <w:rPr>
          <w:rStyle w:val="FootnoteReference"/>
        </w:rPr>
        <w:footnoteRef/>
      </w:r>
      <w:r>
        <w:t xml:space="preserve"> </w:t>
      </w:r>
      <w:r>
        <w:tab/>
      </w:r>
      <w:r w:rsidR="003C30E6">
        <w:tab/>
      </w:r>
      <w:r>
        <w:t xml:space="preserve">See </w:t>
      </w:r>
      <w:hyperlink r:id="rId11" w:history="1">
        <w:r w:rsidR="00336FD2" w:rsidRPr="00336FD2">
          <w:rPr>
            <w:rStyle w:val="Hyperlink"/>
          </w:rPr>
          <w:t>Metadata for the web | naa.gov.au</w:t>
        </w:r>
      </w:hyperlink>
      <w:r>
        <w:t>.</w:t>
      </w:r>
    </w:p>
  </w:footnote>
  <w:footnote w:id="14">
    <w:p w14:paraId="26FAC24B" w14:textId="3C095FE1" w:rsidR="001F1321" w:rsidRDefault="001F1321" w:rsidP="00357AF4">
      <w:pPr>
        <w:pStyle w:val="FootnoteText"/>
        <w:tabs>
          <w:tab w:val="left" w:pos="284"/>
          <w:tab w:val="left" w:pos="567"/>
        </w:tabs>
      </w:pPr>
      <w:r>
        <w:rPr>
          <w:rStyle w:val="FootnoteReference"/>
        </w:rPr>
        <w:footnoteRef/>
      </w:r>
      <w:r>
        <w:t xml:space="preserve"> </w:t>
      </w:r>
      <w:r w:rsidR="00336FD2">
        <w:tab/>
      </w:r>
      <w:r>
        <w:t>See</w:t>
      </w:r>
      <w:r w:rsidR="00336FD2">
        <w:t xml:space="preserve"> </w:t>
      </w:r>
      <w:hyperlink r:id="rId12" w:history="1">
        <w:r w:rsidR="00336FD2" w:rsidRPr="00336FD2">
          <w:rPr>
            <w:rStyle w:val="Hyperlink"/>
          </w:rPr>
          <w:t>Digital Service Standard | digital.gov.au</w:t>
        </w:r>
      </w:hyperlink>
      <w:r w:rsidR="00336FD2">
        <w:t xml:space="preserve"> and specifically </w:t>
      </w:r>
      <w:hyperlink r:id="rId13" w:history="1">
        <w:r w:rsidR="006B2D31" w:rsidRPr="006B2D31">
          <w:rPr>
            <w:rStyle w:val="Hyperlink"/>
          </w:rPr>
          <w:t>Criterion 4. Make it accessible | digital.gov.au</w:t>
        </w:r>
      </w:hyperlink>
      <w:r w:rsidR="00336FD2">
        <w:t>.</w:t>
      </w:r>
      <w:r w:rsidR="00336FD2" w:rsidDel="00336FD2">
        <w:t xml:space="preserve"> </w:t>
      </w:r>
    </w:p>
  </w:footnote>
  <w:footnote w:id="15">
    <w:p w14:paraId="00454EC9" w14:textId="0B87668A" w:rsidR="001F1321" w:rsidRDefault="001F1321" w:rsidP="007D0138">
      <w:pPr>
        <w:pStyle w:val="FootnoteText"/>
        <w:tabs>
          <w:tab w:val="left" w:pos="284"/>
        </w:tabs>
        <w:ind w:left="284" w:hanging="284"/>
      </w:pPr>
      <w:r>
        <w:rPr>
          <w:rStyle w:val="FootnoteReference"/>
        </w:rPr>
        <w:footnoteRef/>
      </w:r>
      <w:r>
        <w:t xml:space="preserve"> </w:t>
      </w:r>
      <w:r>
        <w:tab/>
      </w:r>
      <w:r w:rsidR="006B2D31">
        <w:t xml:space="preserve">See </w:t>
      </w:r>
      <w:hyperlink r:id="rId14" w:history="1">
        <w:r w:rsidR="006B2D31" w:rsidRPr="006D10BA">
          <w:rPr>
            <w:rStyle w:val="Hyperlink"/>
            <w:i/>
            <w:iCs/>
            <w:color w:val="0070C0"/>
          </w:rPr>
          <w:t>Australian Government Style Manual</w:t>
        </w:r>
      </w:hyperlink>
      <w:r w:rsidR="006B2D31">
        <w:t xml:space="preserve">. Also see </w:t>
      </w:r>
      <w:hyperlink r:id="rId15" w:history="1">
        <w:r w:rsidR="006B2D31" w:rsidRPr="005944E6">
          <w:rPr>
            <w:rStyle w:val="Hyperlink"/>
            <w:color w:val="0070C0"/>
          </w:rPr>
          <w:t>Criterion 4. Make it accessible | digital.gov.au</w:t>
        </w:r>
      </w:hyperlink>
      <w:r w:rsidR="006B2D31">
        <w:t xml:space="preserve">, from </w:t>
      </w:r>
      <w:r w:rsidR="006B2D31">
        <w:rPr>
          <w:lang w:val="en-GB"/>
        </w:rPr>
        <w:t xml:space="preserve">the </w:t>
      </w:r>
      <w:r w:rsidR="006B2D31" w:rsidRPr="00941BCC">
        <w:rPr>
          <w:lang w:val="en-GB"/>
        </w:rPr>
        <w:t>Digital Transformation Agency</w:t>
      </w:r>
      <w:r w:rsidR="006B2D31">
        <w:rPr>
          <w:lang w:val="en-GB"/>
        </w:rPr>
        <w:t xml:space="preserve">’s </w:t>
      </w:r>
      <w:r w:rsidR="006B2D31" w:rsidRPr="007F4D88">
        <w:rPr>
          <w:i/>
          <w:iCs/>
          <w:lang w:val="en-GB"/>
        </w:rPr>
        <w:t>Digital Inclusion Standard</w:t>
      </w:r>
      <w:r w:rsidR="006B2D31">
        <w:rPr>
          <w:lang w:val="en-GB"/>
        </w:rPr>
        <w:t xml:space="preserve"> (‘Make It Accessible’). Criterion 4 says that Australian Government agencies need to make their digital services accessible and comply with all relevant legislation and standards, including the </w:t>
      </w:r>
      <w:r w:rsidR="006B2D31" w:rsidRPr="00F07B7A">
        <w:rPr>
          <w:i/>
          <w:iCs/>
          <w:lang w:val="en-GB"/>
        </w:rPr>
        <w:t>Disability Discrimination Act 1992</w:t>
      </w:r>
      <w:r w:rsidR="006B2D31">
        <w:rPr>
          <w:lang w:val="en-GB"/>
        </w:rPr>
        <w:t xml:space="preserve">, the latest version of the Web Content Accessibility Guidelines (WCAG) and the </w:t>
      </w:r>
      <w:r w:rsidR="006B2D31" w:rsidRPr="00433BAD">
        <w:rPr>
          <w:i/>
          <w:iCs/>
          <w:lang w:val="en-GB"/>
        </w:rPr>
        <w:t>Australian Government Style Manual</w:t>
      </w:r>
      <w:r w:rsidR="006B2D31">
        <w:rPr>
          <w:lang w:val="en-GB"/>
        </w:rPr>
        <w:t xml:space="preserve">. The Australian Government currently requires agencies to comply with WCAG 2.2 AA standards (see the </w:t>
      </w:r>
      <w:hyperlink r:id="rId16" w:history="1">
        <w:r w:rsidR="006B2D31" w:rsidRPr="006D10BA">
          <w:rPr>
            <w:rStyle w:val="Hyperlink"/>
            <w:i/>
            <w:iCs/>
            <w:color w:val="0070C0"/>
            <w:lang w:val="en-GB"/>
          </w:rPr>
          <w:t>Australian Government Style Guide</w:t>
        </w:r>
      </w:hyperlink>
      <w:r w:rsidR="006B2D31" w:rsidRPr="0074310D">
        <w:rPr>
          <w:lang w:val="en-GB"/>
        </w:rPr>
        <w:t>)</w:t>
      </w:r>
      <w:r w:rsidR="006B2D31" w:rsidRPr="006D10BA">
        <w:rPr>
          <w:lang w:val="en-GB"/>
        </w:rPr>
        <w:t>. F</w:t>
      </w:r>
      <w:r w:rsidR="006B2D31">
        <w:rPr>
          <w:lang w:val="en-GB"/>
        </w:rPr>
        <w:t xml:space="preserve">urther information about WCAG compliance see </w:t>
      </w:r>
      <w:hyperlink r:id="rId17" w:history="1">
        <w:r w:rsidR="006B2D31" w:rsidRPr="007613A1">
          <w:rPr>
            <w:rStyle w:val="Hyperlink"/>
            <w:color w:val="0070C0"/>
          </w:rPr>
          <w:t>Web Content Accessibility Guidelines (WCAG) 2.2</w:t>
        </w:r>
      </w:hyperlink>
      <w:r w:rsidR="006B2D31">
        <w:rPr>
          <w:lang w:val="en-GB"/>
        </w:rPr>
        <w:t>.</w:t>
      </w:r>
    </w:p>
  </w:footnote>
  <w:footnote w:id="16">
    <w:p w14:paraId="7BD8FE64" w14:textId="6DD39B6F" w:rsidR="001F1321" w:rsidRDefault="001F1321" w:rsidP="007D0138">
      <w:pPr>
        <w:pStyle w:val="FootnoteText"/>
        <w:tabs>
          <w:tab w:val="left" w:pos="284"/>
        </w:tabs>
        <w:ind w:left="284" w:hanging="284"/>
      </w:pPr>
      <w:r>
        <w:rPr>
          <w:rStyle w:val="FootnoteReference"/>
        </w:rPr>
        <w:footnoteRef/>
      </w:r>
      <w:r>
        <w:t xml:space="preserve"> </w:t>
      </w:r>
      <w:r w:rsidR="006B2D31">
        <w:tab/>
        <w:t>See</w:t>
      </w:r>
      <w:r w:rsidR="006B2D31">
        <w:rPr>
          <w:lang w:val="en-GB"/>
        </w:rPr>
        <w:t xml:space="preserve"> Australian Human Rights Commission </w:t>
      </w:r>
      <w:hyperlink r:id="rId18" w:anchor=":~:text=Web%20Content%20Accessibility%20Guidelines%20(WCAG)%20The%20applicable,the%20requirements%20of%20the%20latest%20published%20version." w:history="1">
        <w:r w:rsidR="006B2D31" w:rsidRPr="007613A1">
          <w:rPr>
            <w:rStyle w:val="Hyperlink"/>
            <w:i/>
            <w:iCs/>
            <w:color w:val="0070C0"/>
            <w:lang w:val="en-GB"/>
          </w:rPr>
          <w:t>Guidelines on equal access to digital goods and services</w:t>
        </w:r>
      </w:hyperlink>
      <w:r w:rsidR="006B2D31" w:rsidRPr="003A7CF4">
        <w:rPr>
          <w:lang w:val="en-GB"/>
        </w:rPr>
        <w:t xml:space="preserve">, </w:t>
      </w:r>
      <w:r w:rsidR="006B2D31">
        <w:rPr>
          <w:lang w:val="en-GB"/>
        </w:rPr>
        <w:t xml:space="preserve">(April 2025), </w:t>
      </w:r>
      <w:r w:rsidR="006B2D31" w:rsidRPr="003A7CF4">
        <w:rPr>
          <w:lang w:val="en-GB"/>
        </w:rPr>
        <w:t>p 43</w:t>
      </w:r>
      <w:r w:rsidR="006B2D31">
        <w:rPr>
          <w:lang w:val="en-GB"/>
        </w:rPr>
        <w:t xml:space="preserve">. The Australian Human Rights Commission endorses the use of WCAG 2.2 AA, but </w:t>
      </w:r>
      <w:r w:rsidR="006B2D31" w:rsidRPr="007613A1">
        <w:t>a</w:t>
      </w:r>
      <w:r w:rsidR="006B2D31">
        <w:t xml:space="preserve">sks agencies to </w:t>
      </w:r>
      <w:r w:rsidR="006B2D31" w:rsidRPr="007613A1">
        <w:t>consider appropriate Level AAA success criteria such as video transcripts, audio contrast, clear links and section headings</w:t>
      </w:r>
      <w:r w:rsidR="006B2D31">
        <w:t xml:space="preserve"> (see </w:t>
      </w:r>
      <w:hyperlink r:id="rId19" w:history="1">
        <w:r w:rsidR="006B2D31" w:rsidRPr="00433BAD">
          <w:rPr>
            <w:rStyle w:val="Hyperlink"/>
            <w:i/>
            <w:iCs/>
            <w:color w:val="0070C0"/>
          </w:rPr>
          <w:t>Guidelines on equal access to digital goods and services</w:t>
        </w:r>
      </w:hyperlink>
      <w:r w:rsidR="006B2D31">
        <w:t>)</w:t>
      </w:r>
      <w:r w:rsidR="006B2D31" w:rsidRPr="007613A1">
        <w:t>.</w:t>
      </w:r>
      <w:r w:rsidR="006B2D31" w:rsidDel="006B2D31">
        <w:t xml:space="preserve"> </w:t>
      </w:r>
    </w:p>
  </w:footnote>
  <w:footnote w:id="17">
    <w:p w14:paraId="0E5FAFBE" w14:textId="77777777" w:rsidR="001F1321" w:rsidRDefault="001F1321" w:rsidP="00357AF4">
      <w:pPr>
        <w:pStyle w:val="FootnoteText"/>
        <w:tabs>
          <w:tab w:val="left" w:pos="284"/>
        </w:tabs>
      </w:pPr>
      <w:r>
        <w:rPr>
          <w:rStyle w:val="FootnoteReference"/>
        </w:rPr>
        <w:footnoteRef/>
      </w:r>
      <w:r>
        <w:t xml:space="preserve"> </w:t>
      </w:r>
      <w:r>
        <w:tab/>
        <w:t>This is similar to the requirement to publish information about charges to access information under the IPS, see s 8D(5).</w:t>
      </w:r>
    </w:p>
  </w:footnote>
  <w:footnote w:id="18">
    <w:p w14:paraId="7CF3C461" w14:textId="4B70A797" w:rsidR="001F1321" w:rsidRDefault="001F1321" w:rsidP="00357AF4">
      <w:pPr>
        <w:pStyle w:val="FootnoteText"/>
        <w:tabs>
          <w:tab w:val="left" w:pos="284"/>
        </w:tabs>
        <w:ind w:left="426" w:hanging="426"/>
      </w:pPr>
      <w:r>
        <w:rPr>
          <w:rStyle w:val="FootnoteReference"/>
        </w:rPr>
        <w:footnoteRef/>
      </w:r>
      <w:r>
        <w:t xml:space="preserve"> </w:t>
      </w:r>
      <w:r w:rsidR="006B6BB5">
        <w:tab/>
      </w:r>
      <w:hyperlink r:id="rId20" w:history="1">
        <w:r w:rsidR="00D025C6" w:rsidRPr="00D025C6">
          <w:rPr>
            <w:rStyle w:val="Hyperlink"/>
          </w:rPr>
          <w:t>Australian Government intellectual property manual | Attorney-General's Department</w:t>
        </w:r>
      </w:hyperlink>
      <w:r w:rsidR="00D025C6" w:rsidRPr="00D025C6">
        <w:t xml:space="preserve"> </w:t>
      </w:r>
      <w:r>
        <w:t>.</w:t>
      </w:r>
    </w:p>
  </w:footnote>
  <w:footnote w:id="19">
    <w:p w14:paraId="2912ED53" w14:textId="18E17E20" w:rsidR="001F1321" w:rsidRDefault="001F1321" w:rsidP="00357AF4">
      <w:pPr>
        <w:pStyle w:val="FootnoteText"/>
        <w:tabs>
          <w:tab w:val="left" w:pos="284"/>
        </w:tabs>
        <w:ind w:left="426" w:hanging="426"/>
      </w:pPr>
      <w:r>
        <w:rPr>
          <w:rStyle w:val="FootnoteReference"/>
        </w:rPr>
        <w:footnoteRef/>
      </w:r>
      <w:r>
        <w:t xml:space="preserve"> </w:t>
      </w:r>
      <w:r>
        <w:tab/>
      </w:r>
      <w:hyperlink r:id="rId21" w:history="1">
        <w:r w:rsidR="00D025C6" w:rsidRPr="00D025C6">
          <w:rPr>
            <w:rStyle w:val="Hyperlink"/>
          </w:rPr>
          <w:t>Guidelines on licensing public sector information for Australian Government entities | Attorney-General's Department</w:t>
        </w:r>
      </w:hyperlink>
      <w:r w:rsidR="00D025C6" w:rsidRPr="00D025C6" w:rsidDel="00D025C6">
        <w:t xml:space="preserve"> </w:t>
      </w:r>
      <w:r>
        <w:t xml:space="preserve">. </w:t>
      </w:r>
    </w:p>
  </w:footnote>
  <w:footnote w:id="20">
    <w:p w14:paraId="23F3F1C3" w14:textId="081179D3" w:rsidR="006F2D1C" w:rsidRDefault="006F2D1C" w:rsidP="007D0138">
      <w:pPr>
        <w:pStyle w:val="FootnoteText"/>
        <w:tabs>
          <w:tab w:val="left" w:pos="284"/>
        </w:tabs>
        <w:ind w:left="284" w:hanging="284"/>
      </w:pPr>
      <w:r>
        <w:rPr>
          <w:rStyle w:val="FootnoteReference"/>
        </w:rPr>
        <w:footnoteRef/>
      </w:r>
      <w:r>
        <w:t xml:space="preserve"> </w:t>
      </w:r>
      <w:r>
        <w:tab/>
        <w:t>We note that agencies will generally make older disclosure log documents available to the public through Trove. Where</w:t>
      </w:r>
      <w:r w:rsidR="008B1E41">
        <w:t xml:space="preserve"> </w:t>
      </w:r>
      <w:r>
        <w:t xml:space="preserve">this is the case, the disclosure log should refer to this practice and direct the public to the Trove document repository. </w:t>
      </w:r>
    </w:p>
  </w:footnote>
  <w:footnote w:id="21">
    <w:p w14:paraId="04A1A778" w14:textId="5F2C02EA" w:rsidR="008947FB" w:rsidRPr="008947FB" w:rsidRDefault="008947FB" w:rsidP="00357AF4">
      <w:pPr>
        <w:pStyle w:val="FootnoteText"/>
        <w:tabs>
          <w:tab w:val="left" w:pos="284"/>
        </w:tabs>
      </w:pPr>
      <w:r>
        <w:rPr>
          <w:rStyle w:val="FootnoteReference"/>
        </w:rPr>
        <w:footnoteRef/>
      </w:r>
      <w:r>
        <w:t xml:space="preserve"> </w:t>
      </w:r>
      <w:r>
        <w:tab/>
        <w:t xml:space="preserve">Agencies </w:t>
      </w:r>
      <w:r w:rsidRPr="008947FB">
        <w:t>s</w:t>
      </w:r>
      <w:r w:rsidR="00811007">
        <w:t xml:space="preserve">hould </w:t>
      </w:r>
      <w:r>
        <w:t xml:space="preserve">consider whether their case management </w:t>
      </w:r>
      <w:r w:rsidRPr="008947FB">
        <w:t xml:space="preserve">systems </w:t>
      </w:r>
      <w:r>
        <w:t xml:space="preserve">can be configured to </w:t>
      </w:r>
      <w:r w:rsidRPr="008947FB">
        <w:t xml:space="preserve">self-populate </w:t>
      </w:r>
      <w:r w:rsidR="001C0F68">
        <w:t xml:space="preserve">new </w:t>
      </w:r>
      <w:r>
        <w:t>disclosure log</w:t>
      </w:r>
      <w:r w:rsidR="001C0F68">
        <w:t xml:space="preserve"> entries.</w:t>
      </w:r>
    </w:p>
    <w:p w14:paraId="2032A747" w14:textId="48A25D97" w:rsidR="008947FB" w:rsidRDefault="008947F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ayoutGrid"/>
      <w:tblW w:w="5000" w:type="pct"/>
      <w:tblBorders>
        <w:bottom w:val="single" w:sz="4" w:space="0" w:color="DDD8D9" w:themeColor="accent1"/>
      </w:tblBorders>
      <w:tblLayout w:type="fixed"/>
      <w:tblLook w:val="04A0" w:firstRow="1" w:lastRow="0" w:firstColumn="1" w:lastColumn="0" w:noHBand="0" w:noVBand="1"/>
      <w:tblCaption w:val="Header Grid — Containing title and date"/>
      <w:tblDescription w:val="Header Grid — Containing title and date"/>
    </w:tblPr>
    <w:tblGrid>
      <w:gridCol w:w="9355"/>
    </w:tblGrid>
    <w:tr w:rsidR="001F1321" w14:paraId="37C95121" w14:textId="77777777" w:rsidTr="00BD49D6">
      <w:trPr>
        <w:trHeight w:hRule="exact" w:val="539"/>
        <w:tblHeader/>
      </w:trPr>
      <w:tc>
        <w:tcPr>
          <w:tcW w:w="9354" w:type="dxa"/>
          <w:vAlign w:val="center"/>
        </w:tcPr>
        <w:p w14:paraId="0255FCA1" w14:textId="570D9F33" w:rsidR="001F1321" w:rsidRDefault="001F1321" w:rsidP="00BD49D6">
          <w:pPr>
            <w:pStyle w:val="HeaderTitle"/>
          </w:pPr>
          <w:r>
            <w:fldChar w:fldCharType="begin"/>
          </w:r>
          <w:r>
            <w:instrText xml:space="preserve"> STYLEREF  "Heading 1" </w:instrText>
          </w:r>
          <w:r>
            <w:fldChar w:fldCharType="separate"/>
          </w:r>
          <w:r>
            <w:rPr>
              <w:b w:val="0"/>
              <w:bCs/>
              <w:noProof/>
              <w:lang w:val="en-US"/>
            </w:rPr>
            <w:t>Error! No text of specified style in document.</w:t>
          </w:r>
          <w:r>
            <w:rPr>
              <w:noProof/>
            </w:rPr>
            <w:fldChar w:fldCharType="end"/>
          </w:r>
          <w:r w:rsidRPr="00916546">
            <w:t xml:space="preserve">, </w:t>
          </w:r>
          <w:r>
            <w:fldChar w:fldCharType="begin"/>
          </w:r>
          <w:r>
            <w:instrText xml:space="preserve"> STYLEREF  "Cover Date" </w:instrText>
          </w:r>
          <w:r>
            <w:fldChar w:fldCharType="separate"/>
          </w:r>
          <w:r>
            <w:rPr>
              <w:b w:val="0"/>
              <w:bCs/>
              <w:noProof/>
              <w:lang w:val="en-US"/>
            </w:rPr>
            <w:t>Error! No text of specified style in document.</w:t>
          </w:r>
          <w:r>
            <w:rPr>
              <w:noProof/>
            </w:rPr>
            <w:fldChar w:fldCharType="end"/>
          </w:r>
        </w:p>
      </w:tc>
    </w:tr>
  </w:tbl>
  <w:p w14:paraId="413A4062" w14:textId="02BA78D8" w:rsidR="001F1321" w:rsidRDefault="003651D4" w:rsidP="00BD49D6">
    <w:pPr>
      <w:pStyle w:val="Header"/>
    </w:pPr>
    <w:r>
      <w:rPr>
        <w:noProof/>
      </w:rPr>
      <w:pict w14:anchorId="3B81EE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4382985" o:spid="_x0000_s1026" type="#_x0000_t136" style="position:absolute;left:0;text-align:left;margin-left:0;margin-top:0;width:549.6pt;height:109.9pt;rotation:315;z-index:-251636736;mso-position-horizontal:center;mso-position-horizontal-relative:margin;mso-position-vertical:center;mso-position-vertical-relative:margin" o:allowincell="f" fillcolor="silver" stroked="f">
          <v:fill opacity=".5"/>
          <v:textpath style="font-family:&quot;Source Sans Pro&quot;;font-size:1pt" string="Consultation Copy"/>
          <w10:wrap anchorx="margin" anchory="margin"/>
        </v:shape>
      </w:pict>
    </w:r>
  </w:p>
  <w:p w14:paraId="72C4CE9C" w14:textId="77777777" w:rsidR="001F1321" w:rsidRDefault="001F132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7739C" w14:textId="57171F26" w:rsidR="00AE35F8" w:rsidRDefault="003651D4" w:rsidP="00AE4344">
    <w:pPr>
      <w:pStyle w:val="Header"/>
      <w:tabs>
        <w:tab w:val="right" w:pos="9327"/>
      </w:tabs>
      <w:rPr>
        <w:sz w:val="16"/>
        <w:szCs w:val="20"/>
      </w:rPr>
    </w:pPr>
    <w:r>
      <w:rPr>
        <w:noProof/>
      </w:rPr>
      <w:pict w14:anchorId="7F9D78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4382986" o:spid="_x0000_s1027" type="#_x0000_t136" style="position:absolute;left:0;text-align:left;margin-left:0;margin-top:0;width:549.6pt;height:109.9pt;rotation:315;z-index:-251634688;mso-position-horizontal:center;mso-position-horizontal-relative:margin;mso-position-vertical:center;mso-position-vertical-relative:margin" o:allowincell="f" fillcolor="silver" stroked="f">
          <v:fill opacity=".5"/>
          <v:textpath style="font-family:&quot;Source Sans Pro&quot;;font-size:1pt" string="Consultation Copy"/>
          <w10:wrap anchorx="margin" anchory="margin"/>
        </v:shape>
      </w:pict>
    </w:r>
    <w:r w:rsidR="00AE35F8" w:rsidRPr="00AE35F8">
      <w:rPr>
        <w:rFonts w:ascii="Source Sans Pro SemiBold" w:hAnsi="Source Sans Pro SemiBold"/>
        <w:bCs/>
        <w:color w:val="000000" w:themeColor="text1"/>
        <w:sz w:val="16"/>
        <w:szCs w:val="16"/>
      </w:rPr>
      <w:t>Part 14 – Disclosure Log</w:t>
    </w:r>
    <w:r w:rsidR="00AE35F8" w:rsidRPr="00AE35F8">
      <w:rPr>
        <w:sz w:val="16"/>
        <w:szCs w:val="20"/>
      </w:rPr>
      <w:t xml:space="preserve"> </w:t>
    </w:r>
    <w:r w:rsidR="00AE35F8">
      <w:tab/>
    </w:r>
    <w:r w:rsidR="00AE35F8">
      <w:tab/>
    </w:r>
    <w:r w:rsidR="00AE35F8" w:rsidRPr="00AE35F8">
      <w:rPr>
        <w:sz w:val="16"/>
        <w:szCs w:val="20"/>
      </w:rPr>
      <w:t>Version 1.</w:t>
    </w:r>
    <w:r w:rsidR="001637EA">
      <w:rPr>
        <w:sz w:val="16"/>
        <w:szCs w:val="20"/>
      </w:rPr>
      <w:t>8</w:t>
    </w:r>
    <w:r w:rsidR="00AE35F8" w:rsidRPr="00AE35F8">
      <w:rPr>
        <w:sz w:val="16"/>
        <w:szCs w:val="20"/>
      </w:rPr>
      <w:t xml:space="preserve">, </w:t>
    </w:r>
    <w:r w:rsidR="00AE4344">
      <w:rPr>
        <w:sz w:val="16"/>
        <w:szCs w:val="20"/>
      </w:rPr>
      <w:t xml:space="preserve">August </w:t>
    </w:r>
    <w:r w:rsidR="00AE35F8" w:rsidRPr="00AE35F8">
      <w:rPr>
        <w:sz w:val="16"/>
        <w:szCs w:val="20"/>
      </w:rPr>
      <w:t>202</w:t>
    </w:r>
    <w:r w:rsidR="001637EA">
      <w:rPr>
        <w:sz w:val="16"/>
        <w:szCs w:val="20"/>
      </w:rPr>
      <w:t>6</w:t>
    </w:r>
  </w:p>
  <w:p w14:paraId="73A23363" w14:textId="19EC2083" w:rsidR="00AE4344" w:rsidRDefault="00AE4344" w:rsidP="00AE4344">
    <w:pPr>
      <w:pStyle w:val="Header"/>
      <w:tabs>
        <w:tab w:val="right" w:pos="9327"/>
      </w:tabs>
    </w:pPr>
    <w:r>
      <w:rPr>
        <w:rFonts w:ascii="Source Sans Pro SemiBold" w:hAnsi="Source Sans Pro SemiBold"/>
        <w:bCs/>
        <w:color w:val="000000" w:themeColor="text1"/>
        <w:sz w:val="16"/>
        <w:szCs w:val="16"/>
      </w:rPr>
      <w:t>CONSULTATION COPY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8AAE2" w14:textId="696F6809" w:rsidR="001F1321" w:rsidRDefault="003651D4" w:rsidP="00BD49D6">
    <w:pPr>
      <w:pStyle w:val="Header"/>
    </w:pPr>
    <w:r>
      <w:rPr>
        <w:noProof/>
      </w:rPr>
      <w:pict w14:anchorId="297786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4382984" o:spid="_x0000_s1025" type="#_x0000_t136" style="position:absolute;left:0;text-align:left;margin-left:0;margin-top:0;width:549.6pt;height:109.9pt;rotation:315;z-index:-251638784;mso-position-horizontal:center;mso-position-horizontal-relative:margin;mso-position-vertical:center;mso-position-vertical-relative:margin" o:allowincell="f" fillcolor="silver" stroked="f">
          <v:fill opacity=".5"/>
          <v:textpath style="font-family:&quot;Source Sans Pro&quot;;font-size:1pt" string="Consultation Copy"/>
          <w10:wrap anchorx="margin" anchory="margin"/>
        </v:shape>
      </w:pict>
    </w:r>
    <w:r w:rsidR="001F1321">
      <w:rPr>
        <w:noProof/>
      </w:rPr>
      <w:drawing>
        <wp:anchor distT="0" distB="0" distL="114300" distR="114300" simplePos="0" relativeHeight="251673600" behindDoc="0" locked="0" layoutInCell="1" allowOverlap="1" wp14:anchorId="08F77F7A" wp14:editId="19E21CDA">
          <wp:simplePos x="0" y="0"/>
          <wp:positionH relativeFrom="page">
            <wp:posOffset>-621030</wp:posOffset>
          </wp:positionH>
          <wp:positionV relativeFrom="paragraph">
            <wp:posOffset>306070</wp:posOffset>
          </wp:positionV>
          <wp:extent cx="7558405" cy="1069149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a:stretch>
                    <a:fillRect/>
                  </a:stretch>
                </pic:blipFill>
                <pic:spPr>
                  <a:xfrm>
                    <a:off x="0" y="0"/>
                    <a:ext cx="7558405" cy="10691495"/>
                  </a:xfrm>
                  <a:prstGeom prst="rect">
                    <a:avLst/>
                  </a:prstGeom>
                </pic:spPr>
              </pic:pic>
            </a:graphicData>
          </a:graphic>
        </wp:anchor>
      </w:drawing>
    </w:r>
    <w:r w:rsidR="001F1321">
      <w:rPr>
        <w:noProof/>
        <w:lang w:eastAsia="en-AU"/>
      </w:rPr>
      <mc:AlternateContent>
        <mc:Choice Requires="wpg">
          <w:drawing>
            <wp:anchor distT="0" distB="0" distL="114300" distR="114300" simplePos="0" relativeHeight="251674624" behindDoc="1" locked="1" layoutInCell="1" allowOverlap="1" wp14:anchorId="12798D26" wp14:editId="5C2895E3">
              <wp:simplePos x="0" y="0"/>
              <wp:positionH relativeFrom="page">
                <wp:posOffset>6330950</wp:posOffset>
              </wp:positionH>
              <wp:positionV relativeFrom="page">
                <wp:posOffset>9575800</wp:posOffset>
              </wp:positionV>
              <wp:extent cx="881380" cy="881380"/>
              <wp:effectExtent l="0" t="0" r="0" b="0"/>
              <wp:wrapNone/>
              <wp:docPr id="21" name="Group 21"/>
              <wp:cNvGraphicFramePr/>
              <a:graphic xmlns:a="http://schemas.openxmlformats.org/drawingml/2006/main">
                <a:graphicData uri="http://schemas.microsoft.com/office/word/2010/wordprocessingGroup">
                  <wpg:wgp>
                    <wpg:cNvGrpSpPr/>
                    <wpg:grpSpPr>
                      <a:xfrm>
                        <a:off x="0" y="0"/>
                        <a:ext cx="881380" cy="881380"/>
                        <a:chOff x="0" y="0"/>
                        <a:chExt cx="882000" cy="882000"/>
                      </a:xfrm>
                    </wpg:grpSpPr>
                    <wps:wsp>
                      <wps:cNvPr id="22" name="Rectangle 22"/>
                      <wps:cNvSpPr>
                        <a:spLocks noChangeAspect="1"/>
                      </wps:cNvSpPr>
                      <wps:spPr>
                        <a:xfrm>
                          <a:off x="0" y="0"/>
                          <a:ext cx="882000" cy="882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 name="Picture 8"/>
                        <pic:cNvPicPr>
                          <a:picLocks noChangeAspect="1"/>
                        </pic:cNvPicPr>
                      </pic:nvPicPr>
                      <pic:blipFill>
                        <a:blip r:embed="rId2"/>
                        <a:stretch>
                          <a:fillRect/>
                        </a:stretch>
                      </pic:blipFill>
                      <pic:spPr>
                        <a:xfrm>
                          <a:off x="236764" y="375558"/>
                          <a:ext cx="413385" cy="12573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496077A" id="Group 21" o:spid="_x0000_s1026" style="position:absolute;margin-left:498.5pt;margin-top:754pt;width:69.4pt;height:69.4pt;z-index:-251641856;mso-position-horizontal-relative:page;mso-position-vertical-relative:page;mso-width-relative:margin;mso-height-relative:margin" coordsize="8820,882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">
              <v:rect id="Rectangle 22" o:spid="_x0000_s1027" style="position:absolute;width:8820;height:8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" fillcolor="#002a3a [3215]" stroked="f" strokeweight="2pt">
                <o:lock v:ext="edit" aspectratio="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left:2367;top:3755;width:4134;height:1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">
                <v:imagedata r:id="rId3" o:title=""/>
              </v:shape>
              <w10:wrap anchorx="page" anchory="page"/>
              <w10:anchorlock/>
            </v:group>
          </w:pict>
        </mc:Fallback>
      </mc:AlternateContent>
    </w:r>
    <w:r w:rsidR="001F1321" w:rsidRPr="004D4D9B">
      <w:rPr>
        <w:noProof/>
        <w:lang w:eastAsia="en-AU"/>
      </w:rPr>
      <w:drawing>
        <wp:anchor distT="0" distB="954405" distL="114300" distR="114300" simplePos="0" relativeHeight="251672576" behindDoc="1" locked="1" layoutInCell="1" allowOverlap="1" wp14:anchorId="1C0B1051" wp14:editId="6F7DA7A6">
          <wp:simplePos x="0" y="0"/>
          <wp:positionH relativeFrom="page">
            <wp:posOffset>899730</wp:posOffset>
          </wp:positionH>
          <wp:positionV relativeFrom="page">
            <wp:posOffset>352068</wp:posOffset>
          </wp:positionV>
          <wp:extent cx="3834000" cy="554400"/>
          <wp:effectExtent l="0" t="0" r="0" b="0"/>
          <wp:wrapTopAndBottom/>
          <wp:docPr id="16" name="Picture 16">
            <a:extLst xmlns:a="http://schemas.openxmlformats.org/drawingml/2006/main">
              <a:ext uri="{FF2B5EF4-FFF2-40B4-BE49-F238E27FC236}">
                <a16:creationId xmlns:a16="http://schemas.microsoft.com/office/drawing/2014/main" id="{F96B9712-AA0B-47B8-9376-2710BD4D08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96B9712-AA0B-47B8-9376-2710BD4D0866}"/>
                      </a:ext>
                    </a:extLst>
                  </pic:cNvPr>
                  <pic:cNvPicPr>
                    <a:picLocks noChangeAspect="1"/>
                  </pic:cNvPicPr>
                </pic:nvPicPr>
                <pic:blipFill>
                  <a:blip r:embed="rId4"/>
                  <a:stretch>
                    <a:fillRect/>
                  </a:stretch>
                </pic:blipFill>
                <pic:spPr>
                  <a:xfrm>
                    <a:off x="0" y="0"/>
                    <a:ext cx="3834000" cy="55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ayoutGrid"/>
      <w:tblW w:w="5000" w:type="pct"/>
      <w:tblBorders>
        <w:bottom w:val="single" w:sz="4" w:space="0" w:color="DDD8D9" w:themeColor="accent1"/>
      </w:tblBorders>
      <w:tblLayout w:type="fixed"/>
      <w:tblLook w:val="04A0" w:firstRow="1" w:lastRow="0" w:firstColumn="1" w:lastColumn="0" w:noHBand="0" w:noVBand="1"/>
      <w:tblCaption w:val="Header Grid — Containing title and date"/>
      <w:tblDescription w:val="Header Grid — Containing title and date"/>
    </w:tblPr>
    <w:tblGrid>
      <w:gridCol w:w="14428"/>
    </w:tblGrid>
    <w:tr w:rsidR="00BD0D23" w14:paraId="346B6338" w14:textId="77777777" w:rsidTr="00BD49D6">
      <w:trPr>
        <w:trHeight w:hRule="exact" w:val="539"/>
        <w:tblHeader/>
      </w:trPr>
      <w:tc>
        <w:tcPr>
          <w:tcW w:w="9354" w:type="dxa"/>
          <w:vAlign w:val="center"/>
        </w:tcPr>
        <w:p w14:paraId="3865CCB7" w14:textId="77777777" w:rsidR="00BD0D23" w:rsidRDefault="00BD0D23" w:rsidP="00BD49D6">
          <w:pPr>
            <w:pStyle w:val="HeaderTitle"/>
          </w:pPr>
          <w:r>
            <w:fldChar w:fldCharType="begin"/>
          </w:r>
          <w:r>
            <w:instrText xml:space="preserve"> STYLEREF  "Heading 1" </w:instrText>
          </w:r>
          <w:r>
            <w:fldChar w:fldCharType="separate"/>
          </w:r>
          <w:r>
            <w:rPr>
              <w:b w:val="0"/>
              <w:bCs/>
              <w:noProof/>
              <w:lang w:val="en-US"/>
            </w:rPr>
            <w:t>Error! No text of specified style in document.</w:t>
          </w:r>
          <w:r>
            <w:rPr>
              <w:noProof/>
            </w:rPr>
            <w:fldChar w:fldCharType="end"/>
          </w:r>
          <w:r w:rsidRPr="00916546">
            <w:t xml:space="preserve">, </w:t>
          </w:r>
          <w:r>
            <w:fldChar w:fldCharType="begin"/>
          </w:r>
          <w:r>
            <w:instrText xml:space="preserve"> STYLEREF  "Cover Date" </w:instrText>
          </w:r>
          <w:r>
            <w:fldChar w:fldCharType="separate"/>
          </w:r>
          <w:r>
            <w:rPr>
              <w:b w:val="0"/>
              <w:bCs/>
              <w:noProof/>
              <w:lang w:val="en-US"/>
            </w:rPr>
            <w:t>Error! No text of specified style in document.</w:t>
          </w:r>
          <w:r>
            <w:rPr>
              <w:noProof/>
            </w:rPr>
            <w:fldChar w:fldCharType="end"/>
          </w:r>
        </w:p>
      </w:tc>
    </w:tr>
  </w:tbl>
  <w:p w14:paraId="16CA33E9" w14:textId="449DBFC3" w:rsidR="00BD0D23" w:rsidRDefault="003651D4" w:rsidP="00BD49D6">
    <w:pPr>
      <w:pStyle w:val="Header"/>
    </w:pPr>
    <w:r>
      <w:rPr>
        <w:noProof/>
      </w:rPr>
      <w:pict w14:anchorId="2226C6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4382988" o:spid="_x0000_s1030" type="#_x0000_t136" style="position:absolute;left:0;text-align:left;margin-left:0;margin-top:0;width:549.6pt;height:109.9pt;rotation:315;z-index:-251628544;mso-position-horizontal:center;mso-position-horizontal-relative:margin;mso-position-vertical:center;mso-position-vertical-relative:margin" o:allowincell="f" fillcolor="silver" stroked="f">
          <v:fill opacity=".5"/>
          <v:textpath style="font-family:&quot;Source Sans Pro&quot;;font-size:1pt" string="Consultation Copy"/>
          <w10:wrap anchorx="margin" anchory="margin"/>
        </v:shape>
      </w:pict>
    </w:r>
    <w:r>
      <w:rPr>
        <w:noProof/>
      </w:rPr>
      <w:pict w14:anchorId="7254C065">
        <v:shape id="_x0000_s1029" type="#_x0000_t136" style="position:absolute;left:0;text-align:left;margin-left:0;margin-top:0;width:549.6pt;height:109.9pt;rotation:315;z-index:-251630592;mso-position-horizontal:center;mso-position-horizontal-relative:margin;mso-position-vertical:center;mso-position-vertical-relative:margin" o:allowincell="f" fillcolor="silver" stroked="f">
          <v:fill opacity=".5"/>
          <v:textpath style="font-family:&quot;Source Sans Pro&quot;;font-size:1pt" string="Consultation Copy"/>
          <w10:wrap anchorx="margin" anchory="margin"/>
        </v:shape>
      </w:pict>
    </w:r>
  </w:p>
  <w:p w14:paraId="66363FF1" w14:textId="77777777" w:rsidR="00BD0D23" w:rsidRDefault="00BD0D2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96550" w14:textId="1B6D982D" w:rsidR="00BD0D23" w:rsidRDefault="003651D4" w:rsidP="00AE4344">
    <w:pPr>
      <w:pStyle w:val="Header"/>
      <w:tabs>
        <w:tab w:val="right" w:pos="9327"/>
      </w:tabs>
      <w:rPr>
        <w:sz w:val="16"/>
        <w:szCs w:val="20"/>
      </w:rPr>
    </w:pPr>
    <w:r>
      <w:rPr>
        <w:noProof/>
      </w:rPr>
      <w:pict w14:anchorId="496AA5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4382989" o:spid="_x0000_s1032" type="#_x0000_t136" style="position:absolute;left:0;text-align:left;margin-left:0;margin-top:0;width:549.6pt;height:109.9pt;rotation:315;z-index:-251624448;mso-position-horizontal:center;mso-position-horizontal-relative:margin;mso-position-vertical:center;mso-position-vertical-relative:margin" o:allowincell="f" fillcolor="silver" stroked="f">
          <v:fill opacity=".5"/>
          <v:textpath style="font-family:&quot;Source Sans Pro&quot;;font-size:1pt" string="Consultation Copy"/>
          <w10:wrap anchorx="margin" anchory="margin"/>
        </v:shape>
      </w:pict>
    </w:r>
    <w:r>
      <w:rPr>
        <w:noProof/>
      </w:rPr>
      <w:pict w14:anchorId="6566B4F7">
        <v:shape id="_x0000_s1031" type="#_x0000_t136" style="position:absolute;left:0;text-align:left;margin-left:0;margin-top:0;width:549.6pt;height:109.9pt;rotation:315;z-index:-251626496;mso-position-horizontal:center;mso-position-horizontal-relative:margin;mso-position-vertical:center;mso-position-vertical-relative:margin" o:allowincell="f" fillcolor="silver" stroked="f">
          <v:fill opacity=".5"/>
          <v:textpath style="font-family:&quot;Source Sans Pro&quot;;font-size:1pt" string="Consultation Copy"/>
          <w10:wrap anchorx="margin" anchory="margin"/>
        </v:shape>
      </w:pict>
    </w:r>
    <w:r w:rsidR="00BD0D23" w:rsidRPr="00AE35F8">
      <w:rPr>
        <w:rFonts w:ascii="Source Sans Pro SemiBold" w:hAnsi="Source Sans Pro SemiBold"/>
        <w:bCs/>
        <w:color w:val="000000" w:themeColor="text1"/>
        <w:sz w:val="16"/>
        <w:szCs w:val="16"/>
      </w:rPr>
      <w:t>Part 14 – Disclosure Log</w:t>
    </w:r>
    <w:r w:rsidR="00BD0D23" w:rsidRPr="00AE35F8">
      <w:rPr>
        <w:sz w:val="16"/>
        <w:szCs w:val="20"/>
      </w:rPr>
      <w:t xml:space="preserve"> </w:t>
    </w:r>
    <w:r w:rsidR="00BD0D23">
      <w:tab/>
    </w:r>
    <w:r w:rsidR="00BD0D23">
      <w:tab/>
    </w:r>
    <w:r w:rsidR="00BD0D23" w:rsidRPr="00AE35F8">
      <w:rPr>
        <w:sz w:val="16"/>
        <w:szCs w:val="20"/>
      </w:rPr>
      <w:t>Version 1.</w:t>
    </w:r>
    <w:r w:rsidR="00BD0D23">
      <w:rPr>
        <w:sz w:val="16"/>
        <w:szCs w:val="20"/>
      </w:rPr>
      <w:t>8</w:t>
    </w:r>
    <w:r w:rsidR="00BD0D23" w:rsidRPr="00AE35F8">
      <w:rPr>
        <w:sz w:val="16"/>
        <w:szCs w:val="20"/>
      </w:rPr>
      <w:t xml:space="preserve">, </w:t>
    </w:r>
    <w:r w:rsidR="00BD0D23">
      <w:rPr>
        <w:sz w:val="16"/>
        <w:szCs w:val="20"/>
      </w:rPr>
      <w:t xml:space="preserve">August </w:t>
    </w:r>
    <w:r w:rsidR="00BD0D23" w:rsidRPr="00AE35F8">
      <w:rPr>
        <w:sz w:val="16"/>
        <w:szCs w:val="20"/>
      </w:rPr>
      <w:t>202</w:t>
    </w:r>
    <w:r w:rsidR="00BD0D23">
      <w:rPr>
        <w:sz w:val="16"/>
        <w:szCs w:val="20"/>
      </w:rPr>
      <w:t>6</w:t>
    </w:r>
  </w:p>
  <w:p w14:paraId="24F07206" w14:textId="77777777" w:rsidR="00BD0D23" w:rsidRDefault="00BD0D23" w:rsidP="00AE4344">
    <w:pPr>
      <w:pStyle w:val="Header"/>
      <w:tabs>
        <w:tab w:val="right" w:pos="9327"/>
      </w:tabs>
    </w:pPr>
    <w:r>
      <w:rPr>
        <w:rFonts w:ascii="Source Sans Pro SemiBold" w:hAnsi="Source Sans Pro SemiBold"/>
        <w:bCs/>
        <w:color w:val="000000" w:themeColor="text1"/>
        <w:sz w:val="16"/>
        <w:szCs w:val="16"/>
      </w:rPr>
      <w:t>CONSULTATION COPY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DF734" w14:textId="7958D5B9" w:rsidR="001F1321" w:rsidRPr="00EB4F37" w:rsidRDefault="003651D4" w:rsidP="00C31C1A">
    <w:pPr>
      <w:pStyle w:val="HeaderTitle"/>
      <w:tabs>
        <w:tab w:val="clear" w:pos="9026"/>
        <w:tab w:val="right" w:pos="14317"/>
      </w:tabs>
      <w:ind w:left="0"/>
      <w:jc w:val="left"/>
      <w:rPr>
        <w:b w:val="0"/>
        <w:sz w:val="16"/>
        <w:szCs w:val="16"/>
      </w:rPr>
    </w:pPr>
    <w:r>
      <w:rPr>
        <w:noProof/>
      </w:rPr>
      <w:pict w14:anchorId="678F23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4382987" o:spid="_x0000_s1028" type="#_x0000_t136" style="position:absolute;margin-left:0;margin-top:0;width:549.6pt;height:109.9pt;rotation:315;z-index:-251632640;mso-position-horizontal:center;mso-position-horizontal-relative:margin;mso-position-vertical:center;mso-position-vertical-relative:margin" o:allowincell="f" fillcolor="silver" stroked="f">
          <v:fill opacity=".5"/>
          <v:textpath style="font-family:&quot;Source Sans Pro&quot;;font-size:1pt" string="Consultation Copy"/>
          <w10:wrap anchorx="margin" anchory="margin"/>
        </v:shape>
      </w:pict>
    </w:r>
    <w:r w:rsidR="001F1321">
      <w:rPr>
        <w:rFonts w:ascii="Source Sans Pro SemiBold" w:hAnsi="Source Sans Pro SemiBold"/>
        <w:b w:val="0"/>
        <w:bCs/>
        <w:sz w:val="16"/>
        <w:szCs w:val="16"/>
      </w:rPr>
      <w:t xml:space="preserve">Part 14 </w:t>
    </w:r>
    <w:r w:rsidR="001F1321" w:rsidRPr="00C50D73">
      <w:rPr>
        <w:rFonts w:ascii="Source Sans Pro SemiBold" w:hAnsi="Source Sans Pro SemiBold"/>
        <w:b w:val="0"/>
        <w:bCs/>
        <w:sz w:val="16"/>
        <w:szCs w:val="16"/>
      </w:rPr>
      <w:t>—</w:t>
    </w:r>
    <w:r w:rsidR="001F1321" w:rsidRPr="00EB4F37">
      <w:rPr>
        <w:rFonts w:ascii="Source Sans Pro SemiBold" w:hAnsi="Source Sans Pro SemiBold"/>
        <w:b w:val="0"/>
        <w:bCs/>
        <w:sz w:val="16"/>
        <w:szCs w:val="16"/>
      </w:rPr>
      <w:t xml:space="preserve"> </w:t>
    </w:r>
    <w:r w:rsidR="001F1321">
      <w:rPr>
        <w:rFonts w:ascii="Source Sans Pro SemiBold" w:hAnsi="Source Sans Pro SemiBold"/>
        <w:b w:val="0"/>
        <w:bCs/>
        <w:sz w:val="16"/>
        <w:szCs w:val="16"/>
      </w:rPr>
      <w:t>Disclosure log</w:t>
    </w:r>
    <w:r w:rsidR="001F1321" w:rsidRPr="00E93C8F">
      <w:rPr>
        <w:rFonts w:ascii="Source Sans Pro SemiBold" w:hAnsi="Source Sans Pro SemiBold"/>
        <w:b w:val="0"/>
        <w:bCs/>
        <w:sz w:val="16"/>
        <w:szCs w:val="16"/>
      </w:rPr>
      <w:t xml:space="preserve"> </w:t>
    </w:r>
    <w:r w:rsidR="001F1321">
      <w:rPr>
        <w:rFonts w:ascii="Source Sans Pro SemiBold" w:hAnsi="Source Sans Pro SemiBold"/>
        <w:b w:val="0"/>
        <w:bCs/>
        <w:sz w:val="16"/>
        <w:szCs w:val="16"/>
      </w:rPr>
      <w:tab/>
    </w:r>
    <w:r w:rsidR="001F1321">
      <w:rPr>
        <w:rFonts w:ascii="Source Sans Pro SemiBold" w:hAnsi="Source Sans Pro SemiBold"/>
        <w:b w:val="0"/>
        <w:bCs/>
        <w:sz w:val="16"/>
        <w:szCs w:val="16"/>
      </w:rPr>
      <w:tab/>
    </w:r>
    <w:r w:rsidR="001F1321" w:rsidRPr="00EB4F37">
      <w:rPr>
        <w:b w:val="0"/>
        <w:sz w:val="16"/>
        <w:szCs w:val="16"/>
      </w:rPr>
      <w:t>Version 1.</w:t>
    </w:r>
    <w:r w:rsidR="000F452A">
      <w:rPr>
        <w:b w:val="0"/>
        <w:sz w:val="16"/>
        <w:szCs w:val="16"/>
      </w:rPr>
      <w:t>8</w:t>
    </w:r>
    <w:r w:rsidR="001F1321" w:rsidRPr="00EB4F37">
      <w:rPr>
        <w:b w:val="0"/>
        <w:sz w:val="16"/>
        <w:szCs w:val="16"/>
      </w:rPr>
      <w:t xml:space="preserve">, </w:t>
    </w:r>
    <w:r w:rsidR="000F452A">
      <w:rPr>
        <w:b w:val="0"/>
        <w:sz w:val="16"/>
        <w:szCs w:val="16"/>
      </w:rPr>
      <w:t>MONTH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028E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4D677CC"/>
    <w:lvl w:ilvl="0">
      <w:start w:val="1"/>
      <w:numFmt w:val="decimal"/>
      <w:pStyle w:val="121paras"/>
      <w:lvlText w:val="%1."/>
      <w:lvlJc w:val="left"/>
      <w:pPr>
        <w:tabs>
          <w:tab w:val="num" w:pos="1209"/>
        </w:tabs>
        <w:ind w:left="1209" w:hanging="360"/>
      </w:pPr>
    </w:lvl>
  </w:abstractNum>
  <w:abstractNum w:abstractNumId="2" w15:restartNumberingAfterBreak="0">
    <w:nsid w:val="FFFFFF80"/>
    <w:multiLevelType w:val="singleLevel"/>
    <w:tmpl w:val="83A48FCA"/>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6DD04A4A"/>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8"/>
    <w:multiLevelType w:val="singleLevel"/>
    <w:tmpl w:val="D9DC8562"/>
    <w:lvl w:ilvl="0">
      <w:start w:val="1"/>
      <w:numFmt w:val="decimal"/>
      <w:lvlText w:val="%1."/>
      <w:lvlJc w:val="left"/>
      <w:pPr>
        <w:tabs>
          <w:tab w:val="num" w:pos="360"/>
        </w:tabs>
        <w:ind w:left="360" w:hanging="360"/>
      </w:pPr>
    </w:lvl>
  </w:abstractNum>
  <w:abstractNum w:abstractNumId="5" w15:restartNumberingAfterBreak="0">
    <w:nsid w:val="01246AF3"/>
    <w:multiLevelType w:val="hybridMultilevel"/>
    <w:tmpl w:val="E848CDAA"/>
    <w:lvl w:ilvl="0" w:tplc="6AD6F9C6">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6" w15:restartNumberingAfterBreak="0">
    <w:nsid w:val="03F927BB"/>
    <w:multiLevelType w:val="hybridMultilevel"/>
    <w:tmpl w:val="C7A810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4A73B59"/>
    <w:multiLevelType w:val="multilevel"/>
    <w:tmpl w:val="677EED32"/>
    <w:styleLink w:val="NumbersOAIC"/>
    <w:lvl w:ilvl="0">
      <w:start w:val="1"/>
      <w:numFmt w:val="decimal"/>
      <w:pStyle w:val="ListNumber"/>
      <w:lvlText w:val="%1."/>
      <w:lvlJc w:val="left"/>
      <w:pPr>
        <w:ind w:left="284" w:hanging="284"/>
      </w:pPr>
      <w:rPr>
        <w:rFonts w:hint="default"/>
      </w:rPr>
    </w:lvl>
    <w:lvl w:ilvl="1">
      <w:start w:val="1"/>
      <w:numFmt w:val="lowerLetter"/>
      <w:pStyle w:val="ListNumber2"/>
      <w:lvlText w:val="%2."/>
      <w:lvlJc w:val="left"/>
      <w:pPr>
        <w:ind w:left="567" w:hanging="283"/>
      </w:pPr>
      <w:rPr>
        <w:rFonts w:hint="default"/>
      </w:rPr>
    </w:lvl>
    <w:lvl w:ilvl="2">
      <w:start w:val="1"/>
      <w:numFmt w:val="lowerRoman"/>
      <w:pStyle w:val="ListNumber3"/>
      <w:lvlText w:val="%3."/>
      <w:lvlJc w:val="left"/>
      <w:pPr>
        <w:ind w:left="851" w:hanging="284"/>
      </w:pPr>
      <w:rPr>
        <w:rFonts w:hint="default"/>
      </w:rPr>
    </w:lvl>
    <w:lvl w:ilvl="3">
      <w:start w:val="1"/>
      <w:numFmt w:val="none"/>
      <w:lvlText w:val=""/>
      <w:lvlJc w:val="left"/>
      <w:pPr>
        <w:ind w:left="1588" w:hanging="397"/>
      </w:pPr>
      <w:rPr>
        <w:rFonts w:hint="default"/>
      </w:rPr>
    </w:lvl>
    <w:lvl w:ilvl="4">
      <w:start w:val="1"/>
      <w:numFmt w:val="none"/>
      <w:lvlText w:val=""/>
      <w:lvlJc w:val="left"/>
      <w:pPr>
        <w:ind w:left="1985" w:hanging="397"/>
      </w:pPr>
      <w:rPr>
        <w:rFonts w:hint="default"/>
      </w:rPr>
    </w:lvl>
    <w:lvl w:ilvl="5">
      <w:start w:val="1"/>
      <w:numFmt w:val="none"/>
      <w:lvlText w:val=""/>
      <w:lvlJc w:val="right"/>
      <w:pPr>
        <w:ind w:left="2382" w:hanging="397"/>
      </w:pPr>
      <w:rPr>
        <w:rFonts w:hint="default"/>
      </w:rPr>
    </w:lvl>
    <w:lvl w:ilvl="6">
      <w:start w:val="1"/>
      <w:numFmt w:val="none"/>
      <w:lvlText w:val=""/>
      <w:lvlJc w:val="left"/>
      <w:pPr>
        <w:ind w:left="2779" w:hanging="397"/>
      </w:pPr>
      <w:rPr>
        <w:rFonts w:hint="default"/>
      </w:rPr>
    </w:lvl>
    <w:lvl w:ilvl="7">
      <w:start w:val="1"/>
      <w:numFmt w:val="none"/>
      <w:lvlText w:val=""/>
      <w:lvlJc w:val="left"/>
      <w:pPr>
        <w:ind w:left="3176" w:hanging="397"/>
      </w:pPr>
      <w:rPr>
        <w:rFonts w:hint="default"/>
      </w:rPr>
    </w:lvl>
    <w:lvl w:ilvl="8">
      <w:start w:val="1"/>
      <w:numFmt w:val="none"/>
      <w:lvlText w:val=""/>
      <w:lvlJc w:val="right"/>
      <w:pPr>
        <w:ind w:left="3573" w:hanging="397"/>
      </w:pPr>
      <w:rPr>
        <w:rFonts w:hint="default"/>
      </w:rPr>
    </w:lvl>
  </w:abstractNum>
  <w:abstractNum w:abstractNumId="8" w15:restartNumberingAfterBreak="0">
    <w:nsid w:val="05D917B4"/>
    <w:multiLevelType w:val="hybridMultilevel"/>
    <w:tmpl w:val="81C25638"/>
    <w:lvl w:ilvl="0" w:tplc="A748FEE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73E053F"/>
    <w:multiLevelType w:val="hybridMultilevel"/>
    <w:tmpl w:val="BEE4A2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8612297"/>
    <w:multiLevelType w:val="multilevel"/>
    <w:tmpl w:val="D116F774"/>
    <w:styleLink w:val="IndentNumbersOAIC"/>
    <w:lvl w:ilvl="0">
      <w:start w:val="1"/>
      <w:numFmt w:val="lowerLetter"/>
      <w:pStyle w:val="List"/>
      <w:lvlText w:val="%1)"/>
      <w:lvlJc w:val="left"/>
      <w:pPr>
        <w:ind w:left="1097" w:hanging="360"/>
      </w:pPr>
      <w:rPr>
        <w:rFonts w:hint="default"/>
      </w:rPr>
    </w:lvl>
    <w:lvl w:ilvl="1">
      <w:start w:val="1"/>
      <w:numFmt w:val="lowerRoman"/>
      <w:pStyle w:val="List2"/>
      <w:lvlText w:val="%2."/>
      <w:lvlJc w:val="left"/>
      <w:pPr>
        <w:ind w:left="1134" w:hanging="283"/>
      </w:pPr>
      <w:rPr>
        <w:rFonts w:hint="default"/>
      </w:rPr>
    </w:lvl>
    <w:lvl w:ilvl="2">
      <w:start w:val="1"/>
      <w:numFmt w:val="none"/>
      <w:lvlText w:val=""/>
      <w:lvlJc w:val="left"/>
      <w:pPr>
        <w:ind w:left="1758" w:hanging="397"/>
      </w:pPr>
      <w:rPr>
        <w:rFonts w:hint="default"/>
      </w:rPr>
    </w:lvl>
    <w:lvl w:ilvl="3">
      <w:start w:val="1"/>
      <w:numFmt w:val="none"/>
      <w:lvlText w:val=""/>
      <w:lvlJc w:val="left"/>
      <w:pPr>
        <w:ind w:left="2155" w:hanging="397"/>
      </w:pPr>
      <w:rPr>
        <w:rFonts w:hint="default"/>
      </w:rPr>
    </w:lvl>
    <w:lvl w:ilvl="4">
      <w:start w:val="1"/>
      <w:numFmt w:val="none"/>
      <w:lvlText w:val=""/>
      <w:lvlJc w:val="left"/>
      <w:pPr>
        <w:ind w:left="2552" w:hanging="397"/>
      </w:pPr>
      <w:rPr>
        <w:rFonts w:hint="default"/>
      </w:rPr>
    </w:lvl>
    <w:lvl w:ilvl="5">
      <w:start w:val="1"/>
      <w:numFmt w:val="none"/>
      <w:lvlText w:val=""/>
      <w:lvlJc w:val="left"/>
      <w:pPr>
        <w:ind w:left="2949" w:hanging="397"/>
      </w:pPr>
      <w:rPr>
        <w:rFonts w:hint="default"/>
      </w:rPr>
    </w:lvl>
    <w:lvl w:ilvl="6">
      <w:start w:val="1"/>
      <w:numFmt w:val="none"/>
      <w:lvlText w:val=""/>
      <w:lvlJc w:val="left"/>
      <w:pPr>
        <w:ind w:left="3346" w:hanging="397"/>
      </w:pPr>
      <w:rPr>
        <w:rFonts w:hint="default"/>
      </w:rPr>
    </w:lvl>
    <w:lvl w:ilvl="7">
      <w:start w:val="1"/>
      <w:numFmt w:val="none"/>
      <w:lvlText w:val=""/>
      <w:lvlJc w:val="left"/>
      <w:pPr>
        <w:ind w:left="3743" w:hanging="397"/>
      </w:pPr>
      <w:rPr>
        <w:rFonts w:hint="default"/>
      </w:rPr>
    </w:lvl>
    <w:lvl w:ilvl="8">
      <w:start w:val="1"/>
      <w:numFmt w:val="none"/>
      <w:lvlText w:val=""/>
      <w:lvlJc w:val="left"/>
      <w:pPr>
        <w:ind w:left="4140" w:hanging="397"/>
      </w:pPr>
      <w:rPr>
        <w:rFonts w:hint="default"/>
      </w:rPr>
    </w:lvl>
  </w:abstractNum>
  <w:abstractNum w:abstractNumId="11" w15:restartNumberingAfterBreak="0">
    <w:nsid w:val="0A9D4B42"/>
    <w:multiLevelType w:val="hybridMultilevel"/>
    <w:tmpl w:val="C4AEE12A"/>
    <w:lvl w:ilvl="0" w:tplc="A8ECFD38">
      <w:start w:val="1"/>
      <w:numFmt w:val="decimal"/>
      <w:lvlText w:val="%1."/>
      <w:lvlJc w:val="left"/>
      <w:pPr>
        <w:ind w:left="1020" w:hanging="360"/>
      </w:pPr>
    </w:lvl>
    <w:lvl w:ilvl="1" w:tplc="F4560D42">
      <w:start w:val="1"/>
      <w:numFmt w:val="decimal"/>
      <w:lvlText w:val="%2."/>
      <w:lvlJc w:val="left"/>
      <w:pPr>
        <w:ind w:left="1020" w:hanging="360"/>
      </w:pPr>
    </w:lvl>
    <w:lvl w:ilvl="2" w:tplc="EABAA782">
      <w:start w:val="1"/>
      <w:numFmt w:val="decimal"/>
      <w:lvlText w:val="%3."/>
      <w:lvlJc w:val="left"/>
      <w:pPr>
        <w:ind w:left="1020" w:hanging="360"/>
      </w:pPr>
    </w:lvl>
    <w:lvl w:ilvl="3" w:tplc="BF3CF400">
      <w:start w:val="1"/>
      <w:numFmt w:val="decimal"/>
      <w:lvlText w:val="%4."/>
      <w:lvlJc w:val="left"/>
      <w:pPr>
        <w:ind w:left="1020" w:hanging="360"/>
      </w:pPr>
    </w:lvl>
    <w:lvl w:ilvl="4" w:tplc="46DCF0CA">
      <w:start w:val="1"/>
      <w:numFmt w:val="decimal"/>
      <w:lvlText w:val="%5."/>
      <w:lvlJc w:val="left"/>
      <w:pPr>
        <w:ind w:left="1020" w:hanging="360"/>
      </w:pPr>
    </w:lvl>
    <w:lvl w:ilvl="5" w:tplc="3B5C9ACA">
      <w:start w:val="1"/>
      <w:numFmt w:val="decimal"/>
      <w:lvlText w:val="%6."/>
      <w:lvlJc w:val="left"/>
      <w:pPr>
        <w:ind w:left="1020" w:hanging="360"/>
      </w:pPr>
    </w:lvl>
    <w:lvl w:ilvl="6" w:tplc="E5546B1E">
      <w:start w:val="1"/>
      <w:numFmt w:val="decimal"/>
      <w:lvlText w:val="%7."/>
      <w:lvlJc w:val="left"/>
      <w:pPr>
        <w:ind w:left="1020" w:hanging="360"/>
      </w:pPr>
    </w:lvl>
    <w:lvl w:ilvl="7" w:tplc="E134108A">
      <w:start w:val="1"/>
      <w:numFmt w:val="decimal"/>
      <w:lvlText w:val="%8."/>
      <w:lvlJc w:val="left"/>
      <w:pPr>
        <w:ind w:left="1020" w:hanging="360"/>
      </w:pPr>
    </w:lvl>
    <w:lvl w:ilvl="8" w:tplc="EB7A472E">
      <w:start w:val="1"/>
      <w:numFmt w:val="decimal"/>
      <w:lvlText w:val="%9."/>
      <w:lvlJc w:val="left"/>
      <w:pPr>
        <w:ind w:left="1020" w:hanging="360"/>
      </w:pPr>
    </w:lvl>
  </w:abstractNum>
  <w:abstractNum w:abstractNumId="12" w15:restartNumberingAfterBreak="0">
    <w:nsid w:val="0AA0596B"/>
    <w:multiLevelType w:val="hybridMultilevel"/>
    <w:tmpl w:val="45D67D52"/>
    <w:lvl w:ilvl="0" w:tplc="9FC277E0">
      <w:start w:val="1"/>
      <w:numFmt w:val="decimal"/>
      <w:lvlText w:val="%1."/>
      <w:lvlJc w:val="left"/>
      <w:pPr>
        <w:ind w:left="785" w:hanging="360"/>
      </w:pPr>
      <w:rPr>
        <w:rFonts w:hint="default"/>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13" w15:restartNumberingAfterBreak="0">
    <w:nsid w:val="0B4471B6"/>
    <w:multiLevelType w:val="multilevel"/>
    <w:tmpl w:val="56CC5944"/>
    <w:lvl w:ilvl="0">
      <w:start w:val="1"/>
      <w:numFmt w:val="none"/>
      <w:pStyle w:val="Source"/>
      <w:lvlText w:val="Source:"/>
      <w:lvlJc w:val="left"/>
      <w:pPr>
        <w:tabs>
          <w:tab w:val="num" w:pos="567"/>
        </w:tabs>
        <w:ind w:left="567" w:hanging="567"/>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0CF65BD3"/>
    <w:multiLevelType w:val="multilevel"/>
    <w:tmpl w:val="677EED32"/>
    <w:numStyleLink w:val="NumbersOAIC"/>
  </w:abstractNum>
  <w:abstractNum w:abstractNumId="15" w15:restartNumberingAfterBreak="0">
    <w:nsid w:val="0E200221"/>
    <w:multiLevelType w:val="multilevel"/>
    <w:tmpl w:val="4E0A37FE"/>
    <w:styleLink w:val="Notes"/>
    <w:lvl w:ilvl="0">
      <w:start w:val="1"/>
      <w:numFmt w:val="lowerLetter"/>
      <w:pStyle w:val="TableNotes"/>
      <w:lvlText w:val="(%1)"/>
      <w:lvlJc w:val="left"/>
      <w:pPr>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F3227FF"/>
    <w:multiLevelType w:val="multilevel"/>
    <w:tmpl w:val="FC1439A8"/>
    <w:lvl w:ilvl="0">
      <w:start w:val="1"/>
      <w:numFmt w:val="decimal"/>
      <w:lvlText w:val="%1"/>
      <w:lvlJc w:val="left"/>
      <w:pPr>
        <w:ind w:left="360" w:hanging="360"/>
      </w:pPr>
      <w:rPr>
        <w:rFonts w:hint="default"/>
      </w:rPr>
    </w:lvl>
    <w:lvl w:ilvl="1">
      <w:start w:val="1"/>
      <w:numFmt w:val="decimal"/>
      <w:pStyle w:val="CA"/>
      <w:lvlText w:val="%1.%2"/>
      <w:lvlJc w:val="left"/>
      <w:pPr>
        <w:ind w:left="502" w:hanging="360"/>
      </w:pPr>
      <w:rPr>
        <w:rFonts w:hint="default"/>
        <w:i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0FA032E3"/>
    <w:multiLevelType w:val="hybridMultilevel"/>
    <w:tmpl w:val="F90264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04F5883"/>
    <w:multiLevelType w:val="hybridMultilevel"/>
    <w:tmpl w:val="CAB8AB26"/>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9" w15:restartNumberingAfterBreak="0">
    <w:nsid w:val="1124521F"/>
    <w:multiLevelType w:val="hybridMultilevel"/>
    <w:tmpl w:val="E848CDAA"/>
    <w:lvl w:ilvl="0" w:tplc="6AD6F9C6">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0" w15:restartNumberingAfterBreak="0">
    <w:nsid w:val="11714CA8"/>
    <w:multiLevelType w:val="hybridMultilevel"/>
    <w:tmpl w:val="4030F3EA"/>
    <w:lvl w:ilvl="0" w:tplc="0C09000D">
      <w:start w:val="1"/>
      <w:numFmt w:val="bullet"/>
      <w:lvlText w:val=""/>
      <w:lvlJc w:val="left"/>
      <w:pPr>
        <w:ind w:left="360" w:hanging="360"/>
      </w:pPr>
      <w:rPr>
        <w:rFonts w:ascii="Wingdings" w:hAnsi="Wingdings" w:hint="default"/>
      </w:rPr>
    </w:lvl>
    <w:lvl w:ilvl="1" w:tplc="18888790">
      <w:start w:val="1"/>
      <w:numFmt w:val="lowerLetter"/>
      <w:lvlText w:val="(%2)"/>
      <w:lvlJc w:val="left"/>
      <w:pPr>
        <w:ind w:left="1080" w:hanging="360"/>
      </w:pPr>
      <w:rPr>
        <w:rFonts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12A1534B"/>
    <w:multiLevelType w:val="multilevel"/>
    <w:tmpl w:val="4E9C4C7E"/>
    <w:styleLink w:val="BulletsOAIC"/>
    <w:lvl w:ilvl="0">
      <w:start w:val="1"/>
      <w:numFmt w:val="bullet"/>
      <w:lvlText w:val=""/>
      <w:lvlJc w:val="left"/>
      <w:pPr>
        <w:ind w:left="227" w:hanging="227"/>
      </w:pPr>
      <w:rPr>
        <w:rFonts w:ascii="Symbol" w:hAnsi="Symbol" w:hint="default"/>
        <w:b w:val="0"/>
        <w:bCs w:val="0"/>
        <w:i w:val="0"/>
        <w:iCs w:val="0"/>
        <w:caps w:val="0"/>
        <w:smallCaps w:val="0"/>
        <w:strike w:val="0"/>
        <w:dstrike w:val="0"/>
        <w:vanish w:val="0"/>
        <w:color w:val="auto"/>
        <w:spacing w:val="0"/>
        <w:kern w:val="0"/>
        <w:position w:val="0"/>
        <w:u w:val="none" w:color="DDD8D9" w:themeColor="accent1"/>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lvlText w:val="o"/>
      <w:lvlJc w:val="left"/>
      <w:pPr>
        <w:ind w:left="454" w:hanging="227"/>
      </w:pPr>
      <w:rPr>
        <w:rFonts w:ascii="Courier New" w:hAnsi="Courier New" w:hint="default"/>
        <w:color w:val="auto"/>
      </w:rPr>
    </w:lvl>
    <w:lvl w:ilvl="2">
      <w:start w:val="1"/>
      <w:numFmt w:val="none"/>
      <w:lvlText w:val=""/>
      <w:lvlJc w:val="left"/>
      <w:pPr>
        <w:ind w:left="681" w:hanging="227"/>
      </w:pPr>
      <w:rPr>
        <w:rFonts w:hint="default"/>
      </w:rPr>
    </w:lvl>
    <w:lvl w:ilvl="3">
      <w:start w:val="1"/>
      <w:numFmt w:val="none"/>
      <w:lvlText w:val=""/>
      <w:lvlJc w:val="left"/>
      <w:pPr>
        <w:ind w:left="908" w:hanging="227"/>
      </w:pPr>
      <w:rPr>
        <w:rFonts w:hint="default"/>
      </w:rPr>
    </w:lvl>
    <w:lvl w:ilvl="4">
      <w:start w:val="1"/>
      <w:numFmt w:val="none"/>
      <w:lvlText w:val=""/>
      <w:lvlJc w:val="left"/>
      <w:pPr>
        <w:ind w:left="1135" w:hanging="227"/>
      </w:pPr>
      <w:rPr>
        <w:rFonts w:hint="default"/>
      </w:rPr>
    </w:lvl>
    <w:lvl w:ilvl="5">
      <w:start w:val="1"/>
      <w:numFmt w:val="none"/>
      <w:lvlText w:val=""/>
      <w:lvlJc w:val="left"/>
      <w:pPr>
        <w:ind w:left="1362" w:hanging="227"/>
      </w:pPr>
      <w:rPr>
        <w:rFonts w:hint="default"/>
      </w:rPr>
    </w:lvl>
    <w:lvl w:ilvl="6">
      <w:start w:val="1"/>
      <w:numFmt w:val="none"/>
      <w:lvlText w:val=""/>
      <w:lvlJc w:val="left"/>
      <w:pPr>
        <w:ind w:left="1589" w:hanging="227"/>
      </w:pPr>
      <w:rPr>
        <w:rFonts w:hint="default"/>
      </w:rPr>
    </w:lvl>
    <w:lvl w:ilvl="7">
      <w:start w:val="1"/>
      <w:numFmt w:val="none"/>
      <w:lvlText w:val=""/>
      <w:lvlJc w:val="left"/>
      <w:pPr>
        <w:ind w:left="1816" w:hanging="227"/>
      </w:pPr>
      <w:rPr>
        <w:rFonts w:hint="default"/>
      </w:rPr>
    </w:lvl>
    <w:lvl w:ilvl="8">
      <w:start w:val="1"/>
      <w:numFmt w:val="none"/>
      <w:lvlText w:val=""/>
      <w:lvlJc w:val="left"/>
      <w:pPr>
        <w:ind w:left="2043" w:hanging="227"/>
      </w:pPr>
      <w:rPr>
        <w:rFonts w:hint="default"/>
      </w:rPr>
    </w:lvl>
  </w:abstractNum>
  <w:abstractNum w:abstractNumId="22" w15:restartNumberingAfterBreak="0">
    <w:nsid w:val="13100CEA"/>
    <w:multiLevelType w:val="multilevel"/>
    <w:tmpl w:val="9C3E9D44"/>
    <w:lvl w:ilvl="0">
      <w:start w:val="1"/>
      <w:numFmt w:val="decimal"/>
      <w:lvlText w:val="%1"/>
      <w:lvlJc w:val="left"/>
      <w:pPr>
        <w:ind w:left="140" w:hanging="708"/>
      </w:pPr>
      <w:rPr>
        <w:rFonts w:hint="default"/>
      </w:rPr>
    </w:lvl>
    <w:lvl w:ilvl="1">
      <w:start w:val="1"/>
      <w:numFmt w:val="decimal"/>
      <w:pStyle w:val="PARAZ"/>
      <w:lvlText w:val="%1.%2"/>
      <w:lvlJc w:val="left"/>
      <w:pPr>
        <w:ind w:left="2977" w:hanging="708"/>
      </w:pPr>
      <w:rPr>
        <w:rFonts w:ascii="Calibri" w:eastAsia="Calibri" w:hAnsi="Calibri" w:hint="default"/>
        <w:i w:val="0"/>
        <w:w w:val="99"/>
        <w:sz w:val="24"/>
        <w:szCs w:val="24"/>
      </w:rPr>
    </w:lvl>
    <w:lvl w:ilvl="2">
      <w:start w:val="1"/>
      <w:numFmt w:val="bullet"/>
      <w:pStyle w:val="abulet"/>
      <w:lvlText w:val=""/>
      <w:lvlJc w:val="left"/>
      <w:pPr>
        <w:ind w:left="1701" w:hanging="425"/>
      </w:pPr>
      <w:rPr>
        <w:rFonts w:ascii="Symbol" w:eastAsia="Symbol" w:hAnsi="Symbol" w:hint="default"/>
        <w:sz w:val="24"/>
        <w:szCs w:val="24"/>
      </w:rPr>
    </w:lvl>
    <w:lvl w:ilvl="3">
      <w:start w:val="1"/>
      <w:numFmt w:val="bullet"/>
      <w:lvlText w:val="•"/>
      <w:lvlJc w:val="left"/>
      <w:pPr>
        <w:ind w:left="706" w:hanging="425"/>
      </w:pPr>
      <w:rPr>
        <w:rFonts w:hint="default"/>
      </w:rPr>
    </w:lvl>
    <w:lvl w:ilvl="4">
      <w:start w:val="1"/>
      <w:numFmt w:val="bullet"/>
      <w:lvlText w:val="•"/>
      <w:lvlJc w:val="left"/>
      <w:pPr>
        <w:ind w:left="706" w:hanging="425"/>
      </w:pPr>
      <w:rPr>
        <w:rFonts w:hint="default"/>
      </w:rPr>
    </w:lvl>
    <w:lvl w:ilvl="5">
      <w:start w:val="1"/>
      <w:numFmt w:val="bullet"/>
      <w:lvlText w:val="•"/>
      <w:lvlJc w:val="left"/>
      <w:pPr>
        <w:ind w:left="2139" w:hanging="425"/>
      </w:pPr>
      <w:rPr>
        <w:rFonts w:hint="default"/>
      </w:rPr>
    </w:lvl>
    <w:lvl w:ilvl="6">
      <w:start w:val="1"/>
      <w:numFmt w:val="bullet"/>
      <w:lvlText w:val="•"/>
      <w:lvlJc w:val="left"/>
      <w:pPr>
        <w:ind w:left="3573" w:hanging="425"/>
      </w:pPr>
      <w:rPr>
        <w:rFonts w:hint="default"/>
      </w:rPr>
    </w:lvl>
    <w:lvl w:ilvl="7">
      <w:start w:val="1"/>
      <w:numFmt w:val="bullet"/>
      <w:lvlText w:val="•"/>
      <w:lvlJc w:val="left"/>
      <w:pPr>
        <w:ind w:left="5006" w:hanging="425"/>
      </w:pPr>
      <w:rPr>
        <w:rFonts w:hint="default"/>
      </w:rPr>
    </w:lvl>
    <w:lvl w:ilvl="8">
      <w:start w:val="1"/>
      <w:numFmt w:val="bullet"/>
      <w:lvlText w:val="•"/>
      <w:lvlJc w:val="left"/>
      <w:pPr>
        <w:ind w:left="6439" w:hanging="425"/>
      </w:pPr>
      <w:rPr>
        <w:rFonts w:hint="default"/>
      </w:rPr>
    </w:lvl>
  </w:abstractNum>
  <w:abstractNum w:abstractNumId="23" w15:restartNumberingAfterBreak="0">
    <w:nsid w:val="13717F1A"/>
    <w:multiLevelType w:val="hybridMultilevel"/>
    <w:tmpl w:val="956826EE"/>
    <w:lvl w:ilvl="0" w:tplc="0C090017">
      <w:start w:val="1"/>
      <w:numFmt w:val="lowerLetter"/>
      <w:lvlText w:val="%1)"/>
      <w:lvlJc w:val="left"/>
      <w:pPr>
        <w:ind w:left="1778" w:hanging="360"/>
      </w:pPr>
      <w:rPr>
        <w:rFonts w:hint="default"/>
        <w:spacing w:val="-1"/>
        <w:sz w:val="24"/>
        <w:szCs w:val="24"/>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24" w15:restartNumberingAfterBreak="0">
    <w:nsid w:val="13B83011"/>
    <w:multiLevelType w:val="multilevel"/>
    <w:tmpl w:val="80EC5F56"/>
    <w:lvl w:ilvl="0">
      <w:start w:val="14"/>
      <w:numFmt w:val="decimal"/>
      <w:suff w:val="space"/>
      <w:lvlText w:val="Part %1:"/>
      <w:lvlJc w:val="left"/>
      <w:pPr>
        <w:ind w:left="0" w:firstLine="0"/>
      </w:pPr>
      <w:rPr>
        <w:rFonts w:hint="default"/>
      </w:rPr>
    </w:lvl>
    <w:lvl w:ilvl="1">
      <w:start w:val="1"/>
      <w:numFmt w:val="bullet"/>
      <w:lvlText w:val=""/>
      <w:lvlJc w:val="left"/>
      <w:pPr>
        <w:ind w:left="1135" w:hanging="567"/>
      </w:pPr>
      <w:rPr>
        <w:rFonts w:ascii="Symbol" w:hAnsi="Symbol" w:hint="default"/>
        <w:b w:val="0"/>
        <w:bCs w:val="0"/>
        <w:i w:val="0"/>
        <w:iCs w:val="0"/>
        <w:caps w:val="0"/>
        <w:smallCaps w:val="0"/>
        <w:strike w:val="0"/>
        <w:dstrike w:val="0"/>
        <w:outline w:val="0"/>
        <w:shadow w:val="0"/>
        <w:emboss w:val="0"/>
        <w:imprint w:val="0"/>
        <w:noProof w:val="0"/>
        <w:vanish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none"/>
      <w:lvlText w:val=""/>
      <w:lvlJc w:val="left"/>
      <w:pPr>
        <w:ind w:left="397" w:hanging="397"/>
      </w:pPr>
      <w:rPr>
        <w:rFonts w:hint="default"/>
      </w:rPr>
    </w:lvl>
    <w:lvl w:ilvl="3">
      <w:start w:val="1"/>
      <w:numFmt w:val="none"/>
      <w:lvlText w:val=""/>
      <w:lvlJc w:val="left"/>
      <w:pPr>
        <w:ind w:left="397" w:hanging="397"/>
      </w:pPr>
      <w:rPr>
        <w:rFonts w:hint="default"/>
      </w:rPr>
    </w:lvl>
    <w:lvl w:ilvl="4">
      <w:start w:val="1"/>
      <w:numFmt w:val="none"/>
      <w:lvlText w:val=""/>
      <w:lvlJc w:val="left"/>
      <w:pPr>
        <w:ind w:left="397" w:hanging="397"/>
      </w:pPr>
      <w:rPr>
        <w:rFonts w:hint="default"/>
      </w:rPr>
    </w:lvl>
    <w:lvl w:ilvl="5">
      <w:start w:val="1"/>
      <w:numFmt w:val="none"/>
      <w:lvlText w:val=""/>
      <w:lvlJc w:val="left"/>
      <w:pPr>
        <w:ind w:left="397" w:hanging="397"/>
      </w:pPr>
      <w:rPr>
        <w:rFonts w:hint="default"/>
      </w:rPr>
    </w:lvl>
    <w:lvl w:ilvl="6">
      <w:start w:val="1"/>
      <w:numFmt w:val="none"/>
      <w:lvlText w:val=""/>
      <w:lvlJc w:val="left"/>
      <w:pPr>
        <w:ind w:left="397" w:hanging="397"/>
      </w:pPr>
      <w:rPr>
        <w:rFonts w:hint="default"/>
      </w:rPr>
    </w:lvl>
    <w:lvl w:ilvl="7">
      <w:start w:val="1"/>
      <w:numFmt w:val="none"/>
      <w:lvlText w:val=""/>
      <w:lvlJc w:val="left"/>
      <w:pPr>
        <w:ind w:left="397" w:hanging="397"/>
      </w:pPr>
      <w:rPr>
        <w:rFonts w:hint="default"/>
      </w:rPr>
    </w:lvl>
    <w:lvl w:ilvl="8">
      <w:start w:val="1"/>
      <w:numFmt w:val="none"/>
      <w:lvlText w:val=""/>
      <w:lvlJc w:val="left"/>
      <w:pPr>
        <w:ind w:left="397" w:hanging="397"/>
      </w:pPr>
      <w:rPr>
        <w:rFonts w:hint="default"/>
      </w:rPr>
    </w:lvl>
  </w:abstractNum>
  <w:abstractNum w:abstractNumId="25" w15:restartNumberingAfterBreak="0">
    <w:nsid w:val="159E766F"/>
    <w:multiLevelType w:val="multilevel"/>
    <w:tmpl w:val="D446FADC"/>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1021" w:hanging="1021"/>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389" w:hanging="1389"/>
      </w:pPr>
      <w:rPr>
        <w:rFonts w:hint="default"/>
      </w:rPr>
    </w:lvl>
    <w:lvl w:ilvl="5">
      <w:start w:val="1"/>
      <w:numFmt w:val="none"/>
      <w:lvlText w:val=""/>
      <w:lvlJc w:val="left"/>
      <w:pPr>
        <w:tabs>
          <w:tab w:val="num" w:pos="561"/>
        </w:tabs>
        <w:ind w:left="1134" w:hanging="1134"/>
      </w:pPr>
      <w:rPr>
        <w:rFonts w:hint="default"/>
      </w:rPr>
    </w:lvl>
    <w:lvl w:ilvl="6">
      <w:start w:val="1"/>
      <w:numFmt w:val="none"/>
      <w:lvlText w:val=""/>
      <w:lvlJc w:val="left"/>
      <w:pPr>
        <w:tabs>
          <w:tab w:val="num" w:pos="561"/>
        </w:tabs>
        <w:ind w:left="1134" w:hanging="1134"/>
      </w:pPr>
      <w:rPr>
        <w:rFonts w:hint="default"/>
      </w:rPr>
    </w:lvl>
    <w:lvl w:ilvl="7">
      <w:start w:val="1"/>
      <w:numFmt w:val="none"/>
      <w:lvlText w:val=""/>
      <w:lvlJc w:val="left"/>
      <w:pPr>
        <w:tabs>
          <w:tab w:val="num" w:pos="561"/>
        </w:tabs>
        <w:ind w:left="1134" w:hanging="1134"/>
      </w:pPr>
      <w:rPr>
        <w:rFonts w:hint="default"/>
      </w:rPr>
    </w:lvl>
    <w:lvl w:ilvl="8">
      <w:start w:val="1"/>
      <w:numFmt w:val="none"/>
      <w:lvlText w:val=""/>
      <w:lvlJc w:val="left"/>
      <w:pPr>
        <w:tabs>
          <w:tab w:val="num" w:pos="561"/>
        </w:tabs>
        <w:ind w:left="1134" w:hanging="1134"/>
      </w:pPr>
      <w:rPr>
        <w:rFonts w:hint="default"/>
      </w:rPr>
    </w:lvl>
  </w:abstractNum>
  <w:abstractNum w:abstractNumId="26" w15:restartNumberingAfterBreak="0">
    <w:nsid w:val="1814797A"/>
    <w:multiLevelType w:val="hybridMultilevel"/>
    <w:tmpl w:val="23F48F6C"/>
    <w:lvl w:ilvl="0" w:tplc="29D08948">
      <w:start w:val="1"/>
      <w:numFmt w:val="decimal"/>
      <w:pStyle w:val="Numberpara13"/>
      <w:lvlText w:val="B.%1"/>
      <w:lvlJc w:val="left"/>
      <w:pPr>
        <w:ind w:left="2629" w:hanging="360"/>
      </w:pPr>
      <w:rPr>
        <w:rFonts w:ascii="Calibri" w:hAnsi="Calibri" w:hint="default"/>
        <w:b w:val="0"/>
        <w:i w:val="0"/>
        <w:sz w:val="24"/>
        <w:szCs w:val="24"/>
      </w:rPr>
    </w:lvl>
    <w:lvl w:ilvl="1" w:tplc="0C090019">
      <w:start w:val="1"/>
      <w:numFmt w:val="lowerLetter"/>
      <w:lvlText w:val="%2."/>
      <w:lvlJc w:val="left"/>
      <w:pPr>
        <w:ind w:left="3709" w:hanging="360"/>
      </w:pPr>
    </w:lvl>
    <w:lvl w:ilvl="2" w:tplc="AA864CF6">
      <w:start w:val="1"/>
      <w:numFmt w:val="lowerLetter"/>
      <w:lvlText w:val="(%3)"/>
      <w:lvlJc w:val="left"/>
      <w:pPr>
        <w:ind w:left="4624" w:hanging="375"/>
      </w:pPr>
      <w:rPr>
        <w:rFonts w:hint="default"/>
      </w:rPr>
    </w:lvl>
    <w:lvl w:ilvl="3" w:tplc="0C09000F" w:tentative="1">
      <w:start w:val="1"/>
      <w:numFmt w:val="decimal"/>
      <w:lvlText w:val="%4."/>
      <w:lvlJc w:val="left"/>
      <w:pPr>
        <w:ind w:left="5149" w:hanging="360"/>
      </w:pPr>
    </w:lvl>
    <w:lvl w:ilvl="4" w:tplc="0C090019" w:tentative="1">
      <w:start w:val="1"/>
      <w:numFmt w:val="lowerLetter"/>
      <w:lvlText w:val="%5."/>
      <w:lvlJc w:val="left"/>
      <w:pPr>
        <w:ind w:left="5869" w:hanging="360"/>
      </w:pPr>
    </w:lvl>
    <w:lvl w:ilvl="5" w:tplc="0C09001B" w:tentative="1">
      <w:start w:val="1"/>
      <w:numFmt w:val="lowerRoman"/>
      <w:lvlText w:val="%6."/>
      <w:lvlJc w:val="right"/>
      <w:pPr>
        <w:ind w:left="6589" w:hanging="180"/>
      </w:pPr>
    </w:lvl>
    <w:lvl w:ilvl="6" w:tplc="0C09000F" w:tentative="1">
      <w:start w:val="1"/>
      <w:numFmt w:val="decimal"/>
      <w:lvlText w:val="%7."/>
      <w:lvlJc w:val="left"/>
      <w:pPr>
        <w:ind w:left="7309" w:hanging="360"/>
      </w:pPr>
    </w:lvl>
    <w:lvl w:ilvl="7" w:tplc="0C090019" w:tentative="1">
      <w:start w:val="1"/>
      <w:numFmt w:val="lowerLetter"/>
      <w:lvlText w:val="%8."/>
      <w:lvlJc w:val="left"/>
      <w:pPr>
        <w:ind w:left="8029" w:hanging="360"/>
      </w:pPr>
    </w:lvl>
    <w:lvl w:ilvl="8" w:tplc="0C09001B" w:tentative="1">
      <w:start w:val="1"/>
      <w:numFmt w:val="lowerRoman"/>
      <w:lvlText w:val="%9."/>
      <w:lvlJc w:val="right"/>
      <w:pPr>
        <w:ind w:left="8749" w:hanging="180"/>
      </w:pPr>
    </w:lvl>
  </w:abstractNum>
  <w:abstractNum w:abstractNumId="27" w15:restartNumberingAfterBreak="0">
    <w:nsid w:val="1AC244BB"/>
    <w:multiLevelType w:val="hybridMultilevel"/>
    <w:tmpl w:val="D59C3F86"/>
    <w:lvl w:ilvl="0" w:tplc="6ED66C8A">
      <w:start w:val="1"/>
      <w:numFmt w:val="decimal"/>
      <w:pStyle w:val="numberedpara1"/>
      <w:lvlText w:val="1.%1"/>
      <w:lvlJc w:val="left"/>
      <w:pPr>
        <w:ind w:left="786"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8" w15:restartNumberingAfterBreak="0">
    <w:nsid w:val="1BBD5E04"/>
    <w:multiLevelType w:val="hybridMultilevel"/>
    <w:tmpl w:val="14986E9C"/>
    <w:lvl w:ilvl="0" w:tplc="C58054DE">
      <w:start w:val="1"/>
      <w:numFmt w:val="decimal"/>
      <w:pStyle w:val="51numbers"/>
      <w:lvlText w:val="5.%1"/>
      <w:lvlJc w:val="left"/>
      <w:pPr>
        <w:ind w:left="36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9" w15:restartNumberingAfterBreak="0">
    <w:nsid w:val="1FE30A97"/>
    <w:multiLevelType w:val="hybridMultilevel"/>
    <w:tmpl w:val="7272E9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1FF53020"/>
    <w:multiLevelType w:val="hybridMultilevel"/>
    <w:tmpl w:val="4D24D6CA"/>
    <w:lvl w:ilvl="0" w:tplc="FA16E3B6">
      <w:start w:val="1"/>
      <w:numFmt w:val="lowerLetter"/>
      <w:lvlText w:val="(%1)"/>
      <w:lvlJc w:val="left"/>
      <w:pPr>
        <w:ind w:left="538" w:hanging="538"/>
      </w:pPr>
      <w:rPr>
        <w:rFonts w:cs="Times New Roman" w:hint="default"/>
      </w:rPr>
    </w:lvl>
    <w:lvl w:ilvl="1" w:tplc="0C090019" w:tentative="1">
      <w:start w:val="1"/>
      <w:numFmt w:val="lowerLetter"/>
      <w:lvlText w:val="%2."/>
      <w:lvlJc w:val="left"/>
      <w:pPr>
        <w:ind w:left="796" w:hanging="360"/>
      </w:pPr>
      <w:rPr>
        <w:rFonts w:cs="Times New Roman"/>
      </w:rPr>
    </w:lvl>
    <w:lvl w:ilvl="2" w:tplc="0C09001B" w:tentative="1">
      <w:start w:val="1"/>
      <w:numFmt w:val="lowerRoman"/>
      <w:lvlText w:val="%3."/>
      <w:lvlJc w:val="right"/>
      <w:pPr>
        <w:ind w:left="1516" w:hanging="180"/>
      </w:pPr>
      <w:rPr>
        <w:rFonts w:cs="Times New Roman"/>
      </w:rPr>
    </w:lvl>
    <w:lvl w:ilvl="3" w:tplc="0C09000F" w:tentative="1">
      <w:start w:val="1"/>
      <w:numFmt w:val="decimal"/>
      <w:lvlText w:val="%4."/>
      <w:lvlJc w:val="left"/>
      <w:pPr>
        <w:ind w:left="2236" w:hanging="360"/>
      </w:pPr>
      <w:rPr>
        <w:rFonts w:cs="Times New Roman"/>
      </w:rPr>
    </w:lvl>
    <w:lvl w:ilvl="4" w:tplc="0C090019" w:tentative="1">
      <w:start w:val="1"/>
      <w:numFmt w:val="lowerLetter"/>
      <w:lvlText w:val="%5."/>
      <w:lvlJc w:val="left"/>
      <w:pPr>
        <w:ind w:left="2956" w:hanging="360"/>
      </w:pPr>
      <w:rPr>
        <w:rFonts w:cs="Times New Roman"/>
      </w:rPr>
    </w:lvl>
    <w:lvl w:ilvl="5" w:tplc="0C09001B" w:tentative="1">
      <w:start w:val="1"/>
      <w:numFmt w:val="lowerRoman"/>
      <w:lvlText w:val="%6."/>
      <w:lvlJc w:val="right"/>
      <w:pPr>
        <w:ind w:left="3676" w:hanging="180"/>
      </w:pPr>
      <w:rPr>
        <w:rFonts w:cs="Times New Roman"/>
      </w:rPr>
    </w:lvl>
    <w:lvl w:ilvl="6" w:tplc="0C09000F" w:tentative="1">
      <w:start w:val="1"/>
      <w:numFmt w:val="decimal"/>
      <w:lvlText w:val="%7."/>
      <w:lvlJc w:val="left"/>
      <w:pPr>
        <w:ind w:left="4396" w:hanging="360"/>
      </w:pPr>
      <w:rPr>
        <w:rFonts w:cs="Times New Roman"/>
      </w:rPr>
    </w:lvl>
    <w:lvl w:ilvl="7" w:tplc="0C090019" w:tentative="1">
      <w:start w:val="1"/>
      <w:numFmt w:val="lowerLetter"/>
      <w:lvlText w:val="%8."/>
      <w:lvlJc w:val="left"/>
      <w:pPr>
        <w:ind w:left="5116" w:hanging="360"/>
      </w:pPr>
      <w:rPr>
        <w:rFonts w:cs="Times New Roman"/>
      </w:rPr>
    </w:lvl>
    <w:lvl w:ilvl="8" w:tplc="0C09001B" w:tentative="1">
      <w:start w:val="1"/>
      <w:numFmt w:val="lowerRoman"/>
      <w:lvlText w:val="%9."/>
      <w:lvlJc w:val="right"/>
      <w:pPr>
        <w:ind w:left="5836" w:hanging="180"/>
      </w:pPr>
      <w:rPr>
        <w:rFonts w:cs="Times New Roman"/>
      </w:rPr>
    </w:lvl>
  </w:abstractNum>
  <w:abstractNum w:abstractNumId="31" w15:restartNumberingAfterBreak="0">
    <w:nsid w:val="223632FD"/>
    <w:multiLevelType w:val="multilevel"/>
    <w:tmpl w:val="D1203646"/>
    <w:styleLink w:val="TableNumbersOAIC"/>
    <w:lvl w:ilvl="0">
      <w:start w:val="1"/>
      <w:numFmt w:val="decimal"/>
      <w:pStyle w:val="TableNumber"/>
      <w:lvlText w:val="%1."/>
      <w:lvlJc w:val="left"/>
      <w:pPr>
        <w:ind w:left="284" w:hanging="284"/>
      </w:pPr>
      <w:rPr>
        <w:rFonts w:hint="default"/>
      </w:rPr>
    </w:lvl>
    <w:lvl w:ilvl="1">
      <w:start w:val="1"/>
      <w:numFmt w:val="none"/>
      <w:lvlText w:val=""/>
      <w:lvlJc w:val="left"/>
      <w:pPr>
        <w:ind w:left="568" w:hanging="284"/>
      </w:pPr>
      <w:rPr>
        <w:rFonts w:hint="default"/>
      </w:rPr>
    </w:lvl>
    <w:lvl w:ilvl="2">
      <w:start w:val="1"/>
      <w:numFmt w:val="none"/>
      <w:lvlText w:val=""/>
      <w:lvlJc w:val="righ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righ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right"/>
      <w:pPr>
        <w:ind w:left="2556" w:hanging="284"/>
      </w:pPr>
      <w:rPr>
        <w:rFonts w:hint="default"/>
      </w:rPr>
    </w:lvl>
  </w:abstractNum>
  <w:abstractNum w:abstractNumId="32" w15:restartNumberingAfterBreak="0">
    <w:nsid w:val="247847F4"/>
    <w:multiLevelType w:val="multilevel"/>
    <w:tmpl w:val="8AB0FF14"/>
    <w:lvl w:ilvl="0">
      <w:start w:val="4"/>
      <w:numFmt w:val="decimal"/>
      <w:lvlText w:val="%1"/>
      <w:lvlJc w:val="left"/>
      <w:pPr>
        <w:ind w:left="140" w:hanging="708"/>
      </w:pPr>
      <w:rPr>
        <w:rFonts w:hint="default"/>
      </w:rPr>
    </w:lvl>
    <w:lvl w:ilvl="1">
      <w:start w:val="1"/>
      <w:numFmt w:val="decimal"/>
      <w:pStyle w:val="Paragraphnumberkc"/>
      <w:lvlText w:val="%1.%2"/>
      <w:lvlJc w:val="left"/>
      <w:pPr>
        <w:ind w:left="8789" w:hanging="708"/>
        <w:jc w:val="right"/>
      </w:pPr>
      <w:rPr>
        <w:rFonts w:ascii="Calibri" w:eastAsia="Calibri" w:hAnsi="Calibri" w:hint="default"/>
        <w:w w:val="99"/>
        <w:sz w:val="24"/>
        <w:szCs w:val="24"/>
      </w:rPr>
    </w:lvl>
    <w:lvl w:ilvl="2">
      <w:start w:val="1"/>
      <w:numFmt w:val="lowerLetter"/>
      <w:lvlText w:val="%3)"/>
      <w:lvlJc w:val="left"/>
      <w:pPr>
        <w:ind w:left="706" w:hanging="425"/>
      </w:pPr>
      <w:rPr>
        <w:rFonts w:hint="default"/>
        <w:spacing w:val="-1"/>
        <w:sz w:val="24"/>
        <w:szCs w:val="24"/>
      </w:rPr>
    </w:lvl>
    <w:lvl w:ilvl="3">
      <w:start w:val="1"/>
      <w:numFmt w:val="bullet"/>
      <w:lvlText w:val="•"/>
      <w:lvlJc w:val="left"/>
      <w:pPr>
        <w:ind w:left="706" w:hanging="425"/>
      </w:pPr>
      <w:rPr>
        <w:rFonts w:hint="default"/>
      </w:rPr>
    </w:lvl>
    <w:lvl w:ilvl="4">
      <w:start w:val="1"/>
      <w:numFmt w:val="bullet"/>
      <w:lvlText w:val="•"/>
      <w:lvlJc w:val="left"/>
      <w:pPr>
        <w:ind w:left="706" w:hanging="425"/>
      </w:pPr>
      <w:rPr>
        <w:rFonts w:hint="default"/>
      </w:rPr>
    </w:lvl>
    <w:lvl w:ilvl="5">
      <w:start w:val="1"/>
      <w:numFmt w:val="bullet"/>
      <w:lvlText w:val="•"/>
      <w:lvlJc w:val="left"/>
      <w:pPr>
        <w:ind w:left="706" w:hanging="425"/>
      </w:pPr>
      <w:rPr>
        <w:rFonts w:hint="default"/>
      </w:rPr>
    </w:lvl>
    <w:lvl w:ilvl="6">
      <w:start w:val="1"/>
      <w:numFmt w:val="bullet"/>
      <w:lvlText w:val="•"/>
      <w:lvlJc w:val="left"/>
      <w:pPr>
        <w:ind w:left="706" w:hanging="425"/>
      </w:pPr>
      <w:rPr>
        <w:rFonts w:hint="default"/>
      </w:rPr>
    </w:lvl>
    <w:lvl w:ilvl="7">
      <w:start w:val="1"/>
      <w:numFmt w:val="bullet"/>
      <w:lvlText w:val="•"/>
      <w:lvlJc w:val="left"/>
      <w:pPr>
        <w:ind w:left="706" w:hanging="425"/>
      </w:pPr>
      <w:rPr>
        <w:rFonts w:hint="default"/>
      </w:rPr>
    </w:lvl>
    <w:lvl w:ilvl="8">
      <w:start w:val="1"/>
      <w:numFmt w:val="bullet"/>
      <w:lvlText w:val="•"/>
      <w:lvlJc w:val="left"/>
      <w:pPr>
        <w:ind w:left="786" w:hanging="425"/>
      </w:pPr>
      <w:rPr>
        <w:rFonts w:hint="default"/>
      </w:rPr>
    </w:lvl>
  </w:abstractNum>
  <w:abstractNum w:abstractNumId="33" w15:restartNumberingAfterBreak="0">
    <w:nsid w:val="27DC4F38"/>
    <w:multiLevelType w:val="hybridMultilevel"/>
    <w:tmpl w:val="F61C2D2E"/>
    <w:lvl w:ilvl="0" w:tplc="BBAAF042">
      <w:start w:val="1"/>
      <w:numFmt w:val="decimal"/>
      <w:pStyle w:val="Numberedparagraph"/>
      <w:lvlText w:val="12.%1"/>
      <w:lvlJc w:val="left"/>
      <w:pPr>
        <w:ind w:left="1353"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15:restartNumberingAfterBreak="0">
    <w:nsid w:val="2850408E"/>
    <w:multiLevelType w:val="hybridMultilevel"/>
    <w:tmpl w:val="97D08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B691973"/>
    <w:multiLevelType w:val="hybridMultilevel"/>
    <w:tmpl w:val="0BD42184"/>
    <w:lvl w:ilvl="0" w:tplc="8F866982">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6" w15:restartNumberingAfterBreak="0">
    <w:nsid w:val="2D7809B3"/>
    <w:multiLevelType w:val="hybridMultilevel"/>
    <w:tmpl w:val="A7304A3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30641B3E"/>
    <w:multiLevelType w:val="multilevel"/>
    <w:tmpl w:val="4E0A37FE"/>
    <w:numStyleLink w:val="Notes"/>
  </w:abstractNum>
  <w:abstractNum w:abstractNumId="38" w15:restartNumberingAfterBreak="0">
    <w:nsid w:val="312056B4"/>
    <w:multiLevelType w:val="hybridMultilevel"/>
    <w:tmpl w:val="DA98B7D6"/>
    <w:lvl w:ilvl="0" w:tplc="0C090001">
      <w:start w:val="1"/>
      <w:numFmt w:val="bullet"/>
      <w:lvlText w:val=""/>
      <w:lvlJc w:val="left"/>
      <w:pPr>
        <w:ind w:left="927" w:hanging="360"/>
      </w:pPr>
      <w:rPr>
        <w:rFonts w:ascii="Symbol" w:hAnsi="Symbol" w:hint="default"/>
      </w:rPr>
    </w:lvl>
    <w:lvl w:ilvl="1" w:tplc="0C090001">
      <w:start w:val="1"/>
      <w:numFmt w:val="bullet"/>
      <w:lvlText w:val=""/>
      <w:lvlJc w:val="left"/>
      <w:pPr>
        <w:ind w:left="1647" w:hanging="360"/>
      </w:pPr>
      <w:rPr>
        <w:rFonts w:ascii="Symbol" w:hAnsi="Symbol" w:hint="default"/>
      </w:rPr>
    </w:lvl>
    <w:lvl w:ilvl="2" w:tplc="0C09001B">
      <w:start w:val="1"/>
      <w:numFmt w:val="decimal"/>
      <w:lvlText w:val="%3."/>
      <w:lvlJc w:val="left"/>
      <w:pPr>
        <w:tabs>
          <w:tab w:val="num" w:pos="2367"/>
        </w:tabs>
        <w:ind w:left="2367" w:hanging="360"/>
      </w:pPr>
      <w:rPr>
        <w:rFonts w:cs="Times New Roman"/>
      </w:rPr>
    </w:lvl>
    <w:lvl w:ilvl="3" w:tplc="0C09000F">
      <w:start w:val="1"/>
      <w:numFmt w:val="decimal"/>
      <w:lvlText w:val="%4."/>
      <w:lvlJc w:val="left"/>
      <w:pPr>
        <w:tabs>
          <w:tab w:val="num" w:pos="3087"/>
        </w:tabs>
        <w:ind w:left="3087" w:hanging="360"/>
      </w:pPr>
      <w:rPr>
        <w:rFonts w:cs="Times New Roman"/>
      </w:rPr>
    </w:lvl>
    <w:lvl w:ilvl="4" w:tplc="0C090019">
      <w:start w:val="1"/>
      <w:numFmt w:val="decimal"/>
      <w:lvlText w:val="%5."/>
      <w:lvlJc w:val="left"/>
      <w:pPr>
        <w:tabs>
          <w:tab w:val="num" w:pos="3807"/>
        </w:tabs>
        <w:ind w:left="3807" w:hanging="360"/>
      </w:pPr>
      <w:rPr>
        <w:rFonts w:cs="Times New Roman"/>
      </w:rPr>
    </w:lvl>
    <w:lvl w:ilvl="5" w:tplc="0C09001B">
      <w:start w:val="1"/>
      <w:numFmt w:val="decimal"/>
      <w:lvlText w:val="%6."/>
      <w:lvlJc w:val="left"/>
      <w:pPr>
        <w:tabs>
          <w:tab w:val="num" w:pos="4527"/>
        </w:tabs>
        <w:ind w:left="4527" w:hanging="360"/>
      </w:pPr>
      <w:rPr>
        <w:rFonts w:cs="Times New Roman"/>
      </w:rPr>
    </w:lvl>
    <w:lvl w:ilvl="6" w:tplc="0C09000F">
      <w:start w:val="1"/>
      <w:numFmt w:val="decimal"/>
      <w:lvlText w:val="%7."/>
      <w:lvlJc w:val="left"/>
      <w:pPr>
        <w:tabs>
          <w:tab w:val="num" w:pos="5247"/>
        </w:tabs>
        <w:ind w:left="5247" w:hanging="360"/>
      </w:pPr>
      <w:rPr>
        <w:rFonts w:cs="Times New Roman"/>
      </w:rPr>
    </w:lvl>
    <w:lvl w:ilvl="7" w:tplc="0C090019">
      <w:start w:val="1"/>
      <w:numFmt w:val="decimal"/>
      <w:lvlText w:val="%8."/>
      <w:lvlJc w:val="left"/>
      <w:pPr>
        <w:tabs>
          <w:tab w:val="num" w:pos="5967"/>
        </w:tabs>
        <w:ind w:left="5967" w:hanging="360"/>
      </w:pPr>
      <w:rPr>
        <w:rFonts w:cs="Times New Roman"/>
      </w:rPr>
    </w:lvl>
    <w:lvl w:ilvl="8" w:tplc="0C09001B">
      <w:start w:val="1"/>
      <w:numFmt w:val="decimal"/>
      <w:lvlText w:val="%9."/>
      <w:lvlJc w:val="left"/>
      <w:pPr>
        <w:tabs>
          <w:tab w:val="num" w:pos="6687"/>
        </w:tabs>
        <w:ind w:left="6687" w:hanging="360"/>
      </w:pPr>
      <w:rPr>
        <w:rFonts w:cs="Times New Roman"/>
      </w:rPr>
    </w:lvl>
  </w:abstractNum>
  <w:abstractNum w:abstractNumId="39" w15:restartNumberingAfterBreak="0">
    <w:nsid w:val="331D26BC"/>
    <w:multiLevelType w:val="hybridMultilevel"/>
    <w:tmpl w:val="9AD686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451" w:hanging="360"/>
      </w:pPr>
      <w:rPr>
        <w:rFonts w:ascii="Courier New" w:hAnsi="Courier New" w:cs="Courier New"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40" w15:restartNumberingAfterBreak="0">
    <w:nsid w:val="34D57C5A"/>
    <w:multiLevelType w:val="multilevel"/>
    <w:tmpl w:val="EF3A09D4"/>
    <w:styleLink w:val="NumberedParagraphsList"/>
    <w:lvl w:ilvl="0">
      <w:start w:val="1"/>
      <w:numFmt w:val="decimal"/>
      <w:suff w:val="space"/>
      <w:lvlText w:val="Part %1:"/>
      <w:lvlJc w:val="left"/>
      <w:pPr>
        <w:ind w:left="0" w:firstLine="0"/>
      </w:pPr>
      <w:rPr>
        <w:rFonts w:hint="default"/>
      </w:rPr>
    </w:lvl>
    <w:lvl w:ilvl="1">
      <w:start w:val="1"/>
      <w:numFmt w:val="decimal"/>
      <w:lvlText w:val="%1.%2"/>
      <w:lvlJc w:val="left"/>
      <w:pPr>
        <w:ind w:left="567" w:hanging="567"/>
      </w:pPr>
      <w:rPr>
        <w:rFonts w:hint="default"/>
      </w:rPr>
    </w:lvl>
    <w:lvl w:ilvl="2">
      <w:start w:val="1"/>
      <w:numFmt w:val="none"/>
      <w:lvlText w:val=""/>
      <w:lvlJc w:val="left"/>
      <w:pPr>
        <w:ind w:left="397" w:hanging="397"/>
      </w:pPr>
      <w:rPr>
        <w:rFonts w:hint="default"/>
      </w:rPr>
    </w:lvl>
    <w:lvl w:ilvl="3">
      <w:start w:val="1"/>
      <w:numFmt w:val="none"/>
      <w:lvlText w:val=""/>
      <w:lvlJc w:val="left"/>
      <w:pPr>
        <w:ind w:left="397" w:hanging="397"/>
      </w:pPr>
      <w:rPr>
        <w:rFonts w:hint="default"/>
      </w:rPr>
    </w:lvl>
    <w:lvl w:ilvl="4">
      <w:start w:val="1"/>
      <w:numFmt w:val="none"/>
      <w:lvlText w:val=""/>
      <w:lvlJc w:val="left"/>
      <w:pPr>
        <w:ind w:left="397" w:hanging="397"/>
      </w:pPr>
      <w:rPr>
        <w:rFonts w:hint="default"/>
      </w:rPr>
    </w:lvl>
    <w:lvl w:ilvl="5">
      <w:start w:val="1"/>
      <w:numFmt w:val="none"/>
      <w:lvlText w:val=""/>
      <w:lvlJc w:val="left"/>
      <w:pPr>
        <w:ind w:left="397" w:hanging="397"/>
      </w:pPr>
      <w:rPr>
        <w:rFonts w:hint="default"/>
      </w:rPr>
    </w:lvl>
    <w:lvl w:ilvl="6">
      <w:start w:val="1"/>
      <w:numFmt w:val="none"/>
      <w:lvlText w:val=""/>
      <w:lvlJc w:val="left"/>
      <w:pPr>
        <w:ind w:left="397" w:hanging="397"/>
      </w:pPr>
      <w:rPr>
        <w:rFonts w:hint="default"/>
      </w:rPr>
    </w:lvl>
    <w:lvl w:ilvl="7">
      <w:start w:val="1"/>
      <w:numFmt w:val="none"/>
      <w:lvlText w:val=""/>
      <w:lvlJc w:val="left"/>
      <w:pPr>
        <w:ind w:left="397" w:hanging="397"/>
      </w:pPr>
      <w:rPr>
        <w:rFonts w:hint="default"/>
      </w:rPr>
    </w:lvl>
    <w:lvl w:ilvl="8">
      <w:start w:val="1"/>
      <w:numFmt w:val="none"/>
      <w:lvlText w:val=""/>
      <w:lvlJc w:val="left"/>
      <w:pPr>
        <w:ind w:left="397" w:hanging="397"/>
      </w:pPr>
      <w:rPr>
        <w:rFonts w:hint="default"/>
      </w:rPr>
    </w:lvl>
  </w:abstractNum>
  <w:abstractNum w:abstractNumId="41" w15:restartNumberingAfterBreak="0">
    <w:nsid w:val="356A592D"/>
    <w:multiLevelType w:val="multilevel"/>
    <w:tmpl w:val="466031A4"/>
    <w:styleLink w:val="StyleBulletedSymbolsymbolLeft063cmHanging063cm"/>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37417180"/>
    <w:multiLevelType w:val="hybridMultilevel"/>
    <w:tmpl w:val="1EC24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807290B"/>
    <w:multiLevelType w:val="hybridMultilevel"/>
    <w:tmpl w:val="14985D86"/>
    <w:lvl w:ilvl="0" w:tplc="6AD4B1C8">
      <w:start w:val="1"/>
      <w:numFmt w:val="decimal"/>
      <w:lvlText w:val="%1."/>
      <w:lvlJc w:val="left"/>
      <w:pPr>
        <w:ind w:left="720" w:hanging="360"/>
      </w:pPr>
      <w:rPr>
        <w:rFonts w:cs="Times New Roman"/>
        <w:i w:val="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44" w15:restartNumberingAfterBreak="0">
    <w:nsid w:val="38D46688"/>
    <w:multiLevelType w:val="hybridMultilevel"/>
    <w:tmpl w:val="7EA03156"/>
    <w:lvl w:ilvl="0" w:tplc="1D3CE30E">
      <w:start w:val="1"/>
      <w:numFmt w:val="bullet"/>
      <w:lvlText w:val=""/>
      <w:lvlJc w:val="left"/>
      <w:pPr>
        <w:ind w:left="720" w:hanging="360"/>
      </w:pPr>
      <w:rPr>
        <w:rFonts w:ascii="Symbol" w:hAnsi="Symbol"/>
      </w:rPr>
    </w:lvl>
    <w:lvl w:ilvl="1" w:tplc="3C0C175E">
      <w:start w:val="1"/>
      <w:numFmt w:val="bullet"/>
      <w:lvlText w:val=""/>
      <w:lvlJc w:val="left"/>
      <w:pPr>
        <w:ind w:left="720" w:hanging="360"/>
      </w:pPr>
      <w:rPr>
        <w:rFonts w:ascii="Symbol" w:hAnsi="Symbol"/>
      </w:rPr>
    </w:lvl>
    <w:lvl w:ilvl="2" w:tplc="F29CEE6A">
      <w:start w:val="1"/>
      <w:numFmt w:val="bullet"/>
      <w:lvlText w:val=""/>
      <w:lvlJc w:val="left"/>
      <w:pPr>
        <w:ind w:left="720" w:hanging="360"/>
      </w:pPr>
      <w:rPr>
        <w:rFonts w:ascii="Symbol" w:hAnsi="Symbol"/>
      </w:rPr>
    </w:lvl>
    <w:lvl w:ilvl="3" w:tplc="F3EAD834">
      <w:start w:val="1"/>
      <w:numFmt w:val="bullet"/>
      <w:lvlText w:val=""/>
      <w:lvlJc w:val="left"/>
      <w:pPr>
        <w:ind w:left="720" w:hanging="360"/>
      </w:pPr>
      <w:rPr>
        <w:rFonts w:ascii="Symbol" w:hAnsi="Symbol"/>
      </w:rPr>
    </w:lvl>
    <w:lvl w:ilvl="4" w:tplc="FC8E81AA">
      <w:start w:val="1"/>
      <w:numFmt w:val="bullet"/>
      <w:lvlText w:val=""/>
      <w:lvlJc w:val="left"/>
      <w:pPr>
        <w:ind w:left="720" w:hanging="360"/>
      </w:pPr>
      <w:rPr>
        <w:rFonts w:ascii="Symbol" w:hAnsi="Symbol"/>
      </w:rPr>
    </w:lvl>
    <w:lvl w:ilvl="5" w:tplc="D222F418">
      <w:start w:val="1"/>
      <w:numFmt w:val="bullet"/>
      <w:lvlText w:val=""/>
      <w:lvlJc w:val="left"/>
      <w:pPr>
        <w:ind w:left="720" w:hanging="360"/>
      </w:pPr>
      <w:rPr>
        <w:rFonts w:ascii="Symbol" w:hAnsi="Symbol"/>
      </w:rPr>
    </w:lvl>
    <w:lvl w:ilvl="6" w:tplc="04A479B4">
      <w:start w:val="1"/>
      <w:numFmt w:val="bullet"/>
      <w:lvlText w:val=""/>
      <w:lvlJc w:val="left"/>
      <w:pPr>
        <w:ind w:left="720" w:hanging="360"/>
      </w:pPr>
      <w:rPr>
        <w:rFonts w:ascii="Symbol" w:hAnsi="Symbol"/>
      </w:rPr>
    </w:lvl>
    <w:lvl w:ilvl="7" w:tplc="75D4C5D8">
      <w:start w:val="1"/>
      <w:numFmt w:val="bullet"/>
      <w:lvlText w:val=""/>
      <w:lvlJc w:val="left"/>
      <w:pPr>
        <w:ind w:left="720" w:hanging="360"/>
      </w:pPr>
      <w:rPr>
        <w:rFonts w:ascii="Symbol" w:hAnsi="Symbol"/>
      </w:rPr>
    </w:lvl>
    <w:lvl w:ilvl="8" w:tplc="8BBE9F04">
      <w:start w:val="1"/>
      <w:numFmt w:val="bullet"/>
      <w:lvlText w:val=""/>
      <w:lvlJc w:val="left"/>
      <w:pPr>
        <w:ind w:left="720" w:hanging="360"/>
      </w:pPr>
      <w:rPr>
        <w:rFonts w:ascii="Symbol" w:hAnsi="Symbol"/>
      </w:rPr>
    </w:lvl>
  </w:abstractNum>
  <w:abstractNum w:abstractNumId="45" w15:restartNumberingAfterBreak="0">
    <w:nsid w:val="38F9734C"/>
    <w:multiLevelType w:val="hybridMultilevel"/>
    <w:tmpl w:val="66F2B8D2"/>
    <w:lvl w:ilvl="0" w:tplc="DC4496F2">
      <w:start w:val="1"/>
      <w:numFmt w:val="lowerLetter"/>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46" w15:restartNumberingAfterBreak="0">
    <w:nsid w:val="3AAF78E5"/>
    <w:multiLevelType w:val="multilevel"/>
    <w:tmpl w:val="0B6A3066"/>
    <w:styleLink w:val="IndentBullet"/>
    <w:lvl w:ilvl="0">
      <w:start w:val="1"/>
      <w:numFmt w:val="bullet"/>
      <w:pStyle w:val="IndentBullet1"/>
      <w:lvlText w:val=""/>
      <w:lvlJc w:val="left"/>
      <w:pPr>
        <w:ind w:left="567" w:hanging="283"/>
      </w:pPr>
      <w:rPr>
        <w:rFonts w:ascii="Symbol" w:hAnsi="Symbol" w:cs="Courier New" w:hint="default"/>
      </w:rPr>
    </w:lvl>
    <w:lvl w:ilvl="1">
      <w:start w:val="1"/>
      <w:numFmt w:val="bullet"/>
      <w:pStyle w:val="IndentBullet2"/>
      <w:lvlText w:val="o"/>
      <w:lvlJc w:val="left"/>
      <w:pPr>
        <w:ind w:left="1134" w:hanging="283"/>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3B4A4CA6"/>
    <w:multiLevelType w:val="multilevel"/>
    <w:tmpl w:val="DC4E3CA0"/>
    <w:lvl w:ilvl="0">
      <w:start w:val="14"/>
      <w:numFmt w:val="decimal"/>
      <w:suff w:val="space"/>
      <w:lvlText w:val="Part %1:"/>
      <w:lvlJc w:val="left"/>
      <w:pPr>
        <w:ind w:left="0" w:firstLine="0"/>
      </w:pPr>
      <w:rPr>
        <w:rFonts w:hint="default"/>
      </w:rPr>
    </w:lvl>
    <w:lvl w:ilvl="1">
      <w:start w:val="1"/>
      <w:numFmt w:val="decimal"/>
      <w:pStyle w:val="NumberedParagraphs"/>
      <w:lvlText w:val="%1.%2"/>
      <w:lvlJc w:val="left"/>
      <w:pPr>
        <w:ind w:left="567" w:hanging="567"/>
      </w:pPr>
      <w:rPr>
        <w:rFonts w:cs="Times New Roman" w:hint="default"/>
        <w:b w:val="0"/>
        <w:bCs w:val="0"/>
        <w:i w:val="0"/>
        <w:iCs w:val="0"/>
        <w:caps w:val="0"/>
        <w:smallCaps w:val="0"/>
        <w:strike w:val="0"/>
        <w:dstrike w:val="0"/>
        <w:outline w:val="0"/>
        <w:shadow w:val="0"/>
        <w:emboss w:val="0"/>
        <w:imprint w:val="0"/>
        <w:noProof w:val="0"/>
        <w:vanish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none"/>
      <w:lvlText w:val=""/>
      <w:lvlJc w:val="left"/>
      <w:pPr>
        <w:ind w:left="397" w:hanging="397"/>
      </w:pPr>
      <w:rPr>
        <w:rFonts w:hint="default"/>
      </w:rPr>
    </w:lvl>
    <w:lvl w:ilvl="3">
      <w:start w:val="1"/>
      <w:numFmt w:val="none"/>
      <w:lvlText w:val=""/>
      <w:lvlJc w:val="left"/>
      <w:pPr>
        <w:ind w:left="397" w:hanging="397"/>
      </w:pPr>
      <w:rPr>
        <w:rFonts w:hint="default"/>
      </w:rPr>
    </w:lvl>
    <w:lvl w:ilvl="4">
      <w:start w:val="1"/>
      <w:numFmt w:val="none"/>
      <w:lvlText w:val=""/>
      <w:lvlJc w:val="left"/>
      <w:pPr>
        <w:ind w:left="397" w:hanging="397"/>
      </w:pPr>
      <w:rPr>
        <w:rFonts w:hint="default"/>
      </w:rPr>
    </w:lvl>
    <w:lvl w:ilvl="5">
      <w:start w:val="1"/>
      <w:numFmt w:val="none"/>
      <w:lvlText w:val=""/>
      <w:lvlJc w:val="left"/>
      <w:pPr>
        <w:ind w:left="397" w:hanging="397"/>
      </w:pPr>
      <w:rPr>
        <w:rFonts w:hint="default"/>
      </w:rPr>
    </w:lvl>
    <w:lvl w:ilvl="6">
      <w:start w:val="1"/>
      <w:numFmt w:val="none"/>
      <w:lvlText w:val=""/>
      <w:lvlJc w:val="left"/>
      <w:pPr>
        <w:ind w:left="397" w:hanging="397"/>
      </w:pPr>
      <w:rPr>
        <w:rFonts w:hint="default"/>
      </w:rPr>
    </w:lvl>
    <w:lvl w:ilvl="7">
      <w:start w:val="1"/>
      <w:numFmt w:val="none"/>
      <w:lvlText w:val=""/>
      <w:lvlJc w:val="left"/>
      <w:pPr>
        <w:ind w:left="397" w:hanging="397"/>
      </w:pPr>
      <w:rPr>
        <w:rFonts w:hint="default"/>
      </w:rPr>
    </w:lvl>
    <w:lvl w:ilvl="8">
      <w:start w:val="1"/>
      <w:numFmt w:val="none"/>
      <w:lvlText w:val=""/>
      <w:lvlJc w:val="left"/>
      <w:pPr>
        <w:ind w:left="397" w:hanging="397"/>
      </w:pPr>
      <w:rPr>
        <w:rFonts w:hint="default"/>
      </w:rPr>
    </w:lvl>
  </w:abstractNum>
  <w:abstractNum w:abstractNumId="48" w15:restartNumberingAfterBreak="0">
    <w:nsid w:val="3C066EBE"/>
    <w:multiLevelType w:val="hybridMultilevel"/>
    <w:tmpl w:val="66E62058"/>
    <w:lvl w:ilvl="0" w:tplc="348AE9F8">
      <w:start w:val="1"/>
      <w:numFmt w:val="bullet"/>
      <w:lvlText w:val=""/>
      <w:lvlJc w:val="left"/>
      <w:pPr>
        <w:ind w:left="720" w:hanging="360"/>
      </w:pPr>
      <w:rPr>
        <w:rFonts w:ascii="Symbol" w:hAnsi="Symbol"/>
      </w:rPr>
    </w:lvl>
    <w:lvl w:ilvl="1" w:tplc="8C1EDC2A">
      <w:start w:val="1"/>
      <w:numFmt w:val="bullet"/>
      <w:lvlText w:val=""/>
      <w:lvlJc w:val="left"/>
      <w:pPr>
        <w:ind w:left="720" w:hanging="360"/>
      </w:pPr>
      <w:rPr>
        <w:rFonts w:ascii="Symbol" w:hAnsi="Symbol"/>
      </w:rPr>
    </w:lvl>
    <w:lvl w:ilvl="2" w:tplc="FBE071AC">
      <w:start w:val="1"/>
      <w:numFmt w:val="bullet"/>
      <w:lvlText w:val=""/>
      <w:lvlJc w:val="left"/>
      <w:pPr>
        <w:ind w:left="720" w:hanging="360"/>
      </w:pPr>
      <w:rPr>
        <w:rFonts w:ascii="Symbol" w:hAnsi="Symbol"/>
      </w:rPr>
    </w:lvl>
    <w:lvl w:ilvl="3" w:tplc="4B9AA856">
      <w:start w:val="1"/>
      <w:numFmt w:val="bullet"/>
      <w:lvlText w:val=""/>
      <w:lvlJc w:val="left"/>
      <w:pPr>
        <w:ind w:left="720" w:hanging="360"/>
      </w:pPr>
      <w:rPr>
        <w:rFonts w:ascii="Symbol" w:hAnsi="Symbol"/>
      </w:rPr>
    </w:lvl>
    <w:lvl w:ilvl="4" w:tplc="811E02EE">
      <w:start w:val="1"/>
      <w:numFmt w:val="bullet"/>
      <w:lvlText w:val=""/>
      <w:lvlJc w:val="left"/>
      <w:pPr>
        <w:ind w:left="720" w:hanging="360"/>
      </w:pPr>
      <w:rPr>
        <w:rFonts w:ascii="Symbol" w:hAnsi="Symbol"/>
      </w:rPr>
    </w:lvl>
    <w:lvl w:ilvl="5" w:tplc="DB723BA2">
      <w:start w:val="1"/>
      <w:numFmt w:val="bullet"/>
      <w:lvlText w:val=""/>
      <w:lvlJc w:val="left"/>
      <w:pPr>
        <w:ind w:left="720" w:hanging="360"/>
      </w:pPr>
      <w:rPr>
        <w:rFonts w:ascii="Symbol" w:hAnsi="Symbol"/>
      </w:rPr>
    </w:lvl>
    <w:lvl w:ilvl="6" w:tplc="1526D642">
      <w:start w:val="1"/>
      <w:numFmt w:val="bullet"/>
      <w:lvlText w:val=""/>
      <w:lvlJc w:val="left"/>
      <w:pPr>
        <w:ind w:left="720" w:hanging="360"/>
      </w:pPr>
      <w:rPr>
        <w:rFonts w:ascii="Symbol" w:hAnsi="Symbol"/>
      </w:rPr>
    </w:lvl>
    <w:lvl w:ilvl="7" w:tplc="5A725B88">
      <w:start w:val="1"/>
      <w:numFmt w:val="bullet"/>
      <w:lvlText w:val=""/>
      <w:lvlJc w:val="left"/>
      <w:pPr>
        <w:ind w:left="720" w:hanging="360"/>
      </w:pPr>
      <w:rPr>
        <w:rFonts w:ascii="Symbol" w:hAnsi="Symbol"/>
      </w:rPr>
    </w:lvl>
    <w:lvl w:ilvl="8" w:tplc="D1CC15FA">
      <w:start w:val="1"/>
      <w:numFmt w:val="bullet"/>
      <w:lvlText w:val=""/>
      <w:lvlJc w:val="left"/>
      <w:pPr>
        <w:ind w:left="720" w:hanging="360"/>
      </w:pPr>
      <w:rPr>
        <w:rFonts w:ascii="Symbol" w:hAnsi="Symbol"/>
      </w:rPr>
    </w:lvl>
  </w:abstractNum>
  <w:abstractNum w:abstractNumId="49" w15:restartNumberingAfterBreak="0">
    <w:nsid w:val="3C426F93"/>
    <w:multiLevelType w:val="hybridMultilevel"/>
    <w:tmpl w:val="E3642DA6"/>
    <w:lvl w:ilvl="0" w:tplc="BF663428">
      <w:start w:val="1"/>
      <w:numFmt w:val="lowerLetter"/>
      <w:lvlText w:val="(%1)"/>
      <w:lvlJc w:val="left"/>
      <w:pPr>
        <w:ind w:left="1353"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0" w15:restartNumberingAfterBreak="0">
    <w:nsid w:val="3E2306A0"/>
    <w:multiLevelType w:val="hybridMultilevel"/>
    <w:tmpl w:val="CF105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3E575E1A"/>
    <w:multiLevelType w:val="multilevel"/>
    <w:tmpl w:val="F01022AA"/>
    <w:styleLink w:val="Bullets"/>
    <w:lvl w:ilvl="0">
      <w:start w:val="1"/>
      <w:numFmt w:val="bullet"/>
      <w:pStyle w:val="ListBullet"/>
      <w:lvlText w:val=""/>
      <w:lvlJc w:val="left"/>
      <w:pPr>
        <w:ind w:left="284" w:hanging="284"/>
      </w:pPr>
      <w:rPr>
        <w:rFonts w:ascii="Symbol" w:hAnsi="Symbol" w:cs="Times New Roman" w:hint="default"/>
      </w:rPr>
    </w:lvl>
    <w:lvl w:ilvl="1">
      <w:start w:val="1"/>
      <w:numFmt w:val="bullet"/>
      <w:lvlText w:val="−"/>
      <w:lvlJc w:val="left"/>
      <w:pPr>
        <w:ind w:left="567" w:hanging="283"/>
      </w:pPr>
      <w:rPr>
        <w:rFonts w:ascii="Times New Roman" w:hAnsi="Times New Roman" w:cs="Times New Roman" w:hint="default"/>
        <w:w w:val="90"/>
      </w:rPr>
    </w:lvl>
    <w:lvl w:ilvl="2">
      <w:start w:val="1"/>
      <w:numFmt w:val="bullet"/>
      <w:pStyle w:val="ListBullet3"/>
      <w:lvlText w:val=""/>
      <w:lvlJc w:val="left"/>
      <w:pPr>
        <w:ind w:left="851" w:hanging="284"/>
      </w:pPr>
      <w:rPr>
        <w:rFonts w:ascii="Symbol" w:hAnsi="Symbol" w:cs="Times New Roman" w:hint="default"/>
      </w:rPr>
    </w:lvl>
    <w:lvl w:ilvl="3">
      <w:start w:val="1"/>
      <w:numFmt w:val="bullet"/>
      <w:lvlText w:val="–"/>
      <w:lvlJc w:val="left"/>
      <w:pPr>
        <w:tabs>
          <w:tab w:val="num" w:pos="1212"/>
        </w:tabs>
        <w:ind w:left="503" w:hanging="164"/>
      </w:pPr>
      <w:rPr>
        <w:rFonts w:ascii="Times New Roman" w:hAnsi="Times New Roman" w:cs="Times New Roman" w:hint="default"/>
      </w:rPr>
    </w:lvl>
    <w:lvl w:ilvl="4">
      <w:start w:val="1"/>
      <w:numFmt w:val="bullet"/>
      <w:lvlText w:val="o"/>
      <w:lvlJc w:val="left"/>
      <w:pPr>
        <w:tabs>
          <w:tab w:val="num" w:pos="1496"/>
        </w:tabs>
        <w:ind w:left="616" w:hanging="164"/>
      </w:pPr>
      <w:rPr>
        <w:rFonts w:ascii="Courier New" w:hAnsi="Courier New" w:cs="Courier New" w:hint="default"/>
      </w:rPr>
    </w:lvl>
    <w:lvl w:ilvl="5">
      <w:start w:val="1"/>
      <w:numFmt w:val="bullet"/>
      <w:lvlText w:val=""/>
      <w:lvlJc w:val="left"/>
      <w:pPr>
        <w:tabs>
          <w:tab w:val="num" w:pos="1780"/>
        </w:tabs>
        <w:ind w:left="729" w:hanging="164"/>
      </w:pPr>
      <w:rPr>
        <w:rFonts w:ascii="Wingdings" w:hAnsi="Wingdings" w:hint="default"/>
      </w:rPr>
    </w:lvl>
    <w:lvl w:ilvl="6">
      <w:start w:val="1"/>
      <w:numFmt w:val="bullet"/>
      <w:lvlText w:val=""/>
      <w:lvlJc w:val="left"/>
      <w:pPr>
        <w:tabs>
          <w:tab w:val="num" w:pos="2064"/>
        </w:tabs>
        <w:ind w:left="842" w:hanging="164"/>
      </w:pPr>
      <w:rPr>
        <w:rFonts w:ascii="Symbol" w:hAnsi="Symbol" w:hint="default"/>
      </w:rPr>
    </w:lvl>
    <w:lvl w:ilvl="7">
      <w:start w:val="1"/>
      <w:numFmt w:val="bullet"/>
      <w:lvlText w:val="o"/>
      <w:lvlJc w:val="left"/>
      <w:pPr>
        <w:tabs>
          <w:tab w:val="num" w:pos="2348"/>
        </w:tabs>
        <w:ind w:left="955" w:hanging="164"/>
      </w:pPr>
      <w:rPr>
        <w:rFonts w:ascii="Courier New" w:hAnsi="Courier New" w:cs="Courier New" w:hint="default"/>
      </w:rPr>
    </w:lvl>
    <w:lvl w:ilvl="8">
      <w:start w:val="1"/>
      <w:numFmt w:val="bullet"/>
      <w:lvlText w:val=""/>
      <w:lvlJc w:val="left"/>
      <w:pPr>
        <w:tabs>
          <w:tab w:val="num" w:pos="2632"/>
        </w:tabs>
        <w:ind w:left="1068" w:hanging="164"/>
      </w:pPr>
      <w:rPr>
        <w:rFonts w:ascii="Wingdings" w:hAnsi="Wingdings" w:hint="default"/>
      </w:rPr>
    </w:lvl>
  </w:abstractNum>
  <w:abstractNum w:abstractNumId="52" w15:restartNumberingAfterBreak="0">
    <w:nsid w:val="40595677"/>
    <w:multiLevelType w:val="hybridMultilevel"/>
    <w:tmpl w:val="4D24D6CA"/>
    <w:lvl w:ilvl="0" w:tplc="FA16E3B6">
      <w:start w:val="1"/>
      <w:numFmt w:val="lowerLetter"/>
      <w:lvlText w:val="(%1)"/>
      <w:lvlJc w:val="left"/>
      <w:pPr>
        <w:ind w:left="538" w:hanging="538"/>
      </w:pPr>
      <w:rPr>
        <w:rFonts w:cs="Times New Roman" w:hint="default"/>
      </w:rPr>
    </w:lvl>
    <w:lvl w:ilvl="1" w:tplc="0C090019" w:tentative="1">
      <w:start w:val="1"/>
      <w:numFmt w:val="lowerLetter"/>
      <w:lvlText w:val="%2."/>
      <w:lvlJc w:val="left"/>
      <w:pPr>
        <w:ind w:left="796" w:hanging="360"/>
      </w:pPr>
      <w:rPr>
        <w:rFonts w:cs="Times New Roman"/>
      </w:rPr>
    </w:lvl>
    <w:lvl w:ilvl="2" w:tplc="0C09001B" w:tentative="1">
      <w:start w:val="1"/>
      <w:numFmt w:val="lowerRoman"/>
      <w:lvlText w:val="%3."/>
      <w:lvlJc w:val="right"/>
      <w:pPr>
        <w:ind w:left="1516" w:hanging="180"/>
      </w:pPr>
      <w:rPr>
        <w:rFonts w:cs="Times New Roman"/>
      </w:rPr>
    </w:lvl>
    <w:lvl w:ilvl="3" w:tplc="0C09000F" w:tentative="1">
      <w:start w:val="1"/>
      <w:numFmt w:val="decimal"/>
      <w:lvlText w:val="%4."/>
      <w:lvlJc w:val="left"/>
      <w:pPr>
        <w:ind w:left="2236" w:hanging="360"/>
      </w:pPr>
      <w:rPr>
        <w:rFonts w:cs="Times New Roman"/>
      </w:rPr>
    </w:lvl>
    <w:lvl w:ilvl="4" w:tplc="0C090019" w:tentative="1">
      <w:start w:val="1"/>
      <w:numFmt w:val="lowerLetter"/>
      <w:lvlText w:val="%5."/>
      <w:lvlJc w:val="left"/>
      <w:pPr>
        <w:ind w:left="2956" w:hanging="360"/>
      </w:pPr>
      <w:rPr>
        <w:rFonts w:cs="Times New Roman"/>
      </w:rPr>
    </w:lvl>
    <w:lvl w:ilvl="5" w:tplc="0C09001B" w:tentative="1">
      <w:start w:val="1"/>
      <w:numFmt w:val="lowerRoman"/>
      <w:lvlText w:val="%6."/>
      <w:lvlJc w:val="right"/>
      <w:pPr>
        <w:ind w:left="3676" w:hanging="180"/>
      </w:pPr>
      <w:rPr>
        <w:rFonts w:cs="Times New Roman"/>
      </w:rPr>
    </w:lvl>
    <w:lvl w:ilvl="6" w:tplc="0C09000F" w:tentative="1">
      <w:start w:val="1"/>
      <w:numFmt w:val="decimal"/>
      <w:lvlText w:val="%7."/>
      <w:lvlJc w:val="left"/>
      <w:pPr>
        <w:ind w:left="4396" w:hanging="360"/>
      </w:pPr>
      <w:rPr>
        <w:rFonts w:cs="Times New Roman"/>
      </w:rPr>
    </w:lvl>
    <w:lvl w:ilvl="7" w:tplc="0C090019" w:tentative="1">
      <w:start w:val="1"/>
      <w:numFmt w:val="lowerLetter"/>
      <w:lvlText w:val="%8."/>
      <w:lvlJc w:val="left"/>
      <w:pPr>
        <w:ind w:left="5116" w:hanging="360"/>
      </w:pPr>
      <w:rPr>
        <w:rFonts w:cs="Times New Roman"/>
      </w:rPr>
    </w:lvl>
    <w:lvl w:ilvl="8" w:tplc="0C09001B" w:tentative="1">
      <w:start w:val="1"/>
      <w:numFmt w:val="lowerRoman"/>
      <w:lvlText w:val="%9."/>
      <w:lvlJc w:val="right"/>
      <w:pPr>
        <w:ind w:left="5836" w:hanging="180"/>
      </w:pPr>
      <w:rPr>
        <w:rFonts w:cs="Times New Roman"/>
      </w:rPr>
    </w:lvl>
  </w:abstractNum>
  <w:abstractNum w:abstractNumId="53" w15:restartNumberingAfterBreak="0">
    <w:nsid w:val="41092E53"/>
    <w:multiLevelType w:val="hybridMultilevel"/>
    <w:tmpl w:val="FE4E8EF8"/>
    <w:lvl w:ilvl="0" w:tplc="BBF084E6">
      <w:start w:val="1"/>
      <w:numFmt w:val="lowerLetter"/>
      <w:lvlText w:val="(%1)"/>
      <w:lvlJc w:val="left"/>
      <w:pPr>
        <w:ind w:left="360" w:hanging="360"/>
      </w:pPr>
      <w:rPr>
        <w:rFonts w:cs="Times New Roman" w:hint="default"/>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54" w15:restartNumberingAfterBreak="0">
    <w:nsid w:val="43955A87"/>
    <w:multiLevelType w:val="hybridMultilevel"/>
    <w:tmpl w:val="8E1A2332"/>
    <w:lvl w:ilvl="0" w:tplc="79C62C00">
      <w:start w:val="1"/>
      <w:numFmt w:val="decimal"/>
      <w:pStyle w:val="Numberpara14"/>
      <w:lvlText w:val="14.%1"/>
      <w:lvlJc w:val="left"/>
      <w:pPr>
        <w:ind w:left="36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5" w15:restartNumberingAfterBreak="0">
    <w:nsid w:val="439F7B62"/>
    <w:multiLevelType w:val="hybridMultilevel"/>
    <w:tmpl w:val="FA1808A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43D51381"/>
    <w:multiLevelType w:val="multilevel"/>
    <w:tmpl w:val="D1203646"/>
    <w:numStyleLink w:val="TableNumbersOAIC"/>
  </w:abstractNum>
  <w:abstractNum w:abstractNumId="57" w15:restartNumberingAfterBreak="0">
    <w:nsid w:val="45C01679"/>
    <w:multiLevelType w:val="multilevel"/>
    <w:tmpl w:val="F8B86660"/>
    <w:styleLink w:val="TOC"/>
    <w:lvl w:ilvl="0">
      <w:start w:val="1"/>
      <w:numFmt w:val="decimal"/>
      <w:pStyle w:val="21paragraphs"/>
      <w:lvlText w:val="%1"/>
      <w:lvlJc w:val="left"/>
      <w:pPr>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4626561C"/>
    <w:multiLevelType w:val="hybridMultilevel"/>
    <w:tmpl w:val="746011C8"/>
    <w:lvl w:ilvl="0" w:tplc="AD5629DA">
      <w:start w:val="1"/>
      <w:numFmt w:val="decimal"/>
      <w:lvlText w:val="%1."/>
      <w:lvlJc w:val="left"/>
      <w:pPr>
        <w:ind w:left="1020" w:hanging="360"/>
      </w:pPr>
    </w:lvl>
    <w:lvl w:ilvl="1" w:tplc="DB16769E">
      <w:start w:val="1"/>
      <w:numFmt w:val="decimal"/>
      <w:lvlText w:val="%2."/>
      <w:lvlJc w:val="left"/>
      <w:pPr>
        <w:ind w:left="1020" w:hanging="360"/>
      </w:pPr>
    </w:lvl>
    <w:lvl w:ilvl="2" w:tplc="0ACCA614">
      <w:start w:val="1"/>
      <w:numFmt w:val="decimal"/>
      <w:lvlText w:val="%3."/>
      <w:lvlJc w:val="left"/>
      <w:pPr>
        <w:ind w:left="1020" w:hanging="360"/>
      </w:pPr>
    </w:lvl>
    <w:lvl w:ilvl="3" w:tplc="CE64682C">
      <w:start w:val="1"/>
      <w:numFmt w:val="decimal"/>
      <w:lvlText w:val="%4."/>
      <w:lvlJc w:val="left"/>
      <w:pPr>
        <w:ind w:left="1020" w:hanging="360"/>
      </w:pPr>
    </w:lvl>
    <w:lvl w:ilvl="4" w:tplc="BA9A2FF4">
      <w:start w:val="1"/>
      <w:numFmt w:val="decimal"/>
      <w:lvlText w:val="%5."/>
      <w:lvlJc w:val="left"/>
      <w:pPr>
        <w:ind w:left="1020" w:hanging="360"/>
      </w:pPr>
    </w:lvl>
    <w:lvl w:ilvl="5" w:tplc="2090B3AC">
      <w:start w:val="1"/>
      <w:numFmt w:val="decimal"/>
      <w:lvlText w:val="%6."/>
      <w:lvlJc w:val="left"/>
      <w:pPr>
        <w:ind w:left="1020" w:hanging="360"/>
      </w:pPr>
    </w:lvl>
    <w:lvl w:ilvl="6" w:tplc="557611C2">
      <w:start w:val="1"/>
      <w:numFmt w:val="decimal"/>
      <w:lvlText w:val="%7."/>
      <w:lvlJc w:val="left"/>
      <w:pPr>
        <w:ind w:left="1020" w:hanging="360"/>
      </w:pPr>
    </w:lvl>
    <w:lvl w:ilvl="7" w:tplc="9A2AE90C">
      <w:start w:val="1"/>
      <w:numFmt w:val="decimal"/>
      <w:lvlText w:val="%8."/>
      <w:lvlJc w:val="left"/>
      <w:pPr>
        <w:ind w:left="1020" w:hanging="360"/>
      </w:pPr>
    </w:lvl>
    <w:lvl w:ilvl="8" w:tplc="37A292E4">
      <w:start w:val="1"/>
      <w:numFmt w:val="decimal"/>
      <w:lvlText w:val="%9."/>
      <w:lvlJc w:val="left"/>
      <w:pPr>
        <w:ind w:left="1020" w:hanging="360"/>
      </w:pPr>
    </w:lvl>
  </w:abstractNum>
  <w:abstractNum w:abstractNumId="59" w15:restartNumberingAfterBreak="0">
    <w:nsid w:val="46A14C54"/>
    <w:multiLevelType w:val="hybridMultilevel"/>
    <w:tmpl w:val="D24C59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46F906C8"/>
    <w:multiLevelType w:val="hybridMultilevel"/>
    <w:tmpl w:val="0E7A9CC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47942A62"/>
    <w:multiLevelType w:val="hybridMultilevel"/>
    <w:tmpl w:val="A008D90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2" w15:restartNumberingAfterBreak="0">
    <w:nsid w:val="492021AC"/>
    <w:multiLevelType w:val="multilevel"/>
    <w:tmpl w:val="AB8C8CEC"/>
    <w:lvl w:ilvl="0">
      <w:start w:val="1"/>
      <w:numFmt w:val="bullet"/>
      <w:lvlText w:val=""/>
      <w:lvlJc w:val="left"/>
      <w:pPr>
        <w:ind w:left="284" w:hanging="284"/>
      </w:pPr>
      <w:rPr>
        <w:rFonts w:ascii="Symbol" w:hAnsi="Symbol" w:cs="Times New Roman" w:hint="default"/>
      </w:rPr>
    </w:lvl>
    <w:lvl w:ilvl="1">
      <w:start w:val="1"/>
      <w:numFmt w:val="bullet"/>
      <w:pStyle w:val="ListBullet2"/>
      <w:lvlText w:val="o"/>
      <w:lvlJc w:val="left"/>
      <w:pPr>
        <w:ind w:left="567" w:hanging="283"/>
      </w:pPr>
      <w:rPr>
        <w:rFonts w:ascii="Courier New" w:hAnsi="Courier New" w:cs="Courier New" w:hint="default"/>
        <w:w w:val="90"/>
      </w:rPr>
    </w:lvl>
    <w:lvl w:ilvl="2">
      <w:start w:val="1"/>
      <w:numFmt w:val="bullet"/>
      <w:lvlText w:val=""/>
      <w:lvlJc w:val="left"/>
      <w:pPr>
        <w:ind w:left="851" w:hanging="284"/>
      </w:pPr>
      <w:rPr>
        <w:rFonts w:ascii="Symbol" w:hAnsi="Symbol" w:cs="Times New Roman" w:hint="default"/>
      </w:rPr>
    </w:lvl>
    <w:lvl w:ilvl="3">
      <w:start w:val="1"/>
      <w:numFmt w:val="bullet"/>
      <w:lvlText w:val="–"/>
      <w:lvlJc w:val="left"/>
      <w:pPr>
        <w:tabs>
          <w:tab w:val="num" w:pos="1212"/>
        </w:tabs>
        <w:ind w:left="503" w:hanging="164"/>
      </w:pPr>
      <w:rPr>
        <w:rFonts w:ascii="Times New Roman" w:hAnsi="Times New Roman" w:cs="Times New Roman" w:hint="default"/>
      </w:rPr>
    </w:lvl>
    <w:lvl w:ilvl="4">
      <w:start w:val="1"/>
      <w:numFmt w:val="bullet"/>
      <w:lvlText w:val="o"/>
      <w:lvlJc w:val="left"/>
      <w:pPr>
        <w:tabs>
          <w:tab w:val="num" w:pos="1496"/>
        </w:tabs>
        <w:ind w:left="616" w:hanging="164"/>
      </w:pPr>
      <w:rPr>
        <w:rFonts w:ascii="Courier New" w:hAnsi="Courier New" w:cs="Courier New" w:hint="default"/>
      </w:rPr>
    </w:lvl>
    <w:lvl w:ilvl="5">
      <w:start w:val="1"/>
      <w:numFmt w:val="bullet"/>
      <w:lvlText w:val=""/>
      <w:lvlJc w:val="left"/>
      <w:pPr>
        <w:tabs>
          <w:tab w:val="num" w:pos="1780"/>
        </w:tabs>
        <w:ind w:left="729" w:hanging="164"/>
      </w:pPr>
      <w:rPr>
        <w:rFonts w:ascii="Wingdings" w:hAnsi="Wingdings" w:hint="default"/>
      </w:rPr>
    </w:lvl>
    <w:lvl w:ilvl="6">
      <w:start w:val="1"/>
      <w:numFmt w:val="bullet"/>
      <w:lvlText w:val=""/>
      <w:lvlJc w:val="left"/>
      <w:pPr>
        <w:tabs>
          <w:tab w:val="num" w:pos="2064"/>
        </w:tabs>
        <w:ind w:left="842" w:hanging="164"/>
      </w:pPr>
      <w:rPr>
        <w:rFonts w:ascii="Symbol" w:hAnsi="Symbol" w:hint="default"/>
      </w:rPr>
    </w:lvl>
    <w:lvl w:ilvl="7">
      <w:start w:val="1"/>
      <w:numFmt w:val="bullet"/>
      <w:lvlText w:val="o"/>
      <w:lvlJc w:val="left"/>
      <w:pPr>
        <w:tabs>
          <w:tab w:val="num" w:pos="2348"/>
        </w:tabs>
        <w:ind w:left="955" w:hanging="164"/>
      </w:pPr>
      <w:rPr>
        <w:rFonts w:ascii="Courier New" w:hAnsi="Courier New" w:cs="Courier New" w:hint="default"/>
      </w:rPr>
    </w:lvl>
    <w:lvl w:ilvl="8">
      <w:start w:val="1"/>
      <w:numFmt w:val="bullet"/>
      <w:lvlText w:val=""/>
      <w:lvlJc w:val="left"/>
      <w:pPr>
        <w:tabs>
          <w:tab w:val="num" w:pos="2632"/>
        </w:tabs>
        <w:ind w:left="1068" w:hanging="164"/>
      </w:pPr>
      <w:rPr>
        <w:rFonts w:ascii="Wingdings" w:hAnsi="Wingdings" w:hint="default"/>
      </w:rPr>
    </w:lvl>
  </w:abstractNum>
  <w:abstractNum w:abstractNumId="63" w15:restartNumberingAfterBreak="0">
    <w:nsid w:val="493A7F59"/>
    <w:multiLevelType w:val="hybridMultilevel"/>
    <w:tmpl w:val="910E29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498A6A97"/>
    <w:multiLevelType w:val="hybridMultilevel"/>
    <w:tmpl w:val="C62882B6"/>
    <w:lvl w:ilvl="0" w:tplc="168094F6">
      <w:start w:val="1"/>
      <w:numFmt w:val="decimal"/>
      <w:lvlText w:val="%1."/>
      <w:lvlJc w:val="left"/>
      <w:pPr>
        <w:ind w:left="1020" w:hanging="360"/>
      </w:pPr>
    </w:lvl>
    <w:lvl w:ilvl="1" w:tplc="45D687F6">
      <w:start w:val="1"/>
      <w:numFmt w:val="decimal"/>
      <w:lvlText w:val="%2."/>
      <w:lvlJc w:val="left"/>
      <w:pPr>
        <w:ind w:left="1020" w:hanging="360"/>
      </w:pPr>
    </w:lvl>
    <w:lvl w:ilvl="2" w:tplc="8196D30C">
      <w:start w:val="1"/>
      <w:numFmt w:val="decimal"/>
      <w:lvlText w:val="%3."/>
      <w:lvlJc w:val="left"/>
      <w:pPr>
        <w:ind w:left="1020" w:hanging="360"/>
      </w:pPr>
    </w:lvl>
    <w:lvl w:ilvl="3" w:tplc="F4169FBC">
      <w:start w:val="1"/>
      <w:numFmt w:val="decimal"/>
      <w:lvlText w:val="%4."/>
      <w:lvlJc w:val="left"/>
      <w:pPr>
        <w:ind w:left="1020" w:hanging="360"/>
      </w:pPr>
    </w:lvl>
    <w:lvl w:ilvl="4" w:tplc="9BDCB2D0">
      <w:start w:val="1"/>
      <w:numFmt w:val="decimal"/>
      <w:lvlText w:val="%5."/>
      <w:lvlJc w:val="left"/>
      <w:pPr>
        <w:ind w:left="1020" w:hanging="360"/>
      </w:pPr>
    </w:lvl>
    <w:lvl w:ilvl="5" w:tplc="62CC9F94">
      <w:start w:val="1"/>
      <w:numFmt w:val="decimal"/>
      <w:lvlText w:val="%6."/>
      <w:lvlJc w:val="left"/>
      <w:pPr>
        <w:ind w:left="1020" w:hanging="360"/>
      </w:pPr>
    </w:lvl>
    <w:lvl w:ilvl="6" w:tplc="7040AEBE">
      <w:start w:val="1"/>
      <w:numFmt w:val="decimal"/>
      <w:lvlText w:val="%7."/>
      <w:lvlJc w:val="left"/>
      <w:pPr>
        <w:ind w:left="1020" w:hanging="360"/>
      </w:pPr>
    </w:lvl>
    <w:lvl w:ilvl="7" w:tplc="1CF42B7A">
      <w:start w:val="1"/>
      <w:numFmt w:val="decimal"/>
      <w:lvlText w:val="%8."/>
      <w:lvlJc w:val="left"/>
      <w:pPr>
        <w:ind w:left="1020" w:hanging="360"/>
      </w:pPr>
    </w:lvl>
    <w:lvl w:ilvl="8" w:tplc="4D4AA492">
      <w:start w:val="1"/>
      <w:numFmt w:val="decimal"/>
      <w:lvlText w:val="%9."/>
      <w:lvlJc w:val="left"/>
      <w:pPr>
        <w:ind w:left="1020" w:hanging="360"/>
      </w:pPr>
    </w:lvl>
  </w:abstractNum>
  <w:abstractNum w:abstractNumId="65" w15:restartNumberingAfterBreak="0">
    <w:nsid w:val="4A9B71DF"/>
    <w:multiLevelType w:val="multilevel"/>
    <w:tmpl w:val="A1829400"/>
    <w:lvl w:ilvl="0">
      <w:start w:val="1"/>
      <w:numFmt w:val="decimal"/>
      <w:pStyle w:val="61paras"/>
      <w:lvlText w:val="6.%1"/>
      <w:lvlJc w:val="left"/>
      <w:pPr>
        <w:ind w:left="360" w:hanging="360"/>
      </w:pPr>
      <w:rPr>
        <w:rFonts w:hint="default"/>
        <w:b w:val="0"/>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4CEE168D"/>
    <w:multiLevelType w:val="multilevel"/>
    <w:tmpl w:val="10B2D734"/>
    <w:lvl w:ilvl="0">
      <w:start w:val="9"/>
      <w:numFmt w:val="decimal"/>
      <w:lvlText w:val="%1"/>
      <w:lvlJc w:val="left"/>
      <w:pPr>
        <w:ind w:left="360" w:hanging="360"/>
      </w:pPr>
      <w:rPr>
        <w:rFonts w:hint="default"/>
      </w:rPr>
    </w:lvl>
    <w:lvl w:ilvl="1">
      <w:start w:val="1"/>
      <w:numFmt w:val="decimal"/>
      <w:pStyle w:val="APPGuidelinenumbering"/>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E2537CF"/>
    <w:multiLevelType w:val="multilevel"/>
    <w:tmpl w:val="4D2A9BD8"/>
    <w:lvl w:ilvl="0">
      <w:start w:val="1"/>
      <w:numFmt w:val="bullet"/>
      <w:lvlText w:val=""/>
      <w:lvlJc w:val="left"/>
      <w:pPr>
        <w:tabs>
          <w:tab w:val="num" w:pos="360"/>
        </w:tabs>
        <w:ind w:left="360" w:hanging="360"/>
      </w:pPr>
      <w:rPr>
        <w:rFonts w:ascii="Symbol" w:hAnsi="Symbol" w:hint="default"/>
      </w:r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68" w15:restartNumberingAfterBreak="0">
    <w:nsid w:val="515C77FA"/>
    <w:multiLevelType w:val="hybridMultilevel"/>
    <w:tmpl w:val="E848CDAA"/>
    <w:lvl w:ilvl="0" w:tplc="6AD6F9C6">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69" w15:restartNumberingAfterBreak="0">
    <w:nsid w:val="52AE1D3B"/>
    <w:multiLevelType w:val="hybridMultilevel"/>
    <w:tmpl w:val="74D20522"/>
    <w:lvl w:ilvl="0" w:tplc="61C647CA">
      <w:start w:val="1"/>
      <w:numFmt w:val="lowerRoman"/>
      <w:lvlText w:val="(%1)"/>
      <w:lvlJc w:val="left"/>
      <w:pPr>
        <w:ind w:left="5058" w:hanging="720"/>
      </w:pPr>
      <w:rPr>
        <w:rFonts w:cs="Times New Roman"/>
      </w:rPr>
    </w:lvl>
    <w:lvl w:ilvl="1" w:tplc="0C090019">
      <w:start w:val="1"/>
      <w:numFmt w:val="decimal"/>
      <w:lvlText w:val="%2."/>
      <w:lvlJc w:val="left"/>
      <w:pPr>
        <w:tabs>
          <w:tab w:val="num" w:pos="5418"/>
        </w:tabs>
        <w:ind w:left="5418" w:hanging="360"/>
      </w:pPr>
      <w:rPr>
        <w:rFonts w:cs="Times New Roman"/>
      </w:rPr>
    </w:lvl>
    <w:lvl w:ilvl="2" w:tplc="0C09001B">
      <w:start w:val="1"/>
      <w:numFmt w:val="decimal"/>
      <w:lvlText w:val="%3."/>
      <w:lvlJc w:val="left"/>
      <w:pPr>
        <w:tabs>
          <w:tab w:val="num" w:pos="6138"/>
        </w:tabs>
        <w:ind w:left="6138" w:hanging="360"/>
      </w:pPr>
      <w:rPr>
        <w:rFonts w:cs="Times New Roman"/>
      </w:rPr>
    </w:lvl>
    <w:lvl w:ilvl="3" w:tplc="0C09000F">
      <w:start w:val="1"/>
      <w:numFmt w:val="decimal"/>
      <w:lvlText w:val="%4."/>
      <w:lvlJc w:val="left"/>
      <w:pPr>
        <w:tabs>
          <w:tab w:val="num" w:pos="6858"/>
        </w:tabs>
        <w:ind w:left="6858" w:hanging="360"/>
      </w:pPr>
      <w:rPr>
        <w:rFonts w:cs="Times New Roman"/>
      </w:rPr>
    </w:lvl>
    <w:lvl w:ilvl="4" w:tplc="0C090019">
      <w:start w:val="1"/>
      <w:numFmt w:val="decimal"/>
      <w:lvlText w:val="%5."/>
      <w:lvlJc w:val="left"/>
      <w:pPr>
        <w:tabs>
          <w:tab w:val="num" w:pos="7578"/>
        </w:tabs>
        <w:ind w:left="7578" w:hanging="360"/>
      </w:pPr>
      <w:rPr>
        <w:rFonts w:cs="Times New Roman"/>
      </w:rPr>
    </w:lvl>
    <w:lvl w:ilvl="5" w:tplc="0C09001B">
      <w:start w:val="1"/>
      <w:numFmt w:val="decimal"/>
      <w:lvlText w:val="%6."/>
      <w:lvlJc w:val="left"/>
      <w:pPr>
        <w:tabs>
          <w:tab w:val="num" w:pos="8298"/>
        </w:tabs>
        <w:ind w:left="8298" w:hanging="360"/>
      </w:pPr>
      <w:rPr>
        <w:rFonts w:cs="Times New Roman"/>
      </w:rPr>
    </w:lvl>
    <w:lvl w:ilvl="6" w:tplc="0C09000F">
      <w:start w:val="1"/>
      <w:numFmt w:val="decimal"/>
      <w:lvlText w:val="%7."/>
      <w:lvlJc w:val="left"/>
      <w:pPr>
        <w:tabs>
          <w:tab w:val="num" w:pos="9018"/>
        </w:tabs>
        <w:ind w:left="9018" w:hanging="360"/>
      </w:pPr>
      <w:rPr>
        <w:rFonts w:cs="Times New Roman"/>
      </w:rPr>
    </w:lvl>
    <w:lvl w:ilvl="7" w:tplc="0C090019">
      <w:start w:val="1"/>
      <w:numFmt w:val="decimal"/>
      <w:lvlText w:val="%8."/>
      <w:lvlJc w:val="left"/>
      <w:pPr>
        <w:tabs>
          <w:tab w:val="num" w:pos="9738"/>
        </w:tabs>
        <w:ind w:left="9738" w:hanging="360"/>
      </w:pPr>
      <w:rPr>
        <w:rFonts w:cs="Times New Roman"/>
      </w:rPr>
    </w:lvl>
    <w:lvl w:ilvl="8" w:tplc="0C09001B">
      <w:start w:val="1"/>
      <w:numFmt w:val="decimal"/>
      <w:lvlText w:val="%9."/>
      <w:lvlJc w:val="left"/>
      <w:pPr>
        <w:tabs>
          <w:tab w:val="num" w:pos="10458"/>
        </w:tabs>
        <w:ind w:left="10458" w:hanging="360"/>
      </w:pPr>
      <w:rPr>
        <w:rFonts w:cs="Times New Roman"/>
      </w:rPr>
    </w:lvl>
  </w:abstractNum>
  <w:abstractNum w:abstractNumId="70" w15:restartNumberingAfterBreak="0">
    <w:nsid w:val="53757393"/>
    <w:multiLevelType w:val="multilevel"/>
    <w:tmpl w:val="EAF69E44"/>
    <w:lvl w:ilvl="0">
      <w:start w:val="1"/>
      <w:numFmt w:val="decimal"/>
      <w:pStyle w:val="C1style"/>
      <w:lvlText w:val="C.%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53DE23B1"/>
    <w:multiLevelType w:val="hybridMultilevel"/>
    <w:tmpl w:val="22D0E93A"/>
    <w:lvl w:ilvl="0" w:tplc="245A1AB4">
      <w:start w:val="1"/>
      <w:numFmt w:val="bullet"/>
      <w:lvlText w:val=""/>
      <w:lvlJc w:val="left"/>
      <w:pPr>
        <w:ind w:left="720" w:hanging="360"/>
      </w:pPr>
      <w:rPr>
        <w:rFonts w:ascii="Symbol" w:hAnsi="Symbol" w:hint="default"/>
      </w:rPr>
    </w:lvl>
    <w:lvl w:ilvl="1" w:tplc="DA4669F4">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542D06B6"/>
    <w:multiLevelType w:val="hybridMultilevel"/>
    <w:tmpl w:val="48FC5D40"/>
    <w:lvl w:ilvl="0" w:tplc="0C090001">
      <w:start w:val="1"/>
      <w:numFmt w:val="bullet"/>
      <w:lvlText w:val=""/>
      <w:lvlJc w:val="left"/>
      <w:pPr>
        <w:ind w:left="760" w:hanging="360"/>
      </w:pPr>
      <w:rPr>
        <w:rFonts w:ascii="Symbol" w:hAnsi="Symbol" w:hint="default"/>
      </w:rPr>
    </w:lvl>
    <w:lvl w:ilvl="1" w:tplc="0C090003" w:tentative="1">
      <w:start w:val="1"/>
      <w:numFmt w:val="bullet"/>
      <w:lvlText w:val="o"/>
      <w:lvlJc w:val="left"/>
      <w:pPr>
        <w:ind w:left="1480" w:hanging="360"/>
      </w:pPr>
      <w:rPr>
        <w:rFonts w:ascii="Courier New" w:hAnsi="Courier New" w:cs="Courier New" w:hint="default"/>
      </w:rPr>
    </w:lvl>
    <w:lvl w:ilvl="2" w:tplc="0C090005" w:tentative="1">
      <w:start w:val="1"/>
      <w:numFmt w:val="bullet"/>
      <w:lvlText w:val=""/>
      <w:lvlJc w:val="left"/>
      <w:pPr>
        <w:ind w:left="2200" w:hanging="360"/>
      </w:pPr>
      <w:rPr>
        <w:rFonts w:ascii="Wingdings" w:hAnsi="Wingdings" w:hint="default"/>
      </w:rPr>
    </w:lvl>
    <w:lvl w:ilvl="3" w:tplc="0C090001" w:tentative="1">
      <w:start w:val="1"/>
      <w:numFmt w:val="bullet"/>
      <w:lvlText w:val=""/>
      <w:lvlJc w:val="left"/>
      <w:pPr>
        <w:ind w:left="2920" w:hanging="360"/>
      </w:pPr>
      <w:rPr>
        <w:rFonts w:ascii="Symbol" w:hAnsi="Symbol" w:hint="default"/>
      </w:rPr>
    </w:lvl>
    <w:lvl w:ilvl="4" w:tplc="0C090003" w:tentative="1">
      <w:start w:val="1"/>
      <w:numFmt w:val="bullet"/>
      <w:lvlText w:val="o"/>
      <w:lvlJc w:val="left"/>
      <w:pPr>
        <w:ind w:left="3640" w:hanging="360"/>
      </w:pPr>
      <w:rPr>
        <w:rFonts w:ascii="Courier New" w:hAnsi="Courier New" w:cs="Courier New" w:hint="default"/>
      </w:rPr>
    </w:lvl>
    <w:lvl w:ilvl="5" w:tplc="0C090005" w:tentative="1">
      <w:start w:val="1"/>
      <w:numFmt w:val="bullet"/>
      <w:lvlText w:val=""/>
      <w:lvlJc w:val="left"/>
      <w:pPr>
        <w:ind w:left="4360" w:hanging="360"/>
      </w:pPr>
      <w:rPr>
        <w:rFonts w:ascii="Wingdings" w:hAnsi="Wingdings" w:hint="default"/>
      </w:rPr>
    </w:lvl>
    <w:lvl w:ilvl="6" w:tplc="0C090001" w:tentative="1">
      <w:start w:val="1"/>
      <w:numFmt w:val="bullet"/>
      <w:lvlText w:val=""/>
      <w:lvlJc w:val="left"/>
      <w:pPr>
        <w:ind w:left="5080" w:hanging="360"/>
      </w:pPr>
      <w:rPr>
        <w:rFonts w:ascii="Symbol" w:hAnsi="Symbol" w:hint="default"/>
      </w:rPr>
    </w:lvl>
    <w:lvl w:ilvl="7" w:tplc="0C090003" w:tentative="1">
      <w:start w:val="1"/>
      <w:numFmt w:val="bullet"/>
      <w:lvlText w:val="o"/>
      <w:lvlJc w:val="left"/>
      <w:pPr>
        <w:ind w:left="5800" w:hanging="360"/>
      </w:pPr>
      <w:rPr>
        <w:rFonts w:ascii="Courier New" w:hAnsi="Courier New" w:cs="Courier New" w:hint="default"/>
      </w:rPr>
    </w:lvl>
    <w:lvl w:ilvl="8" w:tplc="0C090005" w:tentative="1">
      <w:start w:val="1"/>
      <w:numFmt w:val="bullet"/>
      <w:lvlText w:val=""/>
      <w:lvlJc w:val="left"/>
      <w:pPr>
        <w:ind w:left="6520" w:hanging="360"/>
      </w:pPr>
      <w:rPr>
        <w:rFonts w:ascii="Wingdings" w:hAnsi="Wingdings" w:hint="default"/>
      </w:rPr>
    </w:lvl>
  </w:abstractNum>
  <w:abstractNum w:abstractNumId="73" w15:restartNumberingAfterBreak="0">
    <w:nsid w:val="54ED50CE"/>
    <w:multiLevelType w:val="hybridMultilevel"/>
    <w:tmpl w:val="7452CA40"/>
    <w:lvl w:ilvl="0" w:tplc="A874ED12">
      <w:start w:val="1"/>
      <w:numFmt w:val="decimal"/>
      <w:pStyle w:val="21paras"/>
      <w:lvlText w:val="2.%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74" w15:restartNumberingAfterBreak="0">
    <w:nsid w:val="5528218B"/>
    <w:multiLevelType w:val="hybridMultilevel"/>
    <w:tmpl w:val="22BE42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56C5034A"/>
    <w:multiLevelType w:val="hybridMultilevel"/>
    <w:tmpl w:val="879C069A"/>
    <w:lvl w:ilvl="0" w:tplc="E6141928">
      <w:numFmt w:val="bullet"/>
      <w:lvlText w:val="-"/>
      <w:lvlJc w:val="left"/>
      <w:pPr>
        <w:ind w:left="720" w:hanging="360"/>
      </w:pPr>
      <w:rPr>
        <w:rFonts w:ascii="Calibri" w:eastAsia="Times New Roman" w:hAnsi="Calibri"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56FE0ED9"/>
    <w:multiLevelType w:val="hybridMultilevel"/>
    <w:tmpl w:val="A8CC218A"/>
    <w:lvl w:ilvl="0" w:tplc="0C09000F">
      <w:start w:val="1"/>
      <w:numFmt w:val="decimal"/>
      <w:lvlText w:val="%1."/>
      <w:lvlJc w:val="left"/>
      <w:pPr>
        <w:ind w:left="360" w:hanging="360"/>
      </w:pPr>
      <w:rPr>
        <w:rFonts w:cs="Times New Roman" w:hint="default"/>
      </w:rPr>
    </w:lvl>
    <w:lvl w:ilvl="1" w:tplc="0C090019">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77" w15:restartNumberingAfterBreak="0">
    <w:nsid w:val="583D525C"/>
    <w:multiLevelType w:val="hybridMultilevel"/>
    <w:tmpl w:val="D5442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5A483F3D"/>
    <w:multiLevelType w:val="hybridMultilevel"/>
    <w:tmpl w:val="9E9AFF52"/>
    <w:lvl w:ilvl="0" w:tplc="C10EAE78">
      <w:start w:val="1"/>
      <w:numFmt w:val="decimal"/>
      <w:pStyle w:val="Numberedpara10"/>
      <w:lvlText w:val="4.%1"/>
      <w:lvlJc w:val="left"/>
      <w:pPr>
        <w:ind w:left="1353" w:hanging="360"/>
      </w:pPr>
      <w:rPr>
        <w:rFonts w:ascii="Calibri" w:hAnsi="Calibri" w:hint="default"/>
        <w:b w:val="0"/>
        <w:i w:val="0"/>
        <w:sz w:val="24"/>
        <w:szCs w:val="24"/>
      </w:rPr>
    </w:lvl>
    <w:lvl w:ilvl="1" w:tplc="0C090001">
      <w:start w:val="1"/>
      <w:numFmt w:val="bullet"/>
      <w:lvlText w:val=""/>
      <w:lvlJc w:val="left"/>
      <w:pPr>
        <w:ind w:left="2073" w:hanging="360"/>
      </w:pPr>
      <w:rPr>
        <w:rFonts w:ascii="Symbol" w:hAnsi="Symbol" w:hint="default"/>
      </w:r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79" w15:restartNumberingAfterBreak="0">
    <w:nsid w:val="5B871463"/>
    <w:multiLevelType w:val="hybridMultilevel"/>
    <w:tmpl w:val="A628C502"/>
    <w:lvl w:ilvl="0" w:tplc="1152BE8C">
      <w:start w:val="1"/>
      <w:numFmt w:val="bullet"/>
      <w:lvlText w:val=""/>
      <w:lvlJc w:val="left"/>
      <w:pPr>
        <w:ind w:left="928" w:hanging="360"/>
      </w:pPr>
      <w:rPr>
        <w:rFonts w:ascii="Symbol" w:hAnsi="Symbol" w:hint="default"/>
      </w:rPr>
    </w:lvl>
    <w:lvl w:ilvl="1" w:tplc="0C090003">
      <w:start w:val="1"/>
      <w:numFmt w:val="bullet"/>
      <w:lvlText w:val="o"/>
      <w:lvlJc w:val="left"/>
      <w:pPr>
        <w:ind w:left="1582" w:hanging="360"/>
      </w:pPr>
      <w:rPr>
        <w:rFonts w:ascii="Courier New" w:hAnsi="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80" w15:restartNumberingAfterBreak="0">
    <w:nsid w:val="5C002FBD"/>
    <w:multiLevelType w:val="hybridMultilevel"/>
    <w:tmpl w:val="274AAB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1" w15:restartNumberingAfterBreak="0">
    <w:nsid w:val="5CA72EE0"/>
    <w:multiLevelType w:val="hybridMultilevel"/>
    <w:tmpl w:val="75EEAB16"/>
    <w:lvl w:ilvl="0" w:tplc="73C4894A">
      <w:start w:val="1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62616016"/>
    <w:multiLevelType w:val="hybridMultilevel"/>
    <w:tmpl w:val="0CD6EC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3" w15:restartNumberingAfterBreak="0">
    <w:nsid w:val="65E43307"/>
    <w:multiLevelType w:val="hybridMultilevel"/>
    <w:tmpl w:val="82A0C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66081D2A"/>
    <w:multiLevelType w:val="multilevel"/>
    <w:tmpl w:val="0726A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68668CD"/>
    <w:multiLevelType w:val="hybridMultilevel"/>
    <w:tmpl w:val="57D606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6" w15:restartNumberingAfterBreak="0">
    <w:nsid w:val="67D057DA"/>
    <w:multiLevelType w:val="multilevel"/>
    <w:tmpl w:val="F6F4ACE0"/>
    <w:styleLink w:val="Numbers"/>
    <w:lvl w:ilvl="0">
      <w:start w:val="1"/>
      <w:numFmt w:val="decimal"/>
      <w:lvlText w:val="%1."/>
      <w:lvlJc w:val="left"/>
      <w:pPr>
        <w:tabs>
          <w:tab w:val="num" w:pos="360"/>
        </w:tabs>
        <w:ind w:left="170" w:hanging="170"/>
      </w:pPr>
      <w:rPr>
        <w:rFonts w:hint="default"/>
      </w:rPr>
    </w:lvl>
    <w:lvl w:ilvl="1">
      <w:start w:val="1"/>
      <w:numFmt w:val="lowerLetter"/>
      <w:lvlText w:val="%2."/>
      <w:lvlJc w:val="left"/>
      <w:pPr>
        <w:ind w:left="340" w:hanging="170"/>
      </w:pPr>
      <w:rPr>
        <w:rFonts w:hint="default"/>
      </w:rPr>
    </w:lvl>
    <w:lvl w:ilvl="2">
      <w:start w:val="1"/>
      <w:numFmt w:val="lowerRoman"/>
      <w:lvlText w:val="%3."/>
      <w:lvlJc w:val="left"/>
      <w:pPr>
        <w:ind w:left="510" w:hanging="17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7" w15:restartNumberingAfterBreak="0">
    <w:nsid w:val="6850009E"/>
    <w:multiLevelType w:val="hybridMultilevel"/>
    <w:tmpl w:val="93EE80E0"/>
    <w:lvl w:ilvl="0" w:tplc="E82EABC0">
      <w:start w:val="14"/>
      <w:numFmt w:val="bullet"/>
      <w:lvlText w:val="-"/>
      <w:lvlJc w:val="left"/>
      <w:pPr>
        <w:ind w:left="1069" w:hanging="360"/>
      </w:pPr>
      <w:rPr>
        <w:rFonts w:ascii="Calibri" w:eastAsia="Times New Roman" w:hAnsi="Calibri" w:cs="Calibri"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88" w15:restartNumberingAfterBreak="0">
    <w:nsid w:val="68AB258D"/>
    <w:multiLevelType w:val="hybridMultilevel"/>
    <w:tmpl w:val="E848CDAA"/>
    <w:lvl w:ilvl="0" w:tplc="6AD6F9C6">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89" w15:restartNumberingAfterBreak="0">
    <w:nsid w:val="69FA5D2E"/>
    <w:multiLevelType w:val="hybridMultilevel"/>
    <w:tmpl w:val="EAA427FE"/>
    <w:lvl w:ilvl="0" w:tplc="8C1CAFC0">
      <w:start w:val="1"/>
      <w:numFmt w:val="decimal"/>
      <w:pStyle w:val="101numbering"/>
      <w:lvlText w:val="10.%1"/>
      <w:lvlJc w:val="left"/>
      <w:pPr>
        <w:ind w:left="360" w:hanging="36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0" w15:restartNumberingAfterBreak="0">
    <w:nsid w:val="6A1B5A13"/>
    <w:multiLevelType w:val="hybridMultilevel"/>
    <w:tmpl w:val="1BBEA726"/>
    <w:lvl w:ilvl="0" w:tplc="5600C02E">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91" w15:restartNumberingAfterBreak="0">
    <w:nsid w:val="6AEB1109"/>
    <w:multiLevelType w:val="hybridMultilevel"/>
    <w:tmpl w:val="E848CDAA"/>
    <w:lvl w:ilvl="0" w:tplc="6AD6F9C6">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92" w15:restartNumberingAfterBreak="0">
    <w:nsid w:val="6B7A698E"/>
    <w:multiLevelType w:val="hybridMultilevel"/>
    <w:tmpl w:val="8FB0D6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3" w15:restartNumberingAfterBreak="0">
    <w:nsid w:val="6DEA675D"/>
    <w:multiLevelType w:val="hybridMultilevel"/>
    <w:tmpl w:val="B5703A5E"/>
    <w:lvl w:ilvl="0" w:tplc="8F3454A2">
      <w:start w:val="1"/>
      <w:numFmt w:val="decimal"/>
      <w:lvlText w:val="%1."/>
      <w:lvlJc w:val="left"/>
      <w:pPr>
        <w:ind w:left="360" w:hanging="360"/>
      </w:pPr>
      <w:rPr>
        <w:rFonts w:cs="Times New Roman"/>
      </w:rPr>
    </w:lvl>
    <w:lvl w:ilvl="1" w:tplc="0C090019">
      <w:start w:val="1"/>
      <w:numFmt w:val="bullet"/>
      <w:lvlText w:val=""/>
      <w:lvlJc w:val="left"/>
      <w:pPr>
        <w:ind w:left="1298" w:hanging="360"/>
      </w:pPr>
      <w:rPr>
        <w:rFonts w:ascii="Symbol" w:hAnsi="Symbol" w:hint="default"/>
      </w:rPr>
    </w:lvl>
    <w:lvl w:ilvl="2" w:tplc="0C09001B" w:tentative="1">
      <w:start w:val="1"/>
      <w:numFmt w:val="lowerRoman"/>
      <w:lvlText w:val="%3."/>
      <w:lvlJc w:val="right"/>
      <w:pPr>
        <w:ind w:left="2018" w:hanging="180"/>
      </w:pPr>
      <w:rPr>
        <w:rFonts w:cs="Times New Roman"/>
      </w:rPr>
    </w:lvl>
    <w:lvl w:ilvl="3" w:tplc="0C09000F" w:tentative="1">
      <w:start w:val="1"/>
      <w:numFmt w:val="decimal"/>
      <w:lvlText w:val="%4."/>
      <w:lvlJc w:val="left"/>
      <w:pPr>
        <w:ind w:left="2738" w:hanging="360"/>
      </w:pPr>
      <w:rPr>
        <w:rFonts w:cs="Times New Roman"/>
      </w:rPr>
    </w:lvl>
    <w:lvl w:ilvl="4" w:tplc="0C090019" w:tentative="1">
      <w:start w:val="1"/>
      <w:numFmt w:val="lowerLetter"/>
      <w:lvlText w:val="%5."/>
      <w:lvlJc w:val="left"/>
      <w:pPr>
        <w:ind w:left="3458" w:hanging="360"/>
      </w:pPr>
      <w:rPr>
        <w:rFonts w:cs="Times New Roman"/>
      </w:rPr>
    </w:lvl>
    <w:lvl w:ilvl="5" w:tplc="0C09001B" w:tentative="1">
      <w:start w:val="1"/>
      <w:numFmt w:val="lowerRoman"/>
      <w:lvlText w:val="%6."/>
      <w:lvlJc w:val="right"/>
      <w:pPr>
        <w:ind w:left="4178" w:hanging="180"/>
      </w:pPr>
      <w:rPr>
        <w:rFonts w:cs="Times New Roman"/>
      </w:rPr>
    </w:lvl>
    <w:lvl w:ilvl="6" w:tplc="0C09000F" w:tentative="1">
      <w:start w:val="1"/>
      <w:numFmt w:val="decimal"/>
      <w:lvlText w:val="%7."/>
      <w:lvlJc w:val="left"/>
      <w:pPr>
        <w:ind w:left="4898" w:hanging="360"/>
      </w:pPr>
      <w:rPr>
        <w:rFonts w:cs="Times New Roman"/>
      </w:rPr>
    </w:lvl>
    <w:lvl w:ilvl="7" w:tplc="0C090019" w:tentative="1">
      <w:start w:val="1"/>
      <w:numFmt w:val="lowerLetter"/>
      <w:lvlText w:val="%8."/>
      <w:lvlJc w:val="left"/>
      <w:pPr>
        <w:ind w:left="5618" w:hanging="360"/>
      </w:pPr>
      <w:rPr>
        <w:rFonts w:cs="Times New Roman"/>
      </w:rPr>
    </w:lvl>
    <w:lvl w:ilvl="8" w:tplc="0C09001B" w:tentative="1">
      <w:start w:val="1"/>
      <w:numFmt w:val="lowerRoman"/>
      <w:lvlText w:val="%9."/>
      <w:lvlJc w:val="right"/>
      <w:pPr>
        <w:ind w:left="6338" w:hanging="180"/>
      </w:pPr>
      <w:rPr>
        <w:rFonts w:cs="Times New Roman"/>
      </w:rPr>
    </w:lvl>
  </w:abstractNum>
  <w:abstractNum w:abstractNumId="94" w15:restartNumberingAfterBreak="0">
    <w:nsid w:val="73681F2D"/>
    <w:multiLevelType w:val="hybridMultilevel"/>
    <w:tmpl w:val="4ED0F570"/>
    <w:lvl w:ilvl="0" w:tplc="5844B99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755637D5"/>
    <w:multiLevelType w:val="hybridMultilevel"/>
    <w:tmpl w:val="2D64D636"/>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96" w15:restartNumberingAfterBreak="0">
    <w:nsid w:val="75D65D8A"/>
    <w:multiLevelType w:val="hybridMultilevel"/>
    <w:tmpl w:val="7F6A8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78E65CF6"/>
    <w:multiLevelType w:val="hybridMultilevel"/>
    <w:tmpl w:val="30DE04FC"/>
    <w:lvl w:ilvl="0" w:tplc="B4E6944E">
      <w:start w:val="1"/>
      <w:numFmt w:val="lowerLetter"/>
      <w:pStyle w:val="List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8" w15:restartNumberingAfterBreak="0">
    <w:nsid w:val="79AC0914"/>
    <w:multiLevelType w:val="hybridMultilevel"/>
    <w:tmpl w:val="C82E3BCA"/>
    <w:lvl w:ilvl="0" w:tplc="909C3BDC">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7BFB1148"/>
    <w:multiLevelType w:val="hybridMultilevel"/>
    <w:tmpl w:val="53380A1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0" w15:restartNumberingAfterBreak="0">
    <w:nsid w:val="7C105113"/>
    <w:multiLevelType w:val="hybridMultilevel"/>
    <w:tmpl w:val="2DFA174C"/>
    <w:lvl w:ilvl="0" w:tplc="D382A018">
      <w:start w:val="1"/>
      <w:numFmt w:val="bullet"/>
      <w:lvlText w:val=""/>
      <w:lvlJc w:val="left"/>
      <w:pPr>
        <w:ind w:left="502" w:hanging="360"/>
      </w:pPr>
      <w:rPr>
        <w:rFonts w:ascii="Symbol" w:hAnsi="Symbol" w:hint="default"/>
        <w:sz w:val="24"/>
        <w:szCs w:val="14"/>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01" w15:restartNumberingAfterBreak="0">
    <w:nsid w:val="7C145DAA"/>
    <w:multiLevelType w:val="hybridMultilevel"/>
    <w:tmpl w:val="17E61E78"/>
    <w:lvl w:ilvl="0" w:tplc="A748FEE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2" w15:restartNumberingAfterBreak="0">
    <w:nsid w:val="7C3E1E64"/>
    <w:multiLevelType w:val="hybridMultilevel"/>
    <w:tmpl w:val="E848CDAA"/>
    <w:lvl w:ilvl="0" w:tplc="6AD6F9C6">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03" w15:restartNumberingAfterBreak="0">
    <w:nsid w:val="7C73195C"/>
    <w:multiLevelType w:val="hybridMultilevel"/>
    <w:tmpl w:val="158AC6A0"/>
    <w:lvl w:ilvl="0" w:tplc="66040272">
      <w:start w:val="1"/>
      <w:numFmt w:val="bullet"/>
      <w:pStyle w:val="TableBullet"/>
      <w:lvlText w:val=""/>
      <w:lvlJc w:val="left"/>
      <w:pPr>
        <w:ind w:left="360" w:hanging="360"/>
      </w:pPr>
      <w:rPr>
        <w:rFonts w:ascii="Symbol" w:hAnsi="Symbol" w:cs="Times New Roman" w:hint="default"/>
        <w:b w:val="0"/>
        <w:bCs w:val="0"/>
        <w:i w:val="0"/>
        <w:iCs w:val="0"/>
        <w:caps w:val="0"/>
        <w:smallCaps w:val="0"/>
        <w:strike w:val="0"/>
        <w:dstrike w:val="0"/>
        <w:vanish w:val="0"/>
        <w:color w:val="auto"/>
        <w:spacing w:val="0"/>
        <w:kern w:val="0"/>
        <w:position w:val="0"/>
        <w:u w:val="none" w:color="DDD8D9" w:themeColor="accent1"/>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7E461CCB"/>
    <w:multiLevelType w:val="hybridMultilevel"/>
    <w:tmpl w:val="7C16EB7E"/>
    <w:lvl w:ilvl="0" w:tplc="DAEC2C7E">
      <w:start w:val="1"/>
      <w:numFmt w:val="decimal"/>
      <w:pStyle w:val="Numberedpara7"/>
      <w:lvlText w:val="7.%1"/>
      <w:lvlJc w:val="left"/>
      <w:pPr>
        <w:ind w:left="360" w:hanging="360"/>
      </w:pPr>
      <w:rPr>
        <w:rFonts w:ascii="Calibri" w:hAnsi="Calibri" w:hint="default"/>
        <w:b w:val="0"/>
        <w:i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5" w15:restartNumberingAfterBreak="0">
    <w:nsid w:val="7F193A55"/>
    <w:multiLevelType w:val="hybridMultilevel"/>
    <w:tmpl w:val="206C1C4E"/>
    <w:lvl w:ilvl="0" w:tplc="3AFC279A">
      <w:start w:val="1"/>
      <w:numFmt w:val="decimal"/>
      <w:lvlText w:val="%1."/>
      <w:lvlJc w:val="left"/>
      <w:pPr>
        <w:ind w:left="785" w:hanging="360"/>
      </w:pPr>
      <w:rPr>
        <w:rFonts w:hint="default"/>
        <w:vertAlign w:val="superscript"/>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num w:numId="1" w16cid:durableId="256326847">
    <w:abstractNumId w:val="97"/>
  </w:num>
  <w:num w:numId="2" w16cid:durableId="1907762352">
    <w:abstractNumId w:val="7"/>
  </w:num>
  <w:num w:numId="3" w16cid:durableId="1544095258">
    <w:abstractNumId w:val="103"/>
  </w:num>
  <w:num w:numId="4" w16cid:durableId="564141162">
    <w:abstractNumId w:val="31"/>
  </w:num>
  <w:num w:numId="5" w16cid:durableId="151063714">
    <w:abstractNumId w:val="13"/>
  </w:num>
  <w:num w:numId="6" w16cid:durableId="1523736926">
    <w:abstractNumId w:val="21"/>
  </w:num>
  <w:num w:numId="7" w16cid:durableId="112553738">
    <w:abstractNumId w:val="25"/>
  </w:num>
  <w:num w:numId="8" w16cid:durableId="1781486558">
    <w:abstractNumId w:val="56"/>
  </w:num>
  <w:num w:numId="9" w16cid:durableId="1300963024">
    <w:abstractNumId w:val="40"/>
  </w:num>
  <w:num w:numId="10" w16cid:durableId="1388844871">
    <w:abstractNumId w:val="47"/>
  </w:num>
  <w:num w:numId="11" w16cid:durableId="651256133">
    <w:abstractNumId w:val="10"/>
  </w:num>
  <w:num w:numId="12" w16cid:durableId="2049913619">
    <w:abstractNumId w:val="51"/>
  </w:num>
  <w:num w:numId="13" w16cid:durableId="141391300">
    <w:abstractNumId w:val="57"/>
  </w:num>
  <w:num w:numId="14" w16cid:durableId="599995422">
    <w:abstractNumId w:val="86"/>
  </w:num>
  <w:num w:numId="15" w16cid:durableId="2030402052">
    <w:abstractNumId w:val="15"/>
  </w:num>
  <w:num w:numId="16" w16cid:durableId="2121097576">
    <w:abstractNumId w:val="14"/>
  </w:num>
  <w:num w:numId="17" w16cid:durableId="422730729">
    <w:abstractNumId w:val="37"/>
    <w:lvlOverride w:ilvl="0">
      <w:lvl w:ilvl="0">
        <w:start w:val="1"/>
        <w:numFmt w:val="lowerLetter"/>
        <w:pStyle w:val="TableNotes"/>
        <w:lvlText w:val="(%1)"/>
        <w:lvlJc w:val="left"/>
        <w:pPr>
          <w:ind w:left="284" w:hanging="284"/>
        </w:pPr>
        <w:rPr>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8" w16cid:durableId="405029484">
    <w:abstractNumId w:val="46"/>
  </w:num>
  <w:num w:numId="19" w16cid:durableId="1426027523">
    <w:abstractNumId w:val="27"/>
  </w:num>
  <w:num w:numId="20" w16cid:durableId="1421413594">
    <w:abstractNumId w:val="73"/>
  </w:num>
  <w:num w:numId="21" w16cid:durableId="1590851740">
    <w:abstractNumId w:val="28"/>
  </w:num>
  <w:num w:numId="22" w16cid:durableId="542985065">
    <w:abstractNumId w:val="1"/>
  </w:num>
  <w:num w:numId="23" w16cid:durableId="829061740">
    <w:abstractNumId w:val="62"/>
  </w:num>
  <w:num w:numId="24" w16cid:durableId="1464155378">
    <w:abstractNumId w:val="65"/>
  </w:num>
  <w:num w:numId="25" w16cid:durableId="386299838">
    <w:abstractNumId w:val="66"/>
  </w:num>
  <w:num w:numId="26" w16cid:durableId="8188829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42193793">
    <w:abstractNumId w:val="26"/>
  </w:num>
  <w:num w:numId="28" w16cid:durableId="78019334">
    <w:abstractNumId w:val="104"/>
  </w:num>
  <w:num w:numId="29" w16cid:durableId="1007363586">
    <w:abstractNumId w:val="89"/>
  </w:num>
  <w:num w:numId="30" w16cid:durableId="622461710">
    <w:abstractNumId w:val="70"/>
  </w:num>
  <w:num w:numId="31" w16cid:durableId="1661762953">
    <w:abstractNumId w:val="78"/>
  </w:num>
  <w:num w:numId="32" w16cid:durableId="743917234">
    <w:abstractNumId w:val="22"/>
  </w:num>
  <w:num w:numId="33" w16cid:durableId="713046222">
    <w:abstractNumId w:val="16"/>
  </w:num>
  <w:num w:numId="34" w16cid:durableId="731930408">
    <w:abstractNumId w:val="79"/>
  </w:num>
  <w:num w:numId="35" w16cid:durableId="337583390">
    <w:abstractNumId w:val="41"/>
  </w:num>
  <w:num w:numId="36" w16cid:durableId="454635880">
    <w:abstractNumId w:val="54"/>
  </w:num>
  <w:num w:numId="37" w16cid:durableId="8021287">
    <w:abstractNumId w:val="3"/>
  </w:num>
  <w:num w:numId="38" w16cid:durableId="664092593">
    <w:abstractNumId w:val="2"/>
  </w:num>
  <w:num w:numId="39" w16cid:durableId="340283041">
    <w:abstractNumId w:val="0"/>
  </w:num>
  <w:num w:numId="40" w16cid:durableId="1368145138">
    <w:abstractNumId w:val="20"/>
  </w:num>
  <w:num w:numId="41" w16cid:durableId="1015763139">
    <w:abstractNumId w:val="4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3426781">
    <w:abstractNumId w:val="92"/>
  </w:num>
  <w:num w:numId="43" w16cid:durableId="1861971977">
    <w:abstractNumId w:val="23"/>
  </w:num>
  <w:num w:numId="44" w16cid:durableId="1664426">
    <w:abstractNumId w:val="47"/>
    <w:lvlOverride w:ilvl="0">
      <w:startOverride w:val="14"/>
    </w:lvlOverride>
    <w:lvlOverride w:ilvl="1">
      <w:startOverride w:val="9"/>
    </w:lvlOverride>
  </w:num>
  <w:num w:numId="45" w16cid:durableId="1711298180">
    <w:abstractNumId w:val="53"/>
    <w:lvlOverride w:ilvl="0">
      <w:startOverride w:val="1"/>
    </w:lvlOverride>
  </w:num>
  <w:num w:numId="46" w16cid:durableId="217982892">
    <w:abstractNumId w:val="90"/>
  </w:num>
  <w:num w:numId="47" w16cid:durableId="174615858">
    <w:abstractNumId w:val="99"/>
  </w:num>
  <w:num w:numId="48" w16cid:durableId="1292205765">
    <w:abstractNumId w:val="55"/>
  </w:num>
  <w:num w:numId="49" w16cid:durableId="1277636461">
    <w:abstractNumId w:val="87"/>
  </w:num>
  <w:num w:numId="50" w16cid:durableId="929042402">
    <w:abstractNumId w:val="19"/>
  </w:num>
  <w:num w:numId="51" w16cid:durableId="1255700021">
    <w:abstractNumId w:val="39"/>
  </w:num>
  <w:num w:numId="52" w16cid:durableId="1069763934">
    <w:abstractNumId w:val="47"/>
  </w:num>
  <w:num w:numId="53" w16cid:durableId="46034469">
    <w:abstractNumId w:val="24"/>
  </w:num>
  <w:num w:numId="54" w16cid:durableId="544366138">
    <w:abstractNumId w:val="93"/>
  </w:num>
  <w:num w:numId="55" w16cid:durableId="1046830688">
    <w:abstractNumId w:val="45"/>
  </w:num>
  <w:num w:numId="56" w16cid:durableId="2056617645">
    <w:abstractNumId w:val="68"/>
  </w:num>
  <w:num w:numId="57" w16cid:durableId="1593902280">
    <w:abstractNumId w:val="76"/>
  </w:num>
  <w:num w:numId="58" w16cid:durableId="1887646660">
    <w:abstractNumId w:val="91"/>
  </w:num>
  <w:num w:numId="59" w16cid:durableId="2131052594">
    <w:abstractNumId w:val="5"/>
  </w:num>
  <w:num w:numId="60" w16cid:durableId="1559515796">
    <w:abstractNumId w:val="88"/>
  </w:num>
  <w:num w:numId="61" w16cid:durableId="1550458486">
    <w:abstractNumId w:val="102"/>
  </w:num>
  <w:num w:numId="62" w16cid:durableId="1452165306">
    <w:abstractNumId w:val="9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97394519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49663851">
    <w:abstractNumId w:val="43"/>
  </w:num>
  <w:num w:numId="65" w16cid:durableId="242300822">
    <w:abstractNumId w:val="38"/>
  </w:num>
  <w:num w:numId="66" w16cid:durableId="165096396">
    <w:abstractNumId w:val="59"/>
  </w:num>
  <w:num w:numId="67" w16cid:durableId="2047411790">
    <w:abstractNumId w:val="30"/>
  </w:num>
  <w:num w:numId="68" w16cid:durableId="2071686371">
    <w:abstractNumId w:val="52"/>
  </w:num>
  <w:num w:numId="69" w16cid:durableId="1843472504">
    <w:abstractNumId w:val="9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569611490">
    <w:abstractNumId w:val="75"/>
  </w:num>
  <w:num w:numId="71" w16cid:durableId="1952466266">
    <w:abstractNumId w:val="9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9283383">
    <w:abstractNumId w:val="9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976452188">
    <w:abstractNumId w:val="9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04225842">
    <w:abstractNumId w:val="9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098166780">
    <w:abstractNumId w:val="9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407968060">
    <w:abstractNumId w:val="9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698963175">
    <w:abstractNumId w:val="9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513445856">
    <w:abstractNumId w:val="9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264266196">
    <w:abstractNumId w:val="9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808887018">
    <w:abstractNumId w:val="49"/>
  </w:num>
  <w:num w:numId="81" w16cid:durableId="14890928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663625131">
    <w:abstractNumId w:val="98"/>
  </w:num>
  <w:num w:numId="83" w16cid:durableId="91242897">
    <w:abstractNumId w:val="94"/>
  </w:num>
  <w:num w:numId="84" w16cid:durableId="1339038441">
    <w:abstractNumId w:val="85"/>
  </w:num>
  <w:num w:numId="85" w16cid:durableId="261034268">
    <w:abstractNumId w:val="96"/>
  </w:num>
  <w:num w:numId="86" w16cid:durableId="2100443558">
    <w:abstractNumId w:val="77"/>
  </w:num>
  <w:num w:numId="87" w16cid:durableId="187331004">
    <w:abstractNumId w:val="63"/>
  </w:num>
  <w:num w:numId="88" w16cid:durableId="1665665960">
    <w:abstractNumId w:val="105"/>
  </w:num>
  <w:num w:numId="89" w16cid:durableId="1781610034">
    <w:abstractNumId w:val="12"/>
  </w:num>
  <w:num w:numId="90" w16cid:durableId="609356791">
    <w:abstractNumId w:val="71"/>
  </w:num>
  <w:num w:numId="91" w16cid:durableId="1797679374">
    <w:abstractNumId w:val="50"/>
  </w:num>
  <w:num w:numId="92" w16cid:durableId="541401645">
    <w:abstractNumId w:val="34"/>
  </w:num>
  <w:num w:numId="93" w16cid:durableId="1671978469">
    <w:abstractNumId w:val="9"/>
  </w:num>
  <w:num w:numId="94" w16cid:durableId="1507094673">
    <w:abstractNumId w:val="82"/>
  </w:num>
  <w:num w:numId="95" w16cid:durableId="1598975628">
    <w:abstractNumId w:val="42"/>
  </w:num>
  <w:num w:numId="96" w16cid:durableId="1244149523">
    <w:abstractNumId w:val="81"/>
  </w:num>
  <w:num w:numId="97" w16cid:durableId="97217747">
    <w:abstractNumId w:val="29"/>
  </w:num>
  <w:num w:numId="98" w16cid:durableId="409304860">
    <w:abstractNumId w:val="6"/>
  </w:num>
  <w:num w:numId="99" w16cid:durableId="344089118">
    <w:abstractNumId w:val="32"/>
  </w:num>
  <w:num w:numId="100" w16cid:durableId="724908891">
    <w:abstractNumId w:val="95"/>
  </w:num>
  <w:num w:numId="101" w16cid:durableId="726341159">
    <w:abstractNumId w:val="4"/>
  </w:num>
  <w:num w:numId="102" w16cid:durableId="2068525377">
    <w:abstractNumId w:val="83"/>
  </w:num>
  <w:num w:numId="103" w16cid:durableId="1074159359">
    <w:abstractNumId w:val="17"/>
  </w:num>
  <w:num w:numId="104" w16cid:durableId="632097471">
    <w:abstractNumId w:val="47"/>
    <w:lvlOverride w:ilvl="0">
      <w:startOverride w:val="14"/>
    </w:lvlOverride>
    <w:lvlOverride w:ilvl="1">
      <w:startOverride w:val="9"/>
    </w:lvlOverride>
  </w:num>
  <w:num w:numId="105" w16cid:durableId="1750925852">
    <w:abstractNumId w:val="47"/>
    <w:lvlOverride w:ilvl="0">
      <w:startOverride w:val="14"/>
    </w:lvlOverride>
    <w:lvlOverride w:ilvl="1">
      <w:startOverride w:val="83"/>
    </w:lvlOverride>
  </w:num>
  <w:num w:numId="106" w16cid:durableId="1258250098">
    <w:abstractNumId w:val="47"/>
  </w:num>
  <w:num w:numId="107" w16cid:durableId="1241721029">
    <w:abstractNumId w:val="84"/>
  </w:num>
  <w:num w:numId="108" w16cid:durableId="1012536438">
    <w:abstractNumId w:val="67"/>
  </w:num>
  <w:num w:numId="109" w16cid:durableId="1416055919">
    <w:abstractNumId w:val="100"/>
  </w:num>
  <w:num w:numId="110" w16cid:durableId="1438258729">
    <w:abstractNumId w:val="47"/>
  </w:num>
  <w:num w:numId="111" w16cid:durableId="1068577311">
    <w:abstractNumId w:val="47"/>
  </w:num>
  <w:num w:numId="112" w16cid:durableId="1271010593">
    <w:abstractNumId w:val="18"/>
  </w:num>
  <w:num w:numId="113" w16cid:durableId="1468740816">
    <w:abstractNumId w:val="47"/>
  </w:num>
  <w:num w:numId="114" w16cid:durableId="974025608">
    <w:abstractNumId w:val="47"/>
  </w:num>
  <w:num w:numId="115" w16cid:durableId="179205188">
    <w:abstractNumId w:val="47"/>
  </w:num>
  <w:num w:numId="116" w16cid:durableId="1176576631">
    <w:abstractNumId w:val="72"/>
  </w:num>
  <w:num w:numId="117" w16cid:durableId="678504496">
    <w:abstractNumId w:val="47"/>
  </w:num>
  <w:num w:numId="118" w16cid:durableId="1605844719">
    <w:abstractNumId w:val="47"/>
  </w:num>
  <w:num w:numId="119" w16cid:durableId="1831099255">
    <w:abstractNumId w:val="47"/>
  </w:num>
  <w:num w:numId="120" w16cid:durableId="1423988677">
    <w:abstractNumId w:val="47"/>
  </w:num>
  <w:num w:numId="121" w16cid:durableId="377777654">
    <w:abstractNumId w:val="47"/>
  </w:num>
  <w:num w:numId="122" w16cid:durableId="626545094">
    <w:abstractNumId w:val="60"/>
  </w:num>
  <w:num w:numId="123" w16cid:durableId="532303002">
    <w:abstractNumId w:val="74"/>
  </w:num>
  <w:num w:numId="124" w16cid:durableId="1490756741">
    <w:abstractNumId w:val="80"/>
  </w:num>
  <w:num w:numId="125" w16cid:durableId="1533768475">
    <w:abstractNumId w:val="58"/>
  </w:num>
  <w:num w:numId="126" w16cid:durableId="1877082278">
    <w:abstractNumId w:val="44"/>
  </w:num>
  <w:num w:numId="127" w16cid:durableId="1021056659">
    <w:abstractNumId w:val="48"/>
  </w:num>
  <w:num w:numId="128" w16cid:durableId="710498471">
    <w:abstractNumId w:val="35"/>
  </w:num>
  <w:num w:numId="129" w16cid:durableId="244262530">
    <w:abstractNumId w:val="11"/>
  </w:num>
  <w:num w:numId="130" w16cid:durableId="922758024">
    <w:abstractNumId w:val="36"/>
  </w:num>
  <w:num w:numId="131" w16cid:durableId="98566966">
    <w:abstractNumId w:val="8"/>
  </w:num>
  <w:num w:numId="132" w16cid:durableId="661545633">
    <w:abstractNumId w:val="101"/>
  </w:num>
  <w:num w:numId="133" w16cid:durableId="132331492">
    <w:abstractNumId w:val="64"/>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2A59496-A5FE-41D2-A21D-02904643B6F1}"/>
    <w:docVar w:name="dgnword-eventsink" w:val="2169473428160"/>
  </w:docVars>
  <w:rsids>
    <w:rsidRoot w:val="00C24D76"/>
    <w:rsid w:val="00003276"/>
    <w:rsid w:val="00003AAC"/>
    <w:rsid w:val="00005974"/>
    <w:rsid w:val="00006AC7"/>
    <w:rsid w:val="000070E8"/>
    <w:rsid w:val="00007404"/>
    <w:rsid w:val="0001377B"/>
    <w:rsid w:val="00015173"/>
    <w:rsid w:val="0001551D"/>
    <w:rsid w:val="000178A2"/>
    <w:rsid w:val="0002032D"/>
    <w:rsid w:val="00020D2A"/>
    <w:rsid w:val="00021409"/>
    <w:rsid w:val="00021925"/>
    <w:rsid w:val="00023C8F"/>
    <w:rsid w:val="00026AD8"/>
    <w:rsid w:val="00027531"/>
    <w:rsid w:val="00032F23"/>
    <w:rsid w:val="000358D7"/>
    <w:rsid w:val="000377B1"/>
    <w:rsid w:val="00041813"/>
    <w:rsid w:val="0004248F"/>
    <w:rsid w:val="00043C6D"/>
    <w:rsid w:val="00043E5C"/>
    <w:rsid w:val="0004554D"/>
    <w:rsid w:val="00046586"/>
    <w:rsid w:val="0005135D"/>
    <w:rsid w:val="000515ED"/>
    <w:rsid w:val="00055300"/>
    <w:rsid w:val="000554B4"/>
    <w:rsid w:val="00057E6D"/>
    <w:rsid w:val="00060984"/>
    <w:rsid w:val="0006123F"/>
    <w:rsid w:val="00062819"/>
    <w:rsid w:val="0006462D"/>
    <w:rsid w:val="000659EB"/>
    <w:rsid w:val="00065BA7"/>
    <w:rsid w:val="0006687B"/>
    <w:rsid w:val="00071216"/>
    <w:rsid w:val="00072763"/>
    <w:rsid w:val="00073DB6"/>
    <w:rsid w:val="00074379"/>
    <w:rsid w:val="000746F8"/>
    <w:rsid w:val="000759CA"/>
    <w:rsid w:val="00076A83"/>
    <w:rsid w:val="000822DB"/>
    <w:rsid w:val="00090160"/>
    <w:rsid w:val="000916CB"/>
    <w:rsid w:val="000937D6"/>
    <w:rsid w:val="00093B03"/>
    <w:rsid w:val="00095251"/>
    <w:rsid w:val="000A002E"/>
    <w:rsid w:val="000A0AFA"/>
    <w:rsid w:val="000A2526"/>
    <w:rsid w:val="000A2FE7"/>
    <w:rsid w:val="000A443D"/>
    <w:rsid w:val="000A44A0"/>
    <w:rsid w:val="000A7CEC"/>
    <w:rsid w:val="000B1EAB"/>
    <w:rsid w:val="000B2663"/>
    <w:rsid w:val="000B3BB4"/>
    <w:rsid w:val="000B6108"/>
    <w:rsid w:val="000B6B1F"/>
    <w:rsid w:val="000B6DDE"/>
    <w:rsid w:val="000B7CDA"/>
    <w:rsid w:val="000C10E9"/>
    <w:rsid w:val="000C4063"/>
    <w:rsid w:val="000C481A"/>
    <w:rsid w:val="000D0EEB"/>
    <w:rsid w:val="000D318B"/>
    <w:rsid w:val="000D3999"/>
    <w:rsid w:val="000D3B87"/>
    <w:rsid w:val="000D5DC6"/>
    <w:rsid w:val="000D67BC"/>
    <w:rsid w:val="000D69FD"/>
    <w:rsid w:val="000D7A38"/>
    <w:rsid w:val="000D7AFD"/>
    <w:rsid w:val="000D7EFA"/>
    <w:rsid w:val="000E03D0"/>
    <w:rsid w:val="000E1535"/>
    <w:rsid w:val="000E3CDD"/>
    <w:rsid w:val="000E4646"/>
    <w:rsid w:val="000E48B4"/>
    <w:rsid w:val="000F06F5"/>
    <w:rsid w:val="000F3540"/>
    <w:rsid w:val="000F3D06"/>
    <w:rsid w:val="000F452A"/>
    <w:rsid w:val="000F5CC5"/>
    <w:rsid w:val="000F75EF"/>
    <w:rsid w:val="0010067C"/>
    <w:rsid w:val="00101F26"/>
    <w:rsid w:val="00102669"/>
    <w:rsid w:val="001027E8"/>
    <w:rsid w:val="0010283E"/>
    <w:rsid w:val="0010585A"/>
    <w:rsid w:val="00105CEF"/>
    <w:rsid w:val="00105DB0"/>
    <w:rsid w:val="00106E78"/>
    <w:rsid w:val="00107459"/>
    <w:rsid w:val="0011183E"/>
    <w:rsid w:val="001124D0"/>
    <w:rsid w:val="0011359E"/>
    <w:rsid w:val="001146F2"/>
    <w:rsid w:val="001148AD"/>
    <w:rsid w:val="00115B8A"/>
    <w:rsid w:val="0011669B"/>
    <w:rsid w:val="00116D63"/>
    <w:rsid w:val="00117E0C"/>
    <w:rsid w:val="00122A8F"/>
    <w:rsid w:val="00122CEE"/>
    <w:rsid w:val="001247FD"/>
    <w:rsid w:val="001248BA"/>
    <w:rsid w:val="00124B5E"/>
    <w:rsid w:val="00127142"/>
    <w:rsid w:val="00127FB7"/>
    <w:rsid w:val="0013380F"/>
    <w:rsid w:val="00136DA2"/>
    <w:rsid w:val="00140454"/>
    <w:rsid w:val="00145753"/>
    <w:rsid w:val="001466FF"/>
    <w:rsid w:val="00146AE6"/>
    <w:rsid w:val="00146C63"/>
    <w:rsid w:val="00147E3A"/>
    <w:rsid w:val="00151165"/>
    <w:rsid w:val="001511C3"/>
    <w:rsid w:val="00151ABC"/>
    <w:rsid w:val="00151CB7"/>
    <w:rsid w:val="00155310"/>
    <w:rsid w:val="00156E08"/>
    <w:rsid w:val="001571D1"/>
    <w:rsid w:val="001637EA"/>
    <w:rsid w:val="00163C32"/>
    <w:rsid w:val="0016513A"/>
    <w:rsid w:val="00165E58"/>
    <w:rsid w:val="00166916"/>
    <w:rsid w:val="00167200"/>
    <w:rsid w:val="00167909"/>
    <w:rsid w:val="00170AAA"/>
    <w:rsid w:val="001712FA"/>
    <w:rsid w:val="0017347F"/>
    <w:rsid w:val="00177F9D"/>
    <w:rsid w:val="00181BA6"/>
    <w:rsid w:val="00183645"/>
    <w:rsid w:val="00185A3F"/>
    <w:rsid w:val="00186984"/>
    <w:rsid w:val="0018766F"/>
    <w:rsid w:val="00192A4A"/>
    <w:rsid w:val="0019558A"/>
    <w:rsid w:val="00197B06"/>
    <w:rsid w:val="001A0085"/>
    <w:rsid w:val="001A07AB"/>
    <w:rsid w:val="001A0CBD"/>
    <w:rsid w:val="001A1C17"/>
    <w:rsid w:val="001A42DE"/>
    <w:rsid w:val="001A4E2C"/>
    <w:rsid w:val="001A51DE"/>
    <w:rsid w:val="001A67D5"/>
    <w:rsid w:val="001A7FF0"/>
    <w:rsid w:val="001B13E7"/>
    <w:rsid w:val="001B47E4"/>
    <w:rsid w:val="001B62F2"/>
    <w:rsid w:val="001C0B8C"/>
    <w:rsid w:val="001C0F68"/>
    <w:rsid w:val="001C1344"/>
    <w:rsid w:val="001C1932"/>
    <w:rsid w:val="001C1E40"/>
    <w:rsid w:val="001C2125"/>
    <w:rsid w:val="001C2BE2"/>
    <w:rsid w:val="001C3258"/>
    <w:rsid w:val="001C51D3"/>
    <w:rsid w:val="001C55BC"/>
    <w:rsid w:val="001C58BC"/>
    <w:rsid w:val="001C638D"/>
    <w:rsid w:val="001D11E0"/>
    <w:rsid w:val="001D15BB"/>
    <w:rsid w:val="001D3B38"/>
    <w:rsid w:val="001D3BD3"/>
    <w:rsid w:val="001D4824"/>
    <w:rsid w:val="001D5594"/>
    <w:rsid w:val="001D63F4"/>
    <w:rsid w:val="001D72E6"/>
    <w:rsid w:val="001E05E0"/>
    <w:rsid w:val="001E2153"/>
    <w:rsid w:val="001E29A0"/>
    <w:rsid w:val="001E3D79"/>
    <w:rsid w:val="001E4CF4"/>
    <w:rsid w:val="001E70D0"/>
    <w:rsid w:val="001F1321"/>
    <w:rsid w:val="001F1C08"/>
    <w:rsid w:val="001F1EE8"/>
    <w:rsid w:val="001F25A2"/>
    <w:rsid w:val="001F3408"/>
    <w:rsid w:val="001F3DC4"/>
    <w:rsid w:val="001F4257"/>
    <w:rsid w:val="001F4A90"/>
    <w:rsid w:val="001F5C0D"/>
    <w:rsid w:val="001F77CC"/>
    <w:rsid w:val="001F79E1"/>
    <w:rsid w:val="0020075E"/>
    <w:rsid w:val="00201C40"/>
    <w:rsid w:val="00202E34"/>
    <w:rsid w:val="002037AE"/>
    <w:rsid w:val="00205585"/>
    <w:rsid w:val="00205B8D"/>
    <w:rsid w:val="00205C62"/>
    <w:rsid w:val="00206CC0"/>
    <w:rsid w:val="00206D1A"/>
    <w:rsid w:val="002077F4"/>
    <w:rsid w:val="00207961"/>
    <w:rsid w:val="00207FE0"/>
    <w:rsid w:val="00210BED"/>
    <w:rsid w:val="002115E2"/>
    <w:rsid w:val="00212C6D"/>
    <w:rsid w:val="00212C75"/>
    <w:rsid w:val="00212FA4"/>
    <w:rsid w:val="0021322B"/>
    <w:rsid w:val="002133CA"/>
    <w:rsid w:val="002149FE"/>
    <w:rsid w:val="00214D10"/>
    <w:rsid w:val="00221A6A"/>
    <w:rsid w:val="0022304F"/>
    <w:rsid w:val="00223F4B"/>
    <w:rsid w:val="002253C5"/>
    <w:rsid w:val="002270B2"/>
    <w:rsid w:val="00230376"/>
    <w:rsid w:val="00230642"/>
    <w:rsid w:val="00232A46"/>
    <w:rsid w:val="00233C56"/>
    <w:rsid w:val="002342F1"/>
    <w:rsid w:val="002348D9"/>
    <w:rsid w:val="00236E14"/>
    <w:rsid w:val="00240E43"/>
    <w:rsid w:val="002418E7"/>
    <w:rsid w:val="00241D54"/>
    <w:rsid w:val="00242383"/>
    <w:rsid w:val="0024260D"/>
    <w:rsid w:val="002500E4"/>
    <w:rsid w:val="002507B8"/>
    <w:rsid w:val="00250D3C"/>
    <w:rsid w:val="00256993"/>
    <w:rsid w:val="00256BD2"/>
    <w:rsid w:val="00260FBD"/>
    <w:rsid w:val="00261375"/>
    <w:rsid w:val="002641BA"/>
    <w:rsid w:val="00264725"/>
    <w:rsid w:val="00264D98"/>
    <w:rsid w:val="0026663C"/>
    <w:rsid w:val="00266DD3"/>
    <w:rsid w:val="00272EA0"/>
    <w:rsid w:val="002733A3"/>
    <w:rsid w:val="002734AC"/>
    <w:rsid w:val="00273B6F"/>
    <w:rsid w:val="0027463E"/>
    <w:rsid w:val="00274898"/>
    <w:rsid w:val="00275452"/>
    <w:rsid w:val="00276D08"/>
    <w:rsid w:val="002774BA"/>
    <w:rsid w:val="00277A19"/>
    <w:rsid w:val="002808CC"/>
    <w:rsid w:val="00283019"/>
    <w:rsid w:val="0028351B"/>
    <w:rsid w:val="002836FB"/>
    <w:rsid w:val="00283B45"/>
    <w:rsid w:val="002849F6"/>
    <w:rsid w:val="00285FB2"/>
    <w:rsid w:val="00286E35"/>
    <w:rsid w:val="002903B4"/>
    <w:rsid w:val="00291E91"/>
    <w:rsid w:val="00293316"/>
    <w:rsid w:val="002936B5"/>
    <w:rsid w:val="00293735"/>
    <w:rsid w:val="00293F6F"/>
    <w:rsid w:val="00294DA2"/>
    <w:rsid w:val="00297D3A"/>
    <w:rsid w:val="002A0F4A"/>
    <w:rsid w:val="002A5195"/>
    <w:rsid w:val="002A6593"/>
    <w:rsid w:val="002A79FB"/>
    <w:rsid w:val="002B09D3"/>
    <w:rsid w:val="002B1AA3"/>
    <w:rsid w:val="002B1E78"/>
    <w:rsid w:val="002B218C"/>
    <w:rsid w:val="002B32A7"/>
    <w:rsid w:val="002B3A85"/>
    <w:rsid w:val="002B428B"/>
    <w:rsid w:val="002B4D48"/>
    <w:rsid w:val="002B5C36"/>
    <w:rsid w:val="002B7946"/>
    <w:rsid w:val="002C0197"/>
    <w:rsid w:val="002C0918"/>
    <w:rsid w:val="002C22AD"/>
    <w:rsid w:val="002C2474"/>
    <w:rsid w:val="002C40E5"/>
    <w:rsid w:val="002C42B6"/>
    <w:rsid w:val="002C7328"/>
    <w:rsid w:val="002C76A7"/>
    <w:rsid w:val="002D0A76"/>
    <w:rsid w:val="002D0EE4"/>
    <w:rsid w:val="002D17ED"/>
    <w:rsid w:val="002D48AB"/>
    <w:rsid w:val="002D4A6E"/>
    <w:rsid w:val="002D4FBE"/>
    <w:rsid w:val="002D621F"/>
    <w:rsid w:val="002D6AC3"/>
    <w:rsid w:val="002D708E"/>
    <w:rsid w:val="002D7C51"/>
    <w:rsid w:val="002E37B1"/>
    <w:rsid w:val="002E432B"/>
    <w:rsid w:val="002E49EA"/>
    <w:rsid w:val="002E4A1E"/>
    <w:rsid w:val="002E585D"/>
    <w:rsid w:val="002E74AF"/>
    <w:rsid w:val="002F0D98"/>
    <w:rsid w:val="002F1254"/>
    <w:rsid w:val="00301758"/>
    <w:rsid w:val="00302B5A"/>
    <w:rsid w:val="00303B29"/>
    <w:rsid w:val="00303F3C"/>
    <w:rsid w:val="00304D5C"/>
    <w:rsid w:val="0030622F"/>
    <w:rsid w:val="00307FDC"/>
    <w:rsid w:val="00311D71"/>
    <w:rsid w:val="00312E73"/>
    <w:rsid w:val="0031363B"/>
    <w:rsid w:val="00314018"/>
    <w:rsid w:val="00315EE1"/>
    <w:rsid w:val="00316197"/>
    <w:rsid w:val="003163A8"/>
    <w:rsid w:val="00316AFA"/>
    <w:rsid w:val="0032151F"/>
    <w:rsid w:val="00324E31"/>
    <w:rsid w:val="00326CD8"/>
    <w:rsid w:val="00330482"/>
    <w:rsid w:val="00330776"/>
    <w:rsid w:val="003325CD"/>
    <w:rsid w:val="003330D7"/>
    <w:rsid w:val="003338BA"/>
    <w:rsid w:val="00333C8A"/>
    <w:rsid w:val="00333E76"/>
    <w:rsid w:val="00335314"/>
    <w:rsid w:val="003360CA"/>
    <w:rsid w:val="00336D04"/>
    <w:rsid w:val="00336FD2"/>
    <w:rsid w:val="00342EB6"/>
    <w:rsid w:val="00344251"/>
    <w:rsid w:val="00344C34"/>
    <w:rsid w:val="00357AF4"/>
    <w:rsid w:val="00360CB1"/>
    <w:rsid w:val="00360E79"/>
    <w:rsid w:val="00362321"/>
    <w:rsid w:val="00362CFD"/>
    <w:rsid w:val="0036443F"/>
    <w:rsid w:val="003651D4"/>
    <w:rsid w:val="00365520"/>
    <w:rsid w:val="003660EA"/>
    <w:rsid w:val="00366B5C"/>
    <w:rsid w:val="00367110"/>
    <w:rsid w:val="003674A9"/>
    <w:rsid w:val="00370C1B"/>
    <w:rsid w:val="00372985"/>
    <w:rsid w:val="003730C1"/>
    <w:rsid w:val="00373290"/>
    <w:rsid w:val="0037381F"/>
    <w:rsid w:val="00374B2D"/>
    <w:rsid w:val="00375EA9"/>
    <w:rsid w:val="00380805"/>
    <w:rsid w:val="00380EA9"/>
    <w:rsid w:val="00381793"/>
    <w:rsid w:val="003830F4"/>
    <w:rsid w:val="0038352B"/>
    <w:rsid w:val="0038461B"/>
    <w:rsid w:val="00386E6C"/>
    <w:rsid w:val="00390015"/>
    <w:rsid w:val="0039012F"/>
    <w:rsid w:val="00391109"/>
    <w:rsid w:val="00392224"/>
    <w:rsid w:val="00392295"/>
    <w:rsid w:val="00394D69"/>
    <w:rsid w:val="00394DCA"/>
    <w:rsid w:val="00394DF3"/>
    <w:rsid w:val="003A0617"/>
    <w:rsid w:val="003A2510"/>
    <w:rsid w:val="003A348E"/>
    <w:rsid w:val="003A5E77"/>
    <w:rsid w:val="003B0559"/>
    <w:rsid w:val="003B307F"/>
    <w:rsid w:val="003B3874"/>
    <w:rsid w:val="003B3D1B"/>
    <w:rsid w:val="003B4FC5"/>
    <w:rsid w:val="003B62A1"/>
    <w:rsid w:val="003B734A"/>
    <w:rsid w:val="003C05A4"/>
    <w:rsid w:val="003C30E6"/>
    <w:rsid w:val="003C34FA"/>
    <w:rsid w:val="003C6162"/>
    <w:rsid w:val="003C62BD"/>
    <w:rsid w:val="003D0A8C"/>
    <w:rsid w:val="003D1951"/>
    <w:rsid w:val="003D1E18"/>
    <w:rsid w:val="003D2B59"/>
    <w:rsid w:val="003D3945"/>
    <w:rsid w:val="003D4B14"/>
    <w:rsid w:val="003D5E96"/>
    <w:rsid w:val="003D78F2"/>
    <w:rsid w:val="003E0C0A"/>
    <w:rsid w:val="003E2396"/>
    <w:rsid w:val="003E3F17"/>
    <w:rsid w:val="003E3F49"/>
    <w:rsid w:val="003E57BA"/>
    <w:rsid w:val="003E5D68"/>
    <w:rsid w:val="003E61BE"/>
    <w:rsid w:val="003E63C6"/>
    <w:rsid w:val="003E75F3"/>
    <w:rsid w:val="003E7A44"/>
    <w:rsid w:val="003F0539"/>
    <w:rsid w:val="003F0633"/>
    <w:rsid w:val="003F13E3"/>
    <w:rsid w:val="003F1683"/>
    <w:rsid w:val="003F20EA"/>
    <w:rsid w:val="003F2675"/>
    <w:rsid w:val="003F2D51"/>
    <w:rsid w:val="003F31E6"/>
    <w:rsid w:val="00400802"/>
    <w:rsid w:val="00400C54"/>
    <w:rsid w:val="00400C89"/>
    <w:rsid w:val="00400CA5"/>
    <w:rsid w:val="00400EAE"/>
    <w:rsid w:val="00402399"/>
    <w:rsid w:val="00403089"/>
    <w:rsid w:val="00404B07"/>
    <w:rsid w:val="004062F2"/>
    <w:rsid w:val="004067C9"/>
    <w:rsid w:val="004069F9"/>
    <w:rsid w:val="004071C1"/>
    <w:rsid w:val="00407274"/>
    <w:rsid w:val="004074F3"/>
    <w:rsid w:val="00411F2F"/>
    <w:rsid w:val="00415B1E"/>
    <w:rsid w:val="00415C74"/>
    <w:rsid w:val="00415D98"/>
    <w:rsid w:val="004170FC"/>
    <w:rsid w:val="00420A00"/>
    <w:rsid w:val="00420F91"/>
    <w:rsid w:val="0042153B"/>
    <w:rsid w:val="00421D6B"/>
    <w:rsid w:val="00423426"/>
    <w:rsid w:val="004247A4"/>
    <w:rsid w:val="00426648"/>
    <w:rsid w:val="00426CBB"/>
    <w:rsid w:val="0043053B"/>
    <w:rsid w:val="004327B4"/>
    <w:rsid w:val="0043280B"/>
    <w:rsid w:val="004332CB"/>
    <w:rsid w:val="004332EF"/>
    <w:rsid w:val="0043398A"/>
    <w:rsid w:val="00434D00"/>
    <w:rsid w:val="00437762"/>
    <w:rsid w:val="00441A10"/>
    <w:rsid w:val="004421DA"/>
    <w:rsid w:val="00444406"/>
    <w:rsid w:val="004452DD"/>
    <w:rsid w:val="00445E8F"/>
    <w:rsid w:val="00447122"/>
    <w:rsid w:val="00447D14"/>
    <w:rsid w:val="00452187"/>
    <w:rsid w:val="00455B47"/>
    <w:rsid w:val="00456CB5"/>
    <w:rsid w:val="00461D42"/>
    <w:rsid w:val="00462513"/>
    <w:rsid w:val="004625AD"/>
    <w:rsid w:val="00464BBD"/>
    <w:rsid w:val="00465153"/>
    <w:rsid w:val="0046657B"/>
    <w:rsid w:val="0047122D"/>
    <w:rsid w:val="004736E7"/>
    <w:rsid w:val="00475AFB"/>
    <w:rsid w:val="00475DD9"/>
    <w:rsid w:val="004766E3"/>
    <w:rsid w:val="00476F98"/>
    <w:rsid w:val="0048073D"/>
    <w:rsid w:val="004816F6"/>
    <w:rsid w:val="00481DF3"/>
    <w:rsid w:val="00482506"/>
    <w:rsid w:val="004838C0"/>
    <w:rsid w:val="00483AC3"/>
    <w:rsid w:val="0048477A"/>
    <w:rsid w:val="00484A84"/>
    <w:rsid w:val="00485B78"/>
    <w:rsid w:val="00485F8E"/>
    <w:rsid w:val="00487486"/>
    <w:rsid w:val="00490F2A"/>
    <w:rsid w:val="004913CD"/>
    <w:rsid w:val="004926E7"/>
    <w:rsid w:val="00492B21"/>
    <w:rsid w:val="00492BC5"/>
    <w:rsid w:val="0049372D"/>
    <w:rsid w:val="00495C22"/>
    <w:rsid w:val="00495C76"/>
    <w:rsid w:val="00495CF0"/>
    <w:rsid w:val="004A0257"/>
    <w:rsid w:val="004A1C73"/>
    <w:rsid w:val="004A32EF"/>
    <w:rsid w:val="004A492E"/>
    <w:rsid w:val="004A58D4"/>
    <w:rsid w:val="004B186A"/>
    <w:rsid w:val="004B1C28"/>
    <w:rsid w:val="004B1C5A"/>
    <w:rsid w:val="004B1D9F"/>
    <w:rsid w:val="004B1F9C"/>
    <w:rsid w:val="004B26AD"/>
    <w:rsid w:val="004B3467"/>
    <w:rsid w:val="004B5493"/>
    <w:rsid w:val="004C0B74"/>
    <w:rsid w:val="004C0F1D"/>
    <w:rsid w:val="004C1F5A"/>
    <w:rsid w:val="004C28AF"/>
    <w:rsid w:val="004C2D2C"/>
    <w:rsid w:val="004C33FC"/>
    <w:rsid w:val="004D09B5"/>
    <w:rsid w:val="004D5E98"/>
    <w:rsid w:val="004D6DBF"/>
    <w:rsid w:val="004D755B"/>
    <w:rsid w:val="004E1F1B"/>
    <w:rsid w:val="004E254F"/>
    <w:rsid w:val="004E26DA"/>
    <w:rsid w:val="004E2EAC"/>
    <w:rsid w:val="004E5B38"/>
    <w:rsid w:val="004E6DAC"/>
    <w:rsid w:val="004E7251"/>
    <w:rsid w:val="004E79F3"/>
    <w:rsid w:val="004F05EC"/>
    <w:rsid w:val="004F2931"/>
    <w:rsid w:val="004F434A"/>
    <w:rsid w:val="004F4C09"/>
    <w:rsid w:val="004F5F01"/>
    <w:rsid w:val="005007F8"/>
    <w:rsid w:val="00500AD1"/>
    <w:rsid w:val="0050188C"/>
    <w:rsid w:val="00502391"/>
    <w:rsid w:val="0050254D"/>
    <w:rsid w:val="00503156"/>
    <w:rsid w:val="0050346C"/>
    <w:rsid w:val="00506C30"/>
    <w:rsid w:val="00507E50"/>
    <w:rsid w:val="00507FA1"/>
    <w:rsid w:val="00512459"/>
    <w:rsid w:val="00514020"/>
    <w:rsid w:val="005146F5"/>
    <w:rsid w:val="00515036"/>
    <w:rsid w:val="00515E5F"/>
    <w:rsid w:val="005161FA"/>
    <w:rsid w:val="00517828"/>
    <w:rsid w:val="00517BE4"/>
    <w:rsid w:val="005213C8"/>
    <w:rsid w:val="00522B24"/>
    <w:rsid w:val="00522F26"/>
    <w:rsid w:val="00522FAE"/>
    <w:rsid w:val="00522FEB"/>
    <w:rsid w:val="00525DFC"/>
    <w:rsid w:val="00527D40"/>
    <w:rsid w:val="00527DD6"/>
    <w:rsid w:val="00531563"/>
    <w:rsid w:val="00533108"/>
    <w:rsid w:val="00534F77"/>
    <w:rsid w:val="005351B4"/>
    <w:rsid w:val="00535E74"/>
    <w:rsid w:val="0053632E"/>
    <w:rsid w:val="00537B94"/>
    <w:rsid w:val="0054000D"/>
    <w:rsid w:val="00541197"/>
    <w:rsid w:val="005429E7"/>
    <w:rsid w:val="00543B62"/>
    <w:rsid w:val="005450A9"/>
    <w:rsid w:val="00545149"/>
    <w:rsid w:val="0054549B"/>
    <w:rsid w:val="00546EE6"/>
    <w:rsid w:val="00551EC0"/>
    <w:rsid w:val="00552807"/>
    <w:rsid w:val="00552CC8"/>
    <w:rsid w:val="00553B53"/>
    <w:rsid w:val="00553C3A"/>
    <w:rsid w:val="00555DE2"/>
    <w:rsid w:val="00561BDC"/>
    <w:rsid w:val="00562D36"/>
    <w:rsid w:val="005634DF"/>
    <w:rsid w:val="0056455C"/>
    <w:rsid w:val="005704C9"/>
    <w:rsid w:val="0057153E"/>
    <w:rsid w:val="00572AB1"/>
    <w:rsid w:val="0057446A"/>
    <w:rsid w:val="00575D7E"/>
    <w:rsid w:val="005767C4"/>
    <w:rsid w:val="00576D4F"/>
    <w:rsid w:val="00576FE8"/>
    <w:rsid w:val="005808E9"/>
    <w:rsid w:val="00580D19"/>
    <w:rsid w:val="00583C7D"/>
    <w:rsid w:val="00584DA6"/>
    <w:rsid w:val="00585456"/>
    <w:rsid w:val="00585E58"/>
    <w:rsid w:val="00586053"/>
    <w:rsid w:val="00586264"/>
    <w:rsid w:val="005879B1"/>
    <w:rsid w:val="00590C8F"/>
    <w:rsid w:val="00591AEB"/>
    <w:rsid w:val="00591E8C"/>
    <w:rsid w:val="00595272"/>
    <w:rsid w:val="00595C92"/>
    <w:rsid w:val="005A5282"/>
    <w:rsid w:val="005A5541"/>
    <w:rsid w:val="005B028C"/>
    <w:rsid w:val="005B03F4"/>
    <w:rsid w:val="005B2304"/>
    <w:rsid w:val="005B268E"/>
    <w:rsid w:val="005B4DC2"/>
    <w:rsid w:val="005C05D1"/>
    <w:rsid w:val="005C06A7"/>
    <w:rsid w:val="005C0937"/>
    <w:rsid w:val="005C1740"/>
    <w:rsid w:val="005C6E55"/>
    <w:rsid w:val="005C7A19"/>
    <w:rsid w:val="005D04A0"/>
    <w:rsid w:val="005D29FA"/>
    <w:rsid w:val="005D2CDA"/>
    <w:rsid w:val="005D50F3"/>
    <w:rsid w:val="005D78AA"/>
    <w:rsid w:val="005E2B4E"/>
    <w:rsid w:val="005E2E2F"/>
    <w:rsid w:val="005E34FB"/>
    <w:rsid w:val="005E3AAF"/>
    <w:rsid w:val="005E7E1B"/>
    <w:rsid w:val="005F14D0"/>
    <w:rsid w:val="005F640A"/>
    <w:rsid w:val="005F77A7"/>
    <w:rsid w:val="00601ADE"/>
    <w:rsid w:val="00601C31"/>
    <w:rsid w:val="00603EF9"/>
    <w:rsid w:val="00603F2A"/>
    <w:rsid w:val="00606BE1"/>
    <w:rsid w:val="006072E8"/>
    <w:rsid w:val="006075C5"/>
    <w:rsid w:val="00612008"/>
    <w:rsid w:val="00612B38"/>
    <w:rsid w:val="00613ACA"/>
    <w:rsid w:val="00614B9F"/>
    <w:rsid w:val="00614D49"/>
    <w:rsid w:val="00615C69"/>
    <w:rsid w:val="00616D62"/>
    <w:rsid w:val="006205B0"/>
    <w:rsid w:val="00620FF1"/>
    <w:rsid w:val="00621008"/>
    <w:rsid w:val="006215F0"/>
    <w:rsid w:val="00624E25"/>
    <w:rsid w:val="00624F5A"/>
    <w:rsid w:val="006267EF"/>
    <w:rsid w:val="00627076"/>
    <w:rsid w:val="00627AF4"/>
    <w:rsid w:val="00630504"/>
    <w:rsid w:val="00630972"/>
    <w:rsid w:val="00633E69"/>
    <w:rsid w:val="006360F6"/>
    <w:rsid w:val="006414F2"/>
    <w:rsid w:val="00641542"/>
    <w:rsid w:val="00642451"/>
    <w:rsid w:val="006425B7"/>
    <w:rsid w:val="006435D4"/>
    <w:rsid w:val="0064730B"/>
    <w:rsid w:val="00647785"/>
    <w:rsid w:val="006554CD"/>
    <w:rsid w:val="00655902"/>
    <w:rsid w:val="006564F3"/>
    <w:rsid w:val="00657B03"/>
    <w:rsid w:val="00657E3F"/>
    <w:rsid w:val="006647B8"/>
    <w:rsid w:val="00664A40"/>
    <w:rsid w:val="00665BC6"/>
    <w:rsid w:val="006666BB"/>
    <w:rsid w:val="00670F41"/>
    <w:rsid w:val="00671BE8"/>
    <w:rsid w:val="006721A5"/>
    <w:rsid w:val="00672C57"/>
    <w:rsid w:val="00674620"/>
    <w:rsid w:val="00676EB3"/>
    <w:rsid w:val="00677138"/>
    <w:rsid w:val="00680130"/>
    <w:rsid w:val="00680AE8"/>
    <w:rsid w:val="00681096"/>
    <w:rsid w:val="00681244"/>
    <w:rsid w:val="0068252D"/>
    <w:rsid w:val="00683A70"/>
    <w:rsid w:val="00684F0B"/>
    <w:rsid w:val="006854DB"/>
    <w:rsid w:val="00685713"/>
    <w:rsid w:val="0069144C"/>
    <w:rsid w:val="00692835"/>
    <w:rsid w:val="006937CF"/>
    <w:rsid w:val="0069654E"/>
    <w:rsid w:val="00697D2E"/>
    <w:rsid w:val="006A1B75"/>
    <w:rsid w:val="006A37ED"/>
    <w:rsid w:val="006A546E"/>
    <w:rsid w:val="006A5E38"/>
    <w:rsid w:val="006A6016"/>
    <w:rsid w:val="006A783C"/>
    <w:rsid w:val="006B0953"/>
    <w:rsid w:val="006B2D31"/>
    <w:rsid w:val="006B3238"/>
    <w:rsid w:val="006B3540"/>
    <w:rsid w:val="006B5656"/>
    <w:rsid w:val="006B56B7"/>
    <w:rsid w:val="006B5829"/>
    <w:rsid w:val="006B6BB5"/>
    <w:rsid w:val="006C09AE"/>
    <w:rsid w:val="006C15D6"/>
    <w:rsid w:val="006C4B2E"/>
    <w:rsid w:val="006C4E86"/>
    <w:rsid w:val="006C5311"/>
    <w:rsid w:val="006C66AE"/>
    <w:rsid w:val="006D52EF"/>
    <w:rsid w:val="006D5DD5"/>
    <w:rsid w:val="006D6BF3"/>
    <w:rsid w:val="006D7503"/>
    <w:rsid w:val="006E515F"/>
    <w:rsid w:val="006E5A08"/>
    <w:rsid w:val="006E672A"/>
    <w:rsid w:val="006E6B6C"/>
    <w:rsid w:val="006F0893"/>
    <w:rsid w:val="006F169C"/>
    <w:rsid w:val="006F2D1C"/>
    <w:rsid w:val="006F2F33"/>
    <w:rsid w:val="006F3803"/>
    <w:rsid w:val="006F6614"/>
    <w:rsid w:val="00703A2B"/>
    <w:rsid w:val="0070498D"/>
    <w:rsid w:val="007066E0"/>
    <w:rsid w:val="00707BEE"/>
    <w:rsid w:val="00711F8A"/>
    <w:rsid w:val="00713919"/>
    <w:rsid w:val="00714134"/>
    <w:rsid w:val="00715D2F"/>
    <w:rsid w:val="00716BB5"/>
    <w:rsid w:val="00716C37"/>
    <w:rsid w:val="00716F42"/>
    <w:rsid w:val="00717C85"/>
    <w:rsid w:val="00717F1F"/>
    <w:rsid w:val="00720131"/>
    <w:rsid w:val="00721F99"/>
    <w:rsid w:val="007224F1"/>
    <w:rsid w:val="0072322F"/>
    <w:rsid w:val="007240EB"/>
    <w:rsid w:val="00725A43"/>
    <w:rsid w:val="007264F1"/>
    <w:rsid w:val="00726AB4"/>
    <w:rsid w:val="00726BB1"/>
    <w:rsid w:val="00726DC4"/>
    <w:rsid w:val="00727D2C"/>
    <w:rsid w:val="0073137D"/>
    <w:rsid w:val="00733F5D"/>
    <w:rsid w:val="00734206"/>
    <w:rsid w:val="0073449B"/>
    <w:rsid w:val="007350BE"/>
    <w:rsid w:val="0073539C"/>
    <w:rsid w:val="0074102D"/>
    <w:rsid w:val="00743A53"/>
    <w:rsid w:val="0074651D"/>
    <w:rsid w:val="00746D9F"/>
    <w:rsid w:val="00747059"/>
    <w:rsid w:val="00747A36"/>
    <w:rsid w:val="0075064F"/>
    <w:rsid w:val="00750C45"/>
    <w:rsid w:val="007522E3"/>
    <w:rsid w:val="00753224"/>
    <w:rsid w:val="007552A2"/>
    <w:rsid w:val="007553AE"/>
    <w:rsid w:val="00756760"/>
    <w:rsid w:val="007602F0"/>
    <w:rsid w:val="00760880"/>
    <w:rsid w:val="00761B31"/>
    <w:rsid w:val="00763D9A"/>
    <w:rsid w:val="00765023"/>
    <w:rsid w:val="0076540A"/>
    <w:rsid w:val="0077106C"/>
    <w:rsid w:val="0077198B"/>
    <w:rsid w:val="007722F5"/>
    <w:rsid w:val="0077490C"/>
    <w:rsid w:val="0077646E"/>
    <w:rsid w:val="007775AF"/>
    <w:rsid w:val="007803A9"/>
    <w:rsid w:val="007809D5"/>
    <w:rsid w:val="00780FE3"/>
    <w:rsid w:val="00781C1A"/>
    <w:rsid w:val="0078248D"/>
    <w:rsid w:val="00782E7A"/>
    <w:rsid w:val="00784138"/>
    <w:rsid w:val="007841E1"/>
    <w:rsid w:val="007841E8"/>
    <w:rsid w:val="007874F8"/>
    <w:rsid w:val="00787531"/>
    <w:rsid w:val="00790743"/>
    <w:rsid w:val="00791C6F"/>
    <w:rsid w:val="00792C2C"/>
    <w:rsid w:val="00794DCB"/>
    <w:rsid w:val="00795503"/>
    <w:rsid w:val="007A0472"/>
    <w:rsid w:val="007A0A0C"/>
    <w:rsid w:val="007A3B68"/>
    <w:rsid w:val="007A68D6"/>
    <w:rsid w:val="007B042C"/>
    <w:rsid w:val="007B1235"/>
    <w:rsid w:val="007B2C2B"/>
    <w:rsid w:val="007B2E90"/>
    <w:rsid w:val="007B4549"/>
    <w:rsid w:val="007B5686"/>
    <w:rsid w:val="007B6AED"/>
    <w:rsid w:val="007B7D3A"/>
    <w:rsid w:val="007C20DB"/>
    <w:rsid w:val="007C23F8"/>
    <w:rsid w:val="007C34CA"/>
    <w:rsid w:val="007C4B21"/>
    <w:rsid w:val="007C58EF"/>
    <w:rsid w:val="007C5FCE"/>
    <w:rsid w:val="007D0138"/>
    <w:rsid w:val="007D0273"/>
    <w:rsid w:val="007D0529"/>
    <w:rsid w:val="007D11F8"/>
    <w:rsid w:val="007D171E"/>
    <w:rsid w:val="007D2265"/>
    <w:rsid w:val="007D3AA0"/>
    <w:rsid w:val="007D3E62"/>
    <w:rsid w:val="007D475C"/>
    <w:rsid w:val="007D549F"/>
    <w:rsid w:val="007D5554"/>
    <w:rsid w:val="007D5E45"/>
    <w:rsid w:val="007D7CB5"/>
    <w:rsid w:val="007E028C"/>
    <w:rsid w:val="007E3546"/>
    <w:rsid w:val="007E4D1C"/>
    <w:rsid w:val="007E53DF"/>
    <w:rsid w:val="007E54DA"/>
    <w:rsid w:val="007E724B"/>
    <w:rsid w:val="007E7A5F"/>
    <w:rsid w:val="007E7DA2"/>
    <w:rsid w:val="007F0CAA"/>
    <w:rsid w:val="007F1840"/>
    <w:rsid w:val="007F1A20"/>
    <w:rsid w:val="007F211F"/>
    <w:rsid w:val="007F2DCC"/>
    <w:rsid w:val="007F4498"/>
    <w:rsid w:val="007F4C94"/>
    <w:rsid w:val="007F713D"/>
    <w:rsid w:val="008006A1"/>
    <w:rsid w:val="00801315"/>
    <w:rsid w:val="008014B1"/>
    <w:rsid w:val="0080171D"/>
    <w:rsid w:val="00801BD3"/>
    <w:rsid w:val="00803DC8"/>
    <w:rsid w:val="00804AA2"/>
    <w:rsid w:val="00811007"/>
    <w:rsid w:val="008125A7"/>
    <w:rsid w:val="00813891"/>
    <w:rsid w:val="00816883"/>
    <w:rsid w:val="00821531"/>
    <w:rsid w:val="0082154C"/>
    <w:rsid w:val="00821581"/>
    <w:rsid w:val="00823DF2"/>
    <w:rsid w:val="008249AF"/>
    <w:rsid w:val="00824D8A"/>
    <w:rsid w:val="00824FC1"/>
    <w:rsid w:val="00825106"/>
    <w:rsid w:val="0082598B"/>
    <w:rsid w:val="008279FA"/>
    <w:rsid w:val="00827B9B"/>
    <w:rsid w:val="008319A8"/>
    <w:rsid w:val="00833766"/>
    <w:rsid w:val="00834D0A"/>
    <w:rsid w:val="0083571B"/>
    <w:rsid w:val="0083625D"/>
    <w:rsid w:val="008412E8"/>
    <w:rsid w:val="00841D30"/>
    <w:rsid w:val="00841DAF"/>
    <w:rsid w:val="008455E1"/>
    <w:rsid w:val="008467DA"/>
    <w:rsid w:val="008502AC"/>
    <w:rsid w:val="00851FEB"/>
    <w:rsid w:val="008527B0"/>
    <w:rsid w:val="00852E5D"/>
    <w:rsid w:val="008530D8"/>
    <w:rsid w:val="00854349"/>
    <w:rsid w:val="00855EFF"/>
    <w:rsid w:val="00856B73"/>
    <w:rsid w:val="008578C1"/>
    <w:rsid w:val="008607A5"/>
    <w:rsid w:val="00862533"/>
    <w:rsid w:val="008640FA"/>
    <w:rsid w:val="0086600D"/>
    <w:rsid w:val="00867C89"/>
    <w:rsid w:val="008703EF"/>
    <w:rsid w:val="00871CD2"/>
    <w:rsid w:val="00872418"/>
    <w:rsid w:val="00872867"/>
    <w:rsid w:val="00872FB2"/>
    <w:rsid w:val="00875827"/>
    <w:rsid w:val="00875A49"/>
    <w:rsid w:val="00875E9B"/>
    <w:rsid w:val="00880B8F"/>
    <w:rsid w:val="00881B9C"/>
    <w:rsid w:val="0088300D"/>
    <w:rsid w:val="008839AF"/>
    <w:rsid w:val="00884421"/>
    <w:rsid w:val="00884426"/>
    <w:rsid w:val="00884918"/>
    <w:rsid w:val="00884E1F"/>
    <w:rsid w:val="00887506"/>
    <w:rsid w:val="00887C3D"/>
    <w:rsid w:val="008900BA"/>
    <w:rsid w:val="008933D0"/>
    <w:rsid w:val="00893948"/>
    <w:rsid w:val="0089434F"/>
    <w:rsid w:val="008947FB"/>
    <w:rsid w:val="00895C22"/>
    <w:rsid w:val="008960FC"/>
    <w:rsid w:val="008967D5"/>
    <w:rsid w:val="00896DDE"/>
    <w:rsid w:val="008A2BEC"/>
    <w:rsid w:val="008A38DA"/>
    <w:rsid w:val="008A3B36"/>
    <w:rsid w:val="008A42EF"/>
    <w:rsid w:val="008A50F4"/>
    <w:rsid w:val="008B04FA"/>
    <w:rsid w:val="008B1E41"/>
    <w:rsid w:val="008B2129"/>
    <w:rsid w:val="008B2503"/>
    <w:rsid w:val="008B3132"/>
    <w:rsid w:val="008B6380"/>
    <w:rsid w:val="008C09C8"/>
    <w:rsid w:val="008C3076"/>
    <w:rsid w:val="008C337E"/>
    <w:rsid w:val="008C339D"/>
    <w:rsid w:val="008C3611"/>
    <w:rsid w:val="008C3CC3"/>
    <w:rsid w:val="008C52A8"/>
    <w:rsid w:val="008C6A06"/>
    <w:rsid w:val="008D00A9"/>
    <w:rsid w:val="008D0BC5"/>
    <w:rsid w:val="008D0C89"/>
    <w:rsid w:val="008D10E4"/>
    <w:rsid w:val="008D335C"/>
    <w:rsid w:val="008D375E"/>
    <w:rsid w:val="008D4598"/>
    <w:rsid w:val="008D4827"/>
    <w:rsid w:val="008D4A60"/>
    <w:rsid w:val="008D56E8"/>
    <w:rsid w:val="008D6542"/>
    <w:rsid w:val="008D69F0"/>
    <w:rsid w:val="008D6C1B"/>
    <w:rsid w:val="008E1BC8"/>
    <w:rsid w:val="008E23BF"/>
    <w:rsid w:val="008E25C9"/>
    <w:rsid w:val="008E2CF1"/>
    <w:rsid w:val="008E3F43"/>
    <w:rsid w:val="008E4B9C"/>
    <w:rsid w:val="008E56AF"/>
    <w:rsid w:val="008E6087"/>
    <w:rsid w:val="008E75AA"/>
    <w:rsid w:val="008F0E4F"/>
    <w:rsid w:val="008F13BD"/>
    <w:rsid w:val="008F1643"/>
    <w:rsid w:val="008F1B99"/>
    <w:rsid w:val="008F228A"/>
    <w:rsid w:val="008F298B"/>
    <w:rsid w:val="008F3841"/>
    <w:rsid w:val="008F3D9B"/>
    <w:rsid w:val="008F3E40"/>
    <w:rsid w:val="008F4404"/>
    <w:rsid w:val="008F511A"/>
    <w:rsid w:val="008F5459"/>
    <w:rsid w:val="008F5B35"/>
    <w:rsid w:val="008F73D7"/>
    <w:rsid w:val="00900653"/>
    <w:rsid w:val="00900AC0"/>
    <w:rsid w:val="00905B87"/>
    <w:rsid w:val="00910648"/>
    <w:rsid w:val="00910D9B"/>
    <w:rsid w:val="009118D1"/>
    <w:rsid w:val="00911AC0"/>
    <w:rsid w:val="00912FB8"/>
    <w:rsid w:val="00916546"/>
    <w:rsid w:val="009174CD"/>
    <w:rsid w:val="00922141"/>
    <w:rsid w:val="00924A33"/>
    <w:rsid w:val="00924EF5"/>
    <w:rsid w:val="009250FD"/>
    <w:rsid w:val="0092650A"/>
    <w:rsid w:val="00927AB8"/>
    <w:rsid w:val="00927ED7"/>
    <w:rsid w:val="00930DCB"/>
    <w:rsid w:val="00934AEC"/>
    <w:rsid w:val="0093553E"/>
    <w:rsid w:val="00936949"/>
    <w:rsid w:val="009372EC"/>
    <w:rsid w:val="00937962"/>
    <w:rsid w:val="009402FD"/>
    <w:rsid w:val="00940831"/>
    <w:rsid w:val="0094382A"/>
    <w:rsid w:val="00944703"/>
    <w:rsid w:val="009452FC"/>
    <w:rsid w:val="0094531B"/>
    <w:rsid w:val="00945539"/>
    <w:rsid w:val="00946820"/>
    <w:rsid w:val="00947BC8"/>
    <w:rsid w:val="00947F48"/>
    <w:rsid w:val="00950DA9"/>
    <w:rsid w:val="00951843"/>
    <w:rsid w:val="009541AB"/>
    <w:rsid w:val="00954840"/>
    <w:rsid w:val="009568E1"/>
    <w:rsid w:val="009576D4"/>
    <w:rsid w:val="00957932"/>
    <w:rsid w:val="00960322"/>
    <w:rsid w:val="00963518"/>
    <w:rsid w:val="00963C6E"/>
    <w:rsid w:val="009673F6"/>
    <w:rsid w:val="00967882"/>
    <w:rsid w:val="00967BD1"/>
    <w:rsid w:val="00967C20"/>
    <w:rsid w:val="009711CA"/>
    <w:rsid w:val="0097319D"/>
    <w:rsid w:val="00974F7E"/>
    <w:rsid w:val="00980C78"/>
    <w:rsid w:val="00987076"/>
    <w:rsid w:val="0098746C"/>
    <w:rsid w:val="00990AED"/>
    <w:rsid w:val="0099189F"/>
    <w:rsid w:val="0099203F"/>
    <w:rsid w:val="0099210D"/>
    <w:rsid w:val="00992E20"/>
    <w:rsid w:val="00997CCE"/>
    <w:rsid w:val="009A0293"/>
    <w:rsid w:val="009A06F5"/>
    <w:rsid w:val="009A120D"/>
    <w:rsid w:val="009A3F2B"/>
    <w:rsid w:val="009B0D3A"/>
    <w:rsid w:val="009B33A3"/>
    <w:rsid w:val="009B689D"/>
    <w:rsid w:val="009C1880"/>
    <w:rsid w:val="009C1EFB"/>
    <w:rsid w:val="009C4D28"/>
    <w:rsid w:val="009C4FEF"/>
    <w:rsid w:val="009C72A3"/>
    <w:rsid w:val="009C72FB"/>
    <w:rsid w:val="009C798C"/>
    <w:rsid w:val="009C7BE6"/>
    <w:rsid w:val="009C7C76"/>
    <w:rsid w:val="009D09CA"/>
    <w:rsid w:val="009D140C"/>
    <w:rsid w:val="009D1510"/>
    <w:rsid w:val="009D2911"/>
    <w:rsid w:val="009D4E9C"/>
    <w:rsid w:val="009D5E1B"/>
    <w:rsid w:val="009E2131"/>
    <w:rsid w:val="009E21E9"/>
    <w:rsid w:val="009E3B5A"/>
    <w:rsid w:val="009E3F96"/>
    <w:rsid w:val="009E551C"/>
    <w:rsid w:val="009E5E3D"/>
    <w:rsid w:val="009E73F1"/>
    <w:rsid w:val="009E7CD8"/>
    <w:rsid w:val="009F0763"/>
    <w:rsid w:val="009F0BBC"/>
    <w:rsid w:val="009F4370"/>
    <w:rsid w:val="009F44ED"/>
    <w:rsid w:val="009F7CF5"/>
    <w:rsid w:val="00A0089B"/>
    <w:rsid w:val="00A037E7"/>
    <w:rsid w:val="00A042C7"/>
    <w:rsid w:val="00A061A4"/>
    <w:rsid w:val="00A105F1"/>
    <w:rsid w:val="00A108EA"/>
    <w:rsid w:val="00A126AA"/>
    <w:rsid w:val="00A135A3"/>
    <w:rsid w:val="00A14B57"/>
    <w:rsid w:val="00A14F4B"/>
    <w:rsid w:val="00A15794"/>
    <w:rsid w:val="00A1662A"/>
    <w:rsid w:val="00A175FB"/>
    <w:rsid w:val="00A205E4"/>
    <w:rsid w:val="00A218D4"/>
    <w:rsid w:val="00A21AD6"/>
    <w:rsid w:val="00A22777"/>
    <w:rsid w:val="00A22F58"/>
    <w:rsid w:val="00A23674"/>
    <w:rsid w:val="00A26B9C"/>
    <w:rsid w:val="00A27B9A"/>
    <w:rsid w:val="00A302AE"/>
    <w:rsid w:val="00A31DC7"/>
    <w:rsid w:val="00A3669A"/>
    <w:rsid w:val="00A37FC2"/>
    <w:rsid w:val="00A42557"/>
    <w:rsid w:val="00A434B6"/>
    <w:rsid w:val="00A435E5"/>
    <w:rsid w:val="00A45501"/>
    <w:rsid w:val="00A45B00"/>
    <w:rsid w:val="00A507E8"/>
    <w:rsid w:val="00A51906"/>
    <w:rsid w:val="00A51B5C"/>
    <w:rsid w:val="00A522D3"/>
    <w:rsid w:val="00A52F78"/>
    <w:rsid w:val="00A54FCC"/>
    <w:rsid w:val="00A5548C"/>
    <w:rsid w:val="00A55FFB"/>
    <w:rsid w:val="00A56A53"/>
    <w:rsid w:val="00A652EE"/>
    <w:rsid w:val="00A655C4"/>
    <w:rsid w:val="00A67621"/>
    <w:rsid w:val="00A67C04"/>
    <w:rsid w:val="00A67DB3"/>
    <w:rsid w:val="00A67DBF"/>
    <w:rsid w:val="00A70A9D"/>
    <w:rsid w:val="00A70D7A"/>
    <w:rsid w:val="00A72DB0"/>
    <w:rsid w:val="00A737AF"/>
    <w:rsid w:val="00A76E28"/>
    <w:rsid w:val="00A81F6B"/>
    <w:rsid w:val="00A83988"/>
    <w:rsid w:val="00A86570"/>
    <w:rsid w:val="00A90908"/>
    <w:rsid w:val="00A90B4A"/>
    <w:rsid w:val="00A9100F"/>
    <w:rsid w:val="00A911F7"/>
    <w:rsid w:val="00A91D5D"/>
    <w:rsid w:val="00A92E97"/>
    <w:rsid w:val="00A963FB"/>
    <w:rsid w:val="00AA0162"/>
    <w:rsid w:val="00AA2A68"/>
    <w:rsid w:val="00AA3A9C"/>
    <w:rsid w:val="00AA4E4F"/>
    <w:rsid w:val="00AA5F69"/>
    <w:rsid w:val="00AA5F95"/>
    <w:rsid w:val="00AB059A"/>
    <w:rsid w:val="00AB0978"/>
    <w:rsid w:val="00AB0A1F"/>
    <w:rsid w:val="00AB1BDB"/>
    <w:rsid w:val="00AB1F31"/>
    <w:rsid w:val="00AB21FD"/>
    <w:rsid w:val="00AB454C"/>
    <w:rsid w:val="00AB4B70"/>
    <w:rsid w:val="00AB54DF"/>
    <w:rsid w:val="00AB556F"/>
    <w:rsid w:val="00AB5674"/>
    <w:rsid w:val="00AC0016"/>
    <w:rsid w:val="00AC1B72"/>
    <w:rsid w:val="00AC1EA7"/>
    <w:rsid w:val="00AC2A7E"/>
    <w:rsid w:val="00AC32F1"/>
    <w:rsid w:val="00AC3FCB"/>
    <w:rsid w:val="00AC51DA"/>
    <w:rsid w:val="00AC52BE"/>
    <w:rsid w:val="00AC5CAA"/>
    <w:rsid w:val="00AC5FE6"/>
    <w:rsid w:val="00AC61BF"/>
    <w:rsid w:val="00AD2642"/>
    <w:rsid w:val="00AD2E36"/>
    <w:rsid w:val="00AD54BA"/>
    <w:rsid w:val="00AD570C"/>
    <w:rsid w:val="00AD5F22"/>
    <w:rsid w:val="00AD6121"/>
    <w:rsid w:val="00AD64C6"/>
    <w:rsid w:val="00AD6F33"/>
    <w:rsid w:val="00AD7CD5"/>
    <w:rsid w:val="00AE066C"/>
    <w:rsid w:val="00AE1D42"/>
    <w:rsid w:val="00AE2458"/>
    <w:rsid w:val="00AE2E0A"/>
    <w:rsid w:val="00AE35F8"/>
    <w:rsid w:val="00AE3CA0"/>
    <w:rsid w:val="00AE3F17"/>
    <w:rsid w:val="00AE4344"/>
    <w:rsid w:val="00AE43DF"/>
    <w:rsid w:val="00AE4B39"/>
    <w:rsid w:val="00AE6376"/>
    <w:rsid w:val="00AE76B3"/>
    <w:rsid w:val="00AF1055"/>
    <w:rsid w:val="00AF237F"/>
    <w:rsid w:val="00AF2931"/>
    <w:rsid w:val="00AF3690"/>
    <w:rsid w:val="00AF4C28"/>
    <w:rsid w:val="00AF5A72"/>
    <w:rsid w:val="00AF5FBC"/>
    <w:rsid w:val="00B00132"/>
    <w:rsid w:val="00B031B0"/>
    <w:rsid w:val="00B04D64"/>
    <w:rsid w:val="00B05441"/>
    <w:rsid w:val="00B0734E"/>
    <w:rsid w:val="00B075CD"/>
    <w:rsid w:val="00B102F5"/>
    <w:rsid w:val="00B12520"/>
    <w:rsid w:val="00B146AA"/>
    <w:rsid w:val="00B14A75"/>
    <w:rsid w:val="00B15843"/>
    <w:rsid w:val="00B16297"/>
    <w:rsid w:val="00B1695B"/>
    <w:rsid w:val="00B16BD5"/>
    <w:rsid w:val="00B1752A"/>
    <w:rsid w:val="00B2318F"/>
    <w:rsid w:val="00B277A6"/>
    <w:rsid w:val="00B3033B"/>
    <w:rsid w:val="00B304EA"/>
    <w:rsid w:val="00B32056"/>
    <w:rsid w:val="00B32EF0"/>
    <w:rsid w:val="00B35209"/>
    <w:rsid w:val="00B36E70"/>
    <w:rsid w:val="00B40840"/>
    <w:rsid w:val="00B42513"/>
    <w:rsid w:val="00B44700"/>
    <w:rsid w:val="00B4592F"/>
    <w:rsid w:val="00B45AA4"/>
    <w:rsid w:val="00B46F1D"/>
    <w:rsid w:val="00B47226"/>
    <w:rsid w:val="00B51A48"/>
    <w:rsid w:val="00B51F48"/>
    <w:rsid w:val="00B54097"/>
    <w:rsid w:val="00B55D5B"/>
    <w:rsid w:val="00B573C4"/>
    <w:rsid w:val="00B5798F"/>
    <w:rsid w:val="00B57B1C"/>
    <w:rsid w:val="00B608C6"/>
    <w:rsid w:val="00B629B1"/>
    <w:rsid w:val="00B631D7"/>
    <w:rsid w:val="00B64FED"/>
    <w:rsid w:val="00B6582A"/>
    <w:rsid w:val="00B65C6E"/>
    <w:rsid w:val="00B715E4"/>
    <w:rsid w:val="00B74824"/>
    <w:rsid w:val="00B74F4C"/>
    <w:rsid w:val="00B764A4"/>
    <w:rsid w:val="00B80E06"/>
    <w:rsid w:val="00B816DE"/>
    <w:rsid w:val="00B81D39"/>
    <w:rsid w:val="00B85361"/>
    <w:rsid w:val="00B856CD"/>
    <w:rsid w:val="00B87055"/>
    <w:rsid w:val="00B87AC3"/>
    <w:rsid w:val="00B90C6E"/>
    <w:rsid w:val="00B91F60"/>
    <w:rsid w:val="00B9293C"/>
    <w:rsid w:val="00B92DA9"/>
    <w:rsid w:val="00B93F6C"/>
    <w:rsid w:val="00B945D4"/>
    <w:rsid w:val="00B94C56"/>
    <w:rsid w:val="00BA1F4B"/>
    <w:rsid w:val="00BA4CCA"/>
    <w:rsid w:val="00BA5180"/>
    <w:rsid w:val="00BA55B1"/>
    <w:rsid w:val="00BA5E45"/>
    <w:rsid w:val="00BB006B"/>
    <w:rsid w:val="00BB0F26"/>
    <w:rsid w:val="00BB26B3"/>
    <w:rsid w:val="00BB2F25"/>
    <w:rsid w:val="00BB4B58"/>
    <w:rsid w:val="00BB69E9"/>
    <w:rsid w:val="00BC3EB0"/>
    <w:rsid w:val="00BC501A"/>
    <w:rsid w:val="00BC6AC6"/>
    <w:rsid w:val="00BD00A9"/>
    <w:rsid w:val="00BD0204"/>
    <w:rsid w:val="00BD0AC0"/>
    <w:rsid w:val="00BD0D23"/>
    <w:rsid w:val="00BD10E3"/>
    <w:rsid w:val="00BD28EB"/>
    <w:rsid w:val="00BD3235"/>
    <w:rsid w:val="00BD3736"/>
    <w:rsid w:val="00BD3CB0"/>
    <w:rsid w:val="00BD4671"/>
    <w:rsid w:val="00BD49D6"/>
    <w:rsid w:val="00BD685C"/>
    <w:rsid w:val="00BE0056"/>
    <w:rsid w:val="00BE0369"/>
    <w:rsid w:val="00BE362C"/>
    <w:rsid w:val="00BE3B45"/>
    <w:rsid w:val="00BF656A"/>
    <w:rsid w:val="00BF6DB1"/>
    <w:rsid w:val="00BF7CEE"/>
    <w:rsid w:val="00BF7F10"/>
    <w:rsid w:val="00BF7F30"/>
    <w:rsid w:val="00C016C4"/>
    <w:rsid w:val="00C025E3"/>
    <w:rsid w:val="00C027C0"/>
    <w:rsid w:val="00C05A56"/>
    <w:rsid w:val="00C05A67"/>
    <w:rsid w:val="00C10F1F"/>
    <w:rsid w:val="00C10F61"/>
    <w:rsid w:val="00C11028"/>
    <w:rsid w:val="00C12959"/>
    <w:rsid w:val="00C1370E"/>
    <w:rsid w:val="00C165C9"/>
    <w:rsid w:val="00C20488"/>
    <w:rsid w:val="00C241A6"/>
    <w:rsid w:val="00C24D76"/>
    <w:rsid w:val="00C253BC"/>
    <w:rsid w:val="00C25605"/>
    <w:rsid w:val="00C25803"/>
    <w:rsid w:val="00C2685B"/>
    <w:rsid w:val="00C26B54"/>
    <w:rsid w:val="00C275DB"/>
    <w:rsid w:val="00C31C1A"/>
    <w:rsid w:val="00C32E1F"/>
    <w:rsid w:val="00C34435"/>
    <w:rsid w:val="00C35F07"/>
    <w:rsid w:val="00C36415"/>
    <w:rsid w:val="00C37600"/>
    <w:rsid w:val="00C43317"/>
    <w:rsid w:val="00C43C58"/>
    <w:rsid w:val="00C4606E"/>
    <w:rsid w:val="00C50D73"/>
    <w:rsid w:val="00C5179F"/>
    <w:rsid w:val="00C52AD3"/>
    <w:rsid w:val="00C53B4A"/>
    <w:rsid w:val="00C53C37"/>
    <w:rsid w:val="00C53E04"/>
    <w:rsid w:val="00C54D3D"/>
    <w:rsid w:val="00C579AF"/>
    <w:rsid w:val="00C6251A"/>
    <w:rsid w:val="00C63441"/>
    <w:rsid w:val="00C63761"/>
    <w:rsid w:val="00C64678"/>
    <w:rsid w:val="00C66E01"/>
    <w:rsid w:val="00C73197"/>
    <w:rsid w:val="00C744EE"/>
    <w:rsid w:val="00C75501"/>
    <w:rsid w:val="00C80326"/>
    <w:rsid w:val="00C837E3"/>
    <w:rsid w:val="00C84D40"/>
    <w:rsid w:val="00C8514E"/>
    <w:rsid w:val="00C900D1"/>
    <w:rsid w:val="00C90482"/>
    <w:rsid w:val="00C9229E"/>
    <w:rsid w:val="00C922B6"/>
    <w:rsid w:val="00C92A82"/>
    <w:rsid w:val="00C933E5"/>
    <w:rsid w:val="00C945BB"/>
    <w:rsid w:val="00C94FA7"/>
    <w:rsid w:val="00C95884"/>
    <w:rsid w:val="00CA0111"/>
    <w:rsid w:val="00CA0593"/>
    <w:rsid w:val="00CA0E7C"/>
    <w:rsid w:val="00CA1425"/>
    <w:rsid w:val="00CA305F"/>
    <w:rsid w:val="00CA3177"/>
    <w:rsid w:val="00CA362D"/>
    <w:rsid w:val="00CB226A"/>
    <w:rsid w:val="00CB5224"/>
    <w:rsid w:val="00CB6557"/>
    <w:rsid w:val="00CC1453"/>
    <w:rsid w:val="00CC1FC5"/>
    <w:rsid w:val="00CC47E4"/>
    <w:rsid w:val="00CC6307"/>
    <w:rsid w:val="00CD0C38"/>
    <w:rsid w:val="00CD1A17"/>
    <w:rsid w:val="00CD2E08"/>
    <w:rsid w:val="00CD3484"/>
    <w:rsid w:val="00CD514D"/>
    <w:rsid w:val="00CD5DFB"/>
    <w:rsid w:val="00CD5E32"/>
    <w:rsid w:val="00CD6439"/>
    <w:rsid w:val="00CD6D5E"/>
    <w:rsid w:val="00CE01C8"/>
    <w:rsid w:val="00CE31F7"/>
    <w:rsid w:val="00CE42A2"/>
    <w:rsid w:val="00CE4492"/>
    <w:rsid w:val="00CE5F33"/>
    <w:rsid w:val="00CE7030"/>
    <w:rsid w:val="00CF0041"/>
    <w:rsid w:val="00CF058C"/>
    <w:rsid w:val="00CF191C"/>
    <w:rsid w:val="00CF2B6F"/>
    <w:rsid w:val="00CF2C58"/>
    <w:rsid w:val="00CF2FAF"/>
    <w:rsid w:val="00CF4CCF"/>
    <w:rsid w:val="00CF6F3D"/>
    <w:rsid w:val="00CF7E47"/>
    <w:rsid w:val="00D0051C"/>
    <w:rsid w:val="00D00A51"/>
    <w:rsid w:val="00D025C6"/>
    <w:rsid w:val="00D03051"/>
    <w:rsid w:val="00D0312E"/>
    <w:rsid w:val="00D037ED"/>
    <w:rsid w:val="00D03DF4"/>
    <w:rsid w:val="00D044F8"/>
    <w:rsid w:val="00D05566"/>
    <w:rsid w:val="00D0618D"/>
    <w:rsid w:val="00D07DDA"/>
    <w:rsid w:val="00D10083"/>
    <w:rsid w:val="00D10432"/>
    <w:rsid w:val="00D113AF"/>
    <w:rsid w:val="00D1228D"/>
    <w:rsid w:val="00D130A2"/>
    <w:rsid w:val="00D14AFC"/>
    <w:rsid w:val="00D14C36"/>
    <w:rsid w:val="00D16828"/>
    <w:rsid w:val="00D1691C"/>
    <w:rsid w:val="00D171E5"/>
    <w:rsid w:val="00D227D4"/>
    <w:rsid w:val="00D23E34"/>
    <w:rsid w:val="00D26D56"/>
    <w:rsid w:val="00D309FC"/>
    <w:rsid w:val="00D32BAC"/>
    <w:rsid w:val="00D35C8D"/>
    <w:rsid w:val="00D36970"/>
    <w:rsid w:val="00D373EA"/>
    <w:rsid w:val="00D4267F"/>
    <w:rsid w:val="00D4306F"/>
    <w:rsid w:val="00D46376"/>
    <w:rsid w:val="00D46575"/>
    <w:rsid w:val="00D4690C"/>
    <w:rsid w:val="00D47D31"/>
    <w:rsid w:val="00D51E09"/>
    <w:rsid w:val="00D54882"/>
    <w:rsid w:val="00D6075B"/>
    <w:rsid w:val="00D607A5"/>
    <w:rsid w:val="00D61F70"/>
    <w:rsid w:val="00D62A80"/>
    <w:rsid w:val="00D63303"/>
    <w:rsid w:val="00D63D86"/>
    <w:rsid w:val="00D64233"/>
    <w:rsid w:val="00D66BAE"/>
    <w:rsid w:val="00D703B2"/>
    <w:rsid w:val="00D70E8B"/>
    <w:rsid w:val="00D72822"/>
    <w:rsid w:val="00D7427E"/>
    <w:rsid w:val="00D75AC2"/>
    <w:rsid w:val="00D75C69"/>
    <w:rsid w:val="00D779C6"/>
    <w:rsid w:val="00D80492"/>
    <w:rsid w:val="00D8051A"/>
    <w:rsid w:val="00D8165A"/>
    <w:rsid w:val="00D82006"/>
    <w:rsid w:val="00D8227F"/>
    <w:rsid w:val="00D82843"/>
    <w:rsid w:val="00D87FDC"/>
    <w:rsid w:val="00D9127D"/>
    <w:rsid w:val="00D92F41"/>
    <w:rsid w:val="00D93DA4"/>
    <w:rsid w:val="00D93E7C"/>
    <w:rsid w:val="00D95192"/>
    <w:rsid w:val="00D960F8"/>
    <w:rsid w:val="00D9747E"/>
    <w:rsid w:val="00D97793"/>
    <w:rsid w:val="00D97987"/>
    <w:rsid w:val="00DA00FA"/>
    <w:rsid w:val="00DA1015"/>
    <w:rsid w:val="00DA1484"/>
    <w:rsid w:val="00DB10A1"/>
    <w:rsid w:val="00DB4BCC"/>
    <w:rsid w:val="00DB513A"/>
    <w:rsid w:val="00DB5E86"/>
    <w:rsid w:val="00DC05A5"/>
    <w:rsid w:val="00DC3EDC"/>
    <w:rsid w:val="00DC53AC"/>
    <w:rsid w:val="00DC789B"/>
    <w:rsid w:val="00DC7C77"/>
    <w:rsid w:val="00DD420C"/>
    <w:rsid w:val="00DD5CFE"/>
    <w:rsid w:val="00DD619E"/>
    <w:rsid w:val="00DD6B1F"/>
    <w:rsid w:val="00DE0489"/>
    <w:rsid w:val="00DE0C93"/>
    <w:rsid w:val="00DE0DA7"/>
    <w:rsid w:val="00DE1905"/>
    <w:rsid w:val="00DE22F9"/>
    <w:rsid w:val="00DE50C6"/>
    <w:rsid w:val="00DE512D"/>
    <w:rsid w:val="00DE5E70"/>
    <w:rsid w:val="00DE5EE4"/>
    <w:rsid w:val="00DF1189"/>
    <w:rsid w:val="00DF11FE"/>
    <w:rsid w:val="00DF1E5B"/>
    <w:rsid w:val="00DF3360"/>
    <w:rsid w:val="00DF3769"/>
    <w:rsid w:val="00DF3FDA"/>
    <w:rsid w:val="00DF4EC4"/>
    <w:rsid w:val="00DF708E"/>
    <w:rsid w:val="00E00993"/>
    <w:rsid w:val="00E01794"/>
    <w:rsid w:val="00E02751"/>
    <w:rsid w:val="00E04C1A"/>
    <w:rsid w:val="00E053B8"/>
    <w:rsid w:val="00E055D2"/>
    <w:rsid w:val="00E06277"/>
    <w:rsid w:val="00E12100"/>
    <w:rsid w:val="00E144CE"/>
    <w:rsid w:val="00E20521"/>
    <w:rsid w:val="00E212F2"/>
    <w:rsid w:val="00E22800"/>
    <w:rsid w:val="00E2293A"/>
    <w:rsid w:val="00E25E9D"/>
    <w:rsid w:val="00E2614F"/>
    <w:rsid w:val="00E26296"/>
    <w:rsid w:val="00E305CF"/>
    <w:rsid w:val="00E31635"/>
    <w:rsid w:val="00E32ED0"/>
    <w:rsid w:val="00E33029"/>
    <w:rsid w:val="00E3466D"/>
    <w:rsid w:val="00E355BB"/>
    <w:rsid w:val="00E36063"/>
    <w:rsid w:val="00E36B90"/>
    <w:rsid w:val="00E36FD4"/>
    <w:rsid w:val="00E42111"/>
    <w:rsid w:val="00E42770"/>
    <w:rsid w:val="00E42FCC"/>
    <w:rsid w:val="00E45029"/>
    <w:rsid w:val="00E45210"/>
    <w:rsid w:val="00E4583F"/>
    <w:rsid w:val="00E459B4"/>
    <w:rsid w:val="00E4665E"/>
    <w:rsid w:val="00E469D8"/>
    <w:rsid w:val="00E46DA6"/>
    <w:rsid w:val="00E55217"/>
    <w:rsid w:val="00E55773"/>
    <w:rsid w:val="00E56A20"/>
    <w:rsid w:val="00E572B2"/>
    <w:rsid w:val="00E60DDF"/>
    <w:rsid w:val="00E63FC8"/>
    <w:rsid w:val="00E64BC9"/>
    <w:rsid w:val="00E65088"/>
    <w:rsid w:val="00E70A0F"/>
    <w:rsid w:val="00E71205"/>
    <w:rsid w:val="00E71A6B"/>
    <w:rsid w:val="00E73A61"/>
    <w:rsid w:val="00E7536E"/>
    <w:rsid w:val="00E75DF4"/>
    <w:rsid w:val="00E80007"/>
    <w:rsid w:val="00E80794"/>
    <w:rsid w:val="00E82B81"/>
    <w:rsid w:val="00E8325E"/>
    <w:rsid w:val="00E83F80"/>
    <w:rsid w:val="00E85DFB"/>
    <w:rsid w:val="00E871D8"/>
    <w:rsid w:val="00E9008D"/>
    <w:rsid w:val="00E90F3E"/>
    <w:rsid w:val="00E93C8F"/>
    <w:rsid w:val="00E941D7"/>
    <w:rsid w:val="00E94452"/>
    <w:rsid w:val="00EA2F15"/>
    <w:rsid w:val="00EA3D60"/>
    <w:rsid w:val="00EA6EFA"/>
    <w:rsid w:val="00EA7207"/>
    <w:rsid w:val="00EA7B29"/>
    <w:rsid w:val="00EA7E5F"/>
    <w:rsid w:val="00EB097D"/>
    <w:rsid w:val="00EB1C81"/>
    <w:rsid w:val="00EB214F"/>
    <w:rsid w:val="00EB2765"/>
    <w:rsid w:val="00EB2C3E"/>
    <w:rsid w:val="00EB40FA"/>
    <w:rsid w:val="00EB4E65"/>
    <w:rsid w:val="00EB4F37"/>
    <w:rsid w:val="00EB5DC4"/>
    <w:rsid w:val="00EC2701"/>
    <w:rsid w:val="00EC4D5B"/>
    <w:rsid w:val="00EC5810"/>
    <w:rsid w:val="00EC65E0"/>
    <w:rsid w:val="00EC76F9"/>
    <w:rsid w:val="00ED264A"/>
    <w:rsid w:val="00ED2E32"/>
    <w:rsid w:val="00ED5B33"/>
    <w:rsid w:val="00ED616F"/>
    <w:rsid w:val="00ED78F9"/>
    <w:rsid w:val="00EE1985"/>
    <w:rsid w:val="00EE19CA"/>
    <w:rsid w:val="00EE3DF3"/>
    <w:rsid w:val="00EE3F3B"/>
    <w:rsid w:val="00EE50A0"/>
    <w:rsid w:val="00EE51CF"/>
    <w:rsid w:val="00EF0A1C"/>
    <w:rsid w:val="00EF0A71"/>
    <w:rsid w:val="00EF1A17"/>
    <w:rsid w:val="00EF2891"/>
    <w:rsid w:val="00EF2A42"/>
    <w:rsid w:val="00EF2DDD"/>
    <w:rsid w:val="00EF3157"/>
    <w:rsid w:val="00EF3EC9"/>
    <w:rsid w:val="00EF3F6E"/>
    <w:rsid w:val="00EF59B4"/>
    <w:rsid w:val="00EF5B47"/>
    <w:rsid w:val="00EF630E"/>
    <w:rsid w:val="00EF6399"/>
    <w:rsid w:val="00F000B9"/>
    <w:rsid w:val="00F00255"/>
    <w:rsid w:val="00F042F9"/>
    <w:rsid w:val="00F05D53"/>
    <w:rsid w:val="00F1026C"/>
    <w:rsid w:val="00F1100A"/>
    <w:rsid w:val="00F1117F"/>
    <w:rsid w:val="00F12C66"/>
    <w:rsid w:val="00F13CED"/>
    <w:rsid w:val="00F14DA1"/>
    <w:rsid w:val="00F16042"/>
    <w:rsid w:val="00F165C3"/>
    <w:rsid w:val="00F17065"/>
    <w:rsid w:val="00F17BEA"/>
    <w:rsid w:val="00F20911"/>
    <w:rsid w:val="00F20A42"/>
    <w:rsid w:val="00F21039"/>
    <w:rsid w:val="00F23B9C"/>
    <w:rsid w:val="00F26665"/>
    <w:rsid w:val="00F30E7E"/>
    <w:rsid w:val="00F314FA"/>
    <w:rsid w:val="00F34130"/>
    <w:rsid w:val="00F34A0F"/>
    <w:rsid w:val="00F37C75"/>
    <w:rsid w:val="00F4079C"/>
    <w:rsid w:val="00F4197F"/>
    <w:rsid w:val="00F44E31"/>
    <w:rsid w:val="00F45202"/>
    <w:rsid w:val="00F45207"/>
    <w:rsid w:val="00F467E2"/>
    <w:rsid w:val="00F47337"/>
    <w:rsid w:val="00F5250F"/>
    <w:rsid w:val="00F5383E"/>
    <w:rsid w:val="00F61B78"/>
    <w:rsid w:val="00F6254B"/>
    <w:rsid w:val="00F64894"/>
    <w:rsid w:val="00F64D9A"/>
    <w:rsid w:val="00F67404"/>
    <w:rsid w:val="00F714F8"/>
    <w:rsid w:val="00F72D20"/>
    <w:rsid w:val="00F73326"/>
    <w:rsid w:val="00F77DAB"/>
    <w:rsid w:val="00F77DFE"/>
    <w:rsid w:val="00F811B2"/>
    <w:rsid w:val="00F81913"/>
    <w:rsid w:val="00F82818"/>
    <w:rsid w:val="00F82937"/>
    <w:rsid w:val="00F82F2C"/>
    <w:rsid w:val="00F8697D"/>
    <w:rsid w:val="00F905E6"/>
    <w:rsid w:val="00F90984"/>
    <w:rsid w:val="00F926CE"/>
    <w:rsid w:val="00F929FD"/>
    <w:rsid w:val="00F94CC7"/>
    <w:rsid w:val="00F979D0"/>
    <w:rsid w:val="00F97C30"/>
    <w:rsid w:val="00FA05E3"/>
    <w:rsid w:val="00FA104B"/>
    <w:rsid w:val="00FA1D38"/>
    <w:rsid w:val="00FA3AD1"/>
    <w:rsid w:val="00FA445D"/>
    <w:rsid w:val="00FA4B96"/>
    <w:rsid w:val="00FA520E"/>
    <w:rsid w:val="00FA5297"/>
    <w:rsid w:val="00FA7F96"/>
    <w:rsid w:val="00FB005F"/>
    <w:rsid w:val="00FB09A9"/>
    <w:rsid w:val="00FB3032"/>
    <w:rsid w:val="00FB34BB"/>
    <w:rsid w:val="00FB6677"/>
    <w:rsid w:val="00FC0021"/>
    <w:rsid w:val="00FC063D"/>
    <w:rsid w:val="00FC0D1B"/>
    <w:rsid w:val="00FC1B35"/>
    <w:rsid w:val="00FC3190"/>
    <w:rsid w:val="00FC4358"/>
    <w:rsid w:val="00FC6005"/>
    <w:rsid w:val="00FC6FFE"/>
    <w:rsid w:val="00FC7ED0"/>
    <w:rsid w:val="00FD01FA"/>
    <w:rsid w:val="00FD1975"/>
    <w:rsid w:val="00FD3665"/>
    <w:rsid w:val="00FD3666"/>
    <w:rsid w:val="00FD43F0"/>
    <w:rsid w:val="00FD4A34"/>
    <w:rsid w:val="00FD5BA7"/>
    <w:rsid w:val="00FD6A92"/>
    <w:rsid w:val="00FD7074"/>
    <w:rsid w:val="00FE0676"/>
    <w:rsid w:val="00FE0720"/>
    <w:rsid w:val="00FE2550"/>
    <w:rsid w:val="00FE5AC5"/>
    <w:rsid w:val="00FE68F1"/>
    <w:rsid w:val="00FE6EAB"/>
    <w:rsid w:val="00FE6FBD"/>
    <w:rsid w:val="00FF0831"/>
    <w:rsid w:val="00FF1BC9"/>
    <w:rsid w:val="00FF28B1"/>
    <w:rsid w:val="00FF2B11"/>
    <w:rsid w:val="00FF3DC0"/>
    <w:rsid w:val="00FF4C57"/>
    <w:rsid w:val="00FF7E9F"/>
  </w:rsids>
  <m:mathPr>
    <m:mathFont m:val="Cambria Math"/>
    <m:brkBin m:val="before"/>
    <m:brkBinSub m:val="--"/>
    <m:smallFrac m:val="0"/>
    <m:dispDef/>
    <m:lMargin m:val="0"/>
    <m:rMargin m:val="0"/>
    <m:defJc m:val="centerGroup"/>
    <m:wrapIndent m:val="1440"/>
    <m:intLim m:val="subSup"/>
    <m:naryLim m:val="undOvr"/>
  </m:mathPr>
  <w:themeFontLang w:val="en-AU"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E63C30"/>
  <w15:docId w15:val="{FB176D5E-6F4F-41F9-9AD3-1B51148FF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imes New Roman"/>
        <w:lang w:val="en-AU" w:eastAsia="ko-KR" w:bidi="ar-SA"/>
      </w:rPr>
    </w:rPrDefault>
    <w:pPrDefault>
      <w:pPr>
        <w:ind w:left="284"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qFormat="1"/>
    <w:lsdException w:name="List Bullet" w:qFormat="1"/>
    <w:lsdException w:name="List Number" w:qFormat="1"/>
    <w:lsdException w:name="List 2" w:semiHidden="1" w:qFormat="1"/>
    <w:lsdException w:name="List 3" w:semiHidden="1" w:qFormat="1"/>
    <w:lsdException w:name="List 4" w:semiHidden="1" w:unhideWhenUsed="1"/>
    <w:lsdException w:name="List 5" w:semiHidden="1" w:unhideWhenUsed="1"/>
    <w:lsdException w:name="List Bullet 2" w:qFormat="1"/>
    <w:lsdException w:name="List Bullet 3" w:semiHidden="1"/>
    <w:lsdException w:name="List Bullet 4" w:semiHidden="1" w:unhideWhenUsed="1"/>
    <w:lsdException w:name="List Bullet 5" w:semiHidden="1" w:unhideWhenUsed="1"/>
    <w:lsdException w:name="List Number 2" w:qFormat="1"/>
    <w:lsdException w:name="List Number 3" w:semiHidden="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006"/>
    <w:pPr>
      <w:spacing w:after="120"/>
      <w:ind w:left="0" w:firstLine="0"/>
    </w:pPr>
    <w:rPr>
      <w:rFonts w:asciiTheme="minorHAnsi" w:hAnsiTheme="minorHAnsi"/>
      <w:sz w:val="22"/>
    </w:rPr>
  </w:style>
  <w:style w:type="paragraph" w:styleId="Heading1">
    <w:name w:val="heading 1"/>
    <w:basedOn w:val="Normal"/>
    <w:next w:val="Normal"/>
    <w:link w:val="Heading1Char"/>
    <w:uiPriority w:val="9"/>
    <w:qFormat/>
    <w:rsid w:val="00551EC0"/>
    <w:pPr>
      <w:keepNext/>
      <w:keepLines/>
      <w:spacing w:before="240" w:after="180"/>
      <w:outlineLvl w:val="0"/>
    </w:pPr>
    <w:rPr>
      <w:rFonts w:ascii="Source Sans Pro" w:eastAsia="SimHei" w:hAnsi="Source Sans Pro"/>
      <w:color w:val="002A3A" w:themeColor="text2"/>
      <w:spacing w:val="1"/>
      <w:sz w:val="52"/>
      <w:szCs w:val="32"/>
      <w:lang w:eastAsia="en-US"/>
    </w:rPr>
  </w:style>
  <w:style w:type="paragraph" w:styleId="Heading2">
    <w:name w:val="heading 2"/>
    <w:basedOn w:val="Normal"/>
    <w:next w:val="Normal"/>
    <w:link w:val="Heading2Char"/>
    <w:uiPriority w:val="9"/>
    <w:qFormat/>
    <w:rsid w:val="00630972"/>
    <w:pPr>
      <w:keepNext/>
      <w:keepLines/>
      <w:spacing w:before="340" w:after="240" w:line="480" w:lineRule="exact"/>
      <w:outlineLvl w:val="1"/>
    </w:pPr>
    <w:rPr>
      <w:rFonts w:ascii="Source Sans Pro SemiBold" w:eastAsia="SimHei" w:hAnsi="Source Sans Pro SemiBold"/>
      <w:color w:val="002A3A" w:themeColor="text2"/>
      <w:spacing w:val="1"/>
      <w:sz w:val="44"/>
      <w:szCs w:val="28"/>
      <w:lang w:eastAsia="en-US"/>
    </w:rPr>
  </w:style>
  <w:style w:type="paragraph" w:styleId="Heading3">
    <w:name w:val="heading 3"/>
    <w:basedOn w:val="Normal"/>
    <w:next w:val="Normal"/>
    <w:link w:val="Heading3Char"/>
    <w:uiPriority w:val="9"/>
    <w:qFormat/>
    <w:rsid w:val="00630972"/>
    <w:pPr>
      <w:keepNext/>
      <w:keepLines/>
      <w:spacing w:before="180" w:after="200"/>
      <w:outlineLvl w:val="2"/>
    </w:pPr>
    <w:rPr>
      <w:rFonts w:ascii="Source Sans Pro SemiBold" w:eastAsiaTheme="majorEastAsia" w:hAnsi="Source Sans Pro SemiBold" w:cstheme="majorBidi"/>
      <w:bCs/>
      <w:color w:val="002A3A" w:themeColor="text2"/>
      <w:sz w:val="34"/>
      <w:lang w:eastAsia="en-AU"/>
    </w:rPr>
  </w:style>
  <w:style w:type="paragraph" w:styleId="Heading4">
    <w:name w:val="heading 4"/>
    <w:basedOn w:val="Normal"/>
    <w:next w:val="Normal"/>
    <w:link w:val="Heading4Char"/>
    <w:uiPriority w:val="9"/>
    <w:qFormat/>
    <w:rsid w:val="00630972"/>
    <w:pPr>
      <w:keepNext/>
      <w:keepLines/>
      <w:spacing w:before="240"/>
      <w:outlineLvl w:val="3"/>
    </w:pPr>
    <w:rPr>
      <w:rFonts w:asciiTheme="majorHAnsi" w:eastAsiaTheme="majorEastAsia" w:hAnsiTheme="majorHAnsi" w:cstheme="majorBidi"/>
      <w:bCs/>
      <w:iCs/>
      <w:color w:val="002A3A" w:themeColor="text2"/>
      <w:sz w:val="32"/>
      <w:szCs w:val="32"/>
    </w:rPr>
  </w:style>
  <w:style w:type="paragraph" w:styleId="Heading5">
    <w:name w:val="heading 5"/>
    <w:basedOn w:val="Normal"/>
    <w:next w:val="Normal"/>
    <w:link w:val="Heading5Char"/>
    <w:uiPriority w:val="9"/>
    <w:qFormat/>
    <w:rsid w:val="00630972"/>
    <w:pPr>
      <w:keepNext/>
      <w:keepLines/>
      <w:spacing w:before="240"/>
      <w:outlineLvl w:val="4"/>
    </w:pPr>
    <w:rPr>
      <w:rFonts w:ascii="Source Sans Pro SemiBold" w:eastAsiaTheme="majorEastAsia" w:hAnsi="Source Sans Pro SemiBold" w:cstheme="majorBidi"/>
      <w:color w:val="002A3A" w:themeColor="text2"/>
      <w:szCs w:val="22"/>
    </w:rPr>
  </w:style>
  <w:style w:type="paragraph" w:styleId="Heading6">
    <w:name w:val="heading 6"/>
    <w:basedOn w:val="Normal"/>
    <w:next w:val="Normal"/>
    <w:link w:val="Heading6Char"/>
    <w:uiPriority w:val="9"/>
    <w:qFormat/>
    <w:rsid w:val="002836FB"/>
    <w:pPr>
      <w:keepNext/>
      <w:keepLines/>
      <w:spacing w:before="240"/>
      <w:outlineLvl w:val="5"/>
    </w:pPr>
    <w:rPr>
      <w:rFonts w:asciiTheme="majorHAnsi" w:eastAsiaTheme="majorEastAsia" w:hAnsiTheme="majorHAnsi" w:cstheme="majorBidi"/>
      <w:i/>
      <w:iCs/>
      <w:color w:val="002A3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
    <w:name w:val="Name"/>
    <w:basedOn w:val="Normal"/>
    <w:semiHidden/>
    <w:rsid w:val="00392224"/>
    <w:pPr>
      <w:ind w:left="567" w:right="284"/>
    </w:pPr>
    <w:rPr>
      <w:rFonts w:ascii="Verdana" w:eastAsia="Times New Roman" w:hAnsi="Verdana"/>
      <w:b/>
      <w:color w:val="00141D" w:themeColor="text2" w:themeShade="80"/>
      <w:sz w:val="64"/>
      <w:lang w:eastAsia="en-AU"/>
    </w:rPr>
  </w:style>
  <w:style w:type="paragraph" w:customStyle="1" w:styleId="Company">
    <w:name w:val="Company"/>
    <w:basedOn w:val="Name"/>
    <w:semiHidden/>
    <w:qFormat/>
    <w:rsid w:val="00392224"/>
    <w:rPr>
      <w:b w:val="0"/>
      <w:color w:val="0070C0"/>
      <w:sz w:val="48"/>
    </w:rPr>
  </w:style>
  <w:style w:type="character" w:customStyle="1" w:styleId="Heading1Char">
    <w:name w:val="Heading 1 Char"/>
    <w:basedOn w:val="DefaultParagraphFont"/>
    <w:link w:val="Heading1"/>
    <w:uiPriority w:val="9"/>
    <w:rsid w:val="00551EC0"/>
    <w:rPr>
      <w:rFonts w:ascii="Source Sans Pro" w:eastAsia="SimHei" w:hAnsi="Source Sans Pro"/>
      <w:color w:val="002A3A" w:themeColor="text2"/>
      <w:spacing w:val="1"/>
      <w:sz w:val="52"/>
      <w:szCs w:val="32"/>
      <w:lang w:eastAsia="en-US"/>
    </w:rPr>
  </w:style>
  <w:style w:type="character" w:customStyle="1" w:styleId="Heading2Char">
    <w:name w:val="Heading 2 Char"/>
    <w:basedOn w:val="DefaultParagraphFont"/>
    <w:link w:val="Heading2"/>
    <w:uiPriority w:val="9"/>
    <w:rsid w:val="00630972"/>
    <w:rPr>
      <w:rFonts w:ascii="Source Sans Pro SemiBold" w:eastAsia="SimHei" w:hAnsi="Source Sans Pro SemiBold"/>
      <w:color w:val="002A3A" w:themeColor="text2"/>
      <w:spacing w:val="1"/>
      <w:sz w:val="44"/>
      <w:szCs w:val="28"/>
      <w:lang w:eastAsia="en-US"/>
    </w:rPr>
  </w:style>
  <w:style w:type="character" w:customStyle="1" w:styleId="Heading3Char">
    <w:name w:val="Heading 3 Char"/>
    <w:basedOn w:val="DefaultParagraphFont"/>
    <w:link w:val="Heading3"/>
    <w:uiPriority w:val="9"/>
    <w:rsid w:val="00630972"/>
    <w:rPr>
      <w:rFonts w:ascii="Source Sans Pro SemiBold" w:eastAsiaTheme="majorEastAsia" w:hAnsi="Source Sans Pro SemiBold" w:cstheme="majorBidi"/>
      <w:bCs/>
      <w:color w:val="002A3A" w:themeColor="text2"/>
      <w:sz w:val="34"/>
      <w:lang w:eastAsia="en-AU"/>
    </w:rPr>
  </w:style>
  <w:style w:type="character" w:customStyle="1" w:styleId="Heading4Char">
    <w:name w:val="Heading 4 Char"/>
    <w:basedOn w:val="DefaultParagraphFont"/>
    <w:link w:val="Heading4"/>
    <w:uiPriority w:val="9"/>
    <w:rsid w:val="00630972"/>
    <w:rPr>
      <w:rFonts w:asciiTheme="majorHAnsi" w:eastAsiaTheme="majorEastAsia" w:hAnsiTheme="majorHAnsi" w:cstheme="majorBidi"/>
      <w:bCs/>
      <w:iCs/>
      <w:color w:val="002A3A" w:themeColor="text2"/>
      <w:sz w:val="32"/>
      <w:szCs w:val="32"/>
    </w:rPr>
  </w:style>
  <w:style w:type="character" w:customStyle="1" w:styleId="Heading5Char">
    <w:name w:val="Heading 5 Char"/>
    <w:basedOn w:val="DefaultParagraphFont"/>
    <w:link w:val="Heading5"/>
    <w:uiPriority w:val="9"/>
    <w:rsid w:val="00630972"/>
    <w:rPr>
      <w:rFonts w:ascii="Source Sans Pro SemiBold" w:eastAsiaTheme="majorEastAsia" w:hAnsi="Source Sans Pro SemiBold" w:cstheme="majorBidi"/>
      <w:color w:val="002A3A" w:themeColor="text2"/>
      <w:sz w:val="22"/>
      <w:szCs w:val="22"/>
    </w:rPr>
  </w:style>
  <w:style w:type="paragraph" w:styleId="ListParagraph">
    <w:name w:val="List Paragraph"/>
    <w:aliases w:val="Bullet"/>
    <w:basedOn w:val="Normal"/>
    <w:link w:val="ListParagraphChar"/>
    <w:uiPriority w:val="34"/>
    <w:qFormat/>
    <w:rsid w:val="00B6582A"/>
    <w:pPr>
      <w:ind w:left="720"/>
      <w:contextualSpacing/>
    </w:pPr>
  </w:style>
  <w:style w:type="paragraph" w:customStyle="1" w:styleId="Heading1-Numbered">
    <w:name w:val="Heading 1 - Numbered"/>
    <w:basedOn w:val="Heading1"/>
    <w:next w:val="Normal"/>
    <w:semiHidden/>
    <w:qFormat/>
    <w:rsid w:val="00CE01C8"/>
    <w:pPr>
      <w:numPr>
        <w:numId w:val="7"/>
      </w:numPr>
    </w:pPr>
  </w:style>
  <w:style w:type="paragraph" w:customStyle="1" w:styleId="Heading2-Numbered">
    <w:name w:val="Heading 2 - Numbered"/>
    <w:basedOn w:val="Heading2"/>
    <w:next w:val="Normal"/>
    <w:semiHidden/>
    <w:qFormat/>
    <w:rsid w:val="00CE01C8"/>
    <w:pPr>
      <w:numPr>
        <w:ilvl w:val="1"/>
        <w:numId w:val="7"/>
      </w:numPr>
    </w:pPr>
  </w:style>
  <w:style w:type="paragraph" w:customStyle="1" w:styleId="Heading3-Numbered">
    <w:name w:val="Heading 3 - Numbered"/>
    <w:basedOn w:val="Heading3"/>
    <w:next w:val="Normal"/>
    <w:semiHidden/>
    <w:qFormat/>
    <w:rsid w:val="00CE01C8"/>
    <w:pPr>
      <w:numPr>
        <w:ilvl w:val="2"/>
        <w:numId w:val="7"/>
      </w:numPr>
    </w:pPr>
  </w:style>
  <w:style w:type="paragraph" w:customStyle="1" w:styleId="Heading4-Numbered">
    <w:name w:val="Heading 4 - Numbered"/>
    <w:basedOn w:val="Heading4"/>
    <w:next w:val="Normal"/>
    <w:semiHidden/>
    <w:qFormat/>
    <w:rsid w:val="00CE01C8"/>
    <w:pPr>
      <w:numPr>
        <w:ilvl w:val="3"/>
        <w:numId w:val="7"/>
      </w:numPr>
    </w:pPr>
  </w:style>
  <w:style w:type="paragraph" w:customStyle="1" w:styleId="Heading5-Numbered">
    <w:name w:val="Heading 5 - Numbered"/>
    <w:basedOn w:val="Heading5"/>
    <w:next w:val="Normal"/>
    <w:semiHidden/>
    <w:qFormat/>
    <w:rsid w:val="00CE01C8"/>
    <w:pPr>
      <w:numPr>
        <w:ilvl w:val="4"/>
        <w:numId w:val="7"/>
      </w:numPr>
    </w:pPr>
  </w:style>
  <w:style w:type="paragraph" w:styleId="Footer">
    <w:name w:val="footer"/>
    <w:basedOn w:val="Normal"/>
    <w:link w:val="FooterChar"/>
    <w:uiPriority w:val="99"/>
    <w:rsid w:val="000F3540"/>
    <w:pPr>
      <w:spacing w:after="0"/>
      <w:jc w:val="right"/>
    </w:pPr>
    <w:rPr>
      <w:color w:val="000000" w:themeColor="text1"/>
      <w:sz w:val="18"/>
    </w:rPr>
  </w:style>
  <w:style w:type="character" w:customStyle="1" w:styleId="FooterChar">
    <w:name w:val="Footer Char"/>
    <w:basedOn w:val="DefaultParagraphFont"/>
    <w:link w:val="Footer"/>
    <w:uiPriority w:val="99"/>
    <w:rsid w:val="000F3540"/>
    <w:rPr>
      <w:rFonts w:asciiTheme="minorHAnsi" w:hAnsiTheme="minorHAnsi"/>
      <w:color w:val="000000" w:themeColor="text1"/>
      <w:sz w:val="18"/>
    </w:rPr>
  </w:style>
  <w:style w:type="paragraph" w:styleId="Title">
    <w:name w:val="Title"/>
    <w:basedOn w:val="Normal"/>
    <w:next w:val="Normal"/>
    <w:link w:val="TitleChar"/>
    <w:uiPriority w:val="10"/>
    <w:qFormat/>
    <w:rsid w:val="007F0CAA"/>
    <w:pPr>
      <w:framePr w:w="5387" w:h="3969" w:wrap="around" w:vAnchor="page" w:hAnchor="page" w:x="5388" w:y="1390" w:anchorLock="1"/>
      <w:adjustRightInd w:val="0"/>
      <w:spacing w:after="360" w:line="228" w:lineRule="auto"/>
    </w:pPr>
    <w:rPr>
      <w:rFonts w:asciiTheme="majorHAnsi" w:eastAsiaTheme="majorEastAsia" w:hAnsiTheme="majorHAnsi" w:cstheme="majorBidi"/>
      <w:color w:val="002A3A" w:themeColor="text2"/>
      <w:spacing w:val="5"/>
      <w:kern w:val="28"/>
      <w:sz w:val="60"/>
      <w:szCs w:val="52"/>
    </w:rPr>
  </w:style>
  <w:style w:type="character" w:customStyle="1" w:styleId="TitleChar">
    <w:name w:val="Title Char"/>
    <w:basedOn w:val="DefaultParagraphFont"/>
    <w:link w:val="Title"/>
    <w:uiPriority w:val="10"/>
    <w:rsid w:val="007F0CAA"/>
    <w:rPr>
      <w:rFonts w:asciiTheme="majorHAnsi" w:eastAsiaTheme="majorEastAsia" w:hAnsiTheme="majorHAnsi" w:cstheme="majorBidi"/>
      <w:color w:val="002A3A" w:themeColor="text2"/>
      <w:spacing w:val="5"/>
      <w:kern w:val="28"/>
      <w:sz w:val="60"/>
      <w:szCs w:val="52"/>
    </w:rPr>
  </w:style>
  <w:style w:type="paragraph" w:customStyle="1" w:styleId="CoverURL">
    <w:name w:val="Cover URL"/>
    <w:basedOn w:val="Footer"/>
    <w:rsid w:val="00093B03"/>
    <w:rPr>
      <w:color w:val="002A3A" w:themeColor="text2"/>
      <w:spacing w:val="-10"/>
      <w:sz w:val="40"/>
    </w:rPr>
  </w:style>
  <w:style w:type="paragraph" w:styleId="ListBullet2">
    <w:name w:val="List Bullet 2"/>
    <w:basedOn w:val="Normal"/>
    <w:uiPriority w:val="99"/>
    <w:qFormat/>
    <w:rsid w:val="00B87055"/>
    <w:pPr>
      <w:numPr>
        <w:ilvl w:val="1"/>
        <w:numId w:val="23"/>
      </w:numPr>
      <w:adjustRightInd w:val="0"/>
      <w:ind w:left="1021" w:hanging="284"/>
    </w:pPr>
  </w:style>
  <w:style w:type="paragraph" w:customStyle="1" w:styleId="ListLetter">
    <w:name w:val="List Letter"/>
    <w:basedOn w:val="Normal"/>
    <w:semiHidden/>
    <w:qFormat/>
    <w:rsid w:val="002270B2"/>
    <w:pPr>
      <w:numPr>
        <w:numId w:val="1"/>
      </w:numPr>
      <w:adjustRightInd w:val="0"/>
      <w:ind w:hanging="720"/>
    </w:pPr>
  </w:style>
  <w:style w:type="numbering" w:customStyle="1" w:styleId="NumbersOAIC">
    <w:name w:val="Numbers_OAIC"/>
    <w:uiPriority w:val="99"/>
    <w:rsid w:val="00CC47E4"/>
    <w:pPr>
      <w:numPr>
        <w:numId w:val="2"/>
      </w:numPr>
    </w:pPr>
  </w:style>
  <w:style w:type="table" w:styleId="TableGrid">
    <w:name w:val="Table Grid"/>
    <w:basedOn w:val="TableNormal"/>
    <w:uiPriority w:val="59"/>
    <w:rsid w:val="00E25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qFormat/>
    <w:rsid w:val="00CC47E4"/>
    <w:pPr>
      <w:numPr>
        <w:numId w:val="16"/>
      </w:numPr>
    </w:pPr>
  </w:style>
  <w:style w:type="paragraph" w:styleId="ListNumber2">
    <w:name w:val="List Number 2"/>
    <w:basedOn w:val="Normal"/>
    <w:uiPriority w:val="99"/>
    <w:qFormat/>
    <w:rsid w:val="00CC47E4"/>
    <w:pPr>
      <w:numPr>
        <w:ilvl w:val="1"/>
        <w:numId w:val="16"/>
      </w:numPr>
    </w:pPr>
  </w:style>
  <w:style w:type="paragraph" w:customStyle="1" w:styleId="TableHeading">
    <w:name w:val="Table Heading"/>
    <w:basedOn w:val="TableText"/>
    <w:qFormat/>
    <w:rsid w:val="0069144C"/>
    <w:pPr>
      <w:spacing w:before="120"/>
    </w:pPr>
    <w:rPr>
      <w:color w:val="FFFFFF"/>
      <w:sz w:val="22"/>
    </w:rPr>
  </w:style>
  <w:style w:type="paragraph" w:customStyle="1" w:styleId="TableText">
    <w:name w:val="Table Text"/>
    <w:basedOn w:val="Normal"/>
    <w:autoRedefine/>
    <w:uiPriority w:val="60"/>
    <w:qFormat/>
    <w:rsid w:val="00522F26"/>
    <w:pPr>
      <w:adjustRightInd w:val="0"/>
      <w:spacing w:before="60"/>
    </w:pPr>
    <w:rPr>
      <w:color w:val="000000" w:themeColor="text1"/>
      <w:sz w:val="20"/>
    </w:rPr>
  </w:style>
  <w:style w:type="paragraph" w:customStyle="1" w:styleId="TableBullet">
    <w:name w:val="Table Bullet"/>
    <w:basedOn w:val="TableText"/>
    <w:link w:val="TableBulletChar"/>
    <w:qFormat/>
    <w:rsid w:val="003D78F2"/>
    <w:pPr>
      <w:numPr>
        <w:numId w:val="3"/>
      </w:numPr>
      <w:ind w:left="284" w:hanging="284"/>
    </w:pPr>
  </w:style>
  <w:style w:type="paragraph" w:styleId="Caption">
    <w:name w:val="caption"/>
    <w:basedOn w:val="Normal"/>
    <w:next w:val="Normal"/>
    <w:uiPriority w:val="35"/>
    <w:qFormat/>
    <w:rsid w:val="00551EC0"/>
    <w:pPr>
      <w:spacing w:before="240" w:after="240"/>
    </w:pPr>
    <w:rPr>
      <w:rFonts w:ascii="Source Sans Pro" w:eastAsia="Source Sans Pro" w:hAnsi="Source Sans Pro"/>
      <w:b/>
      <w:iCs/>
      <w:color w:val="002A3A" w:themeColor="text2"/>
      <w:spacing w:val="-3"/>
      <w:szCs w:val="18"/>
      <w:lang w:eastAsia="en-US"/>
    </w:rPr>
  </w:style>
  <w:style w:type="table" w:customStyle="1" w:styleId="PlainTable21">
    <w:name w:val="Plain Table 21"/>
    <w:basedOn w:val="TableNormal"/>
    <w:uiPriority w:val="42"/>
    <w:rsid w:val="0044712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rsid w:val="00940831"/>
    <w:rPr>
      <w:color w:val="002A3A" w:themeColor="text2"/>
      <w:u w:val="single"/>
    </w:rPr>
  </w:style>
  <w:style w:type="table" w:customStyle="1" w:styleId="OAICTable">
    <w:name w:val="OAIC Table"/>
    <w:basedOn w:val="TableGrid1"/>
    <w:uiPriority w:val="99"/>
    <w:rsid w:val="00B856CD"/>
    <w:rPr>
      <w:rFonts w:asciiTheme="minorHAnsi" w:hAnsiTheme="minorHAnsi"/>
      <w:lang w:val="en-GB" w:eastAsia="zh-CN"/>
    </w:rPr>
    <w:tblPr>
      <w:tblBorders>
        <w:insideH w:val="single" w:sz="4" w:space="0" w:color="DDD8D9" w:themeColor="accent1"/>
      </w:tblBorders>
    </w:tblPr>
    <w:tcPr>
      <w:shd w:val="clear" w:color="auto" w:fill="FFFFFF" w:themeFill="background1"/>
    </w:tcPr>
    <w:tblStylePr w:type="firstRow">
      <w:rPr>
        <w:b/>
        <w:color w:val="000000" w:themeColor="text1"/>
        <w:sz w:val="22"/>
      </w:rPr>
      <w:tblPr/>
      <w:tcPr>
        <w:shd w:val="clear" w:color="auto" w:fill="DDD8D9" w:themeFill="accent1"/>
      </w:tcPr>
    </w:tblStylePr>
    <w:tblStylePr w:type="lastRow">
      <w:tblPr/>
      <w:tcPr>
        <w:shd w:val="clear" w:color="auto" w:fill="DDD8D9" w:themeFill="accent1"/>
      </w:tcPr>
    </w:tblStylePr>
    <w:tblStylePr w:type="firstCol">
      <w:pPr>
        <w:jc w:val="left"/>
      </w:pPr>
    </w:tblStylePr>
  </w:style>
  <w:style w:type="paragraph" w:customStyle="1" w:styleId="TableNumber">
    <w:name w:val="Table Number"/>
    <w:basedOn w:val="TableText"/>
    <w:qFormat/>
    <w:rsid w:val="00B00132"/>
    <w:pPr>
      <w:numPr>
        <w:numId w:val="8"/>
      </w:numPr>
    </w:pPr>
  </w:style>
  <w:style w:type="numbering" w:customStyle="1" w:styleId="TableNumbersOAIC">
    <w:name w:val="TableNumbers_OAIC"/>
    <w:uiPriority w:val="99"/>
    <w:rsid w:val="005450A9"/>
    <w:pPr>
      <w:numPr>
        <w:numId w:val="4"/>
      </w:numPr>
    </w:pPr>
  </w:style>
  <w:style w:type="paragraph" w:styleId="ListNumber3">
    <w:name w:val="List Number 3"/>
    <w:basedOn w:val="Normal"/>
    <w:uiPriority w:val="99"/>
    <w:qFormat/>
    <w:rsid w:val="00CC47E4"/>
    <w:pPr>
      <w:numPr>
        <w:ilvl w:val="2"/>
        <w:numId w:val="16"/>
      </w:numPr>
    </w:pPr>
  </w:style>
  <w:style w:type="paragraph" w:styleId="FootnoteText">
    <w:name w:val="footnote text"/>
    <w:basedOn w:val="Normal"/>
    <w:link w:val="FootnoteTextChar"/>
    <w:unhideWhenUsed/>
    <w:rsid w:val="00386E6C"/>
    <w:pPr>
      <w:spacing w:after="60"/>
    </w:pPr>
    <w:rPr>
      <w:rFonts w:cs="Calibri"/>
      <w:spacing w:val="-5"/>
      <w:sz w:val="18"/>
      <w:szCs w:val="24"/>
    </w:rPr>
  </w:style>
  <w:style w:type="character" w:customStyle="1" w:styleId="TableBulletChar">
    <w:name w:val="Table Bullet Char"/>
    <w:link w:val="TableBullet"/>
    <w:locked/>
    <w:rsid w:val="003D78F2"/>
    <w:rPr>
      <w:rFonts w:asciiTheme="minorHAnsi" w:hAnsiTheme="minorHAnsi"/>
      <w:color w:val="000000" w:themeColor="text1"/>
    </w:rPr>
  </w:style>
  <w:style w:type="character" w:customStyle="1" w:styleId="FootnoteTextChar">
    <w:name w:val="Footnote Text Char"/>
    <w:basedOn w:val="DefaultParagraphFont"/>
    <w:link w:val="FootnoteText"/>
    <w:rsid w:val="00386E6C"/>
    <w:rPr>
      <w:rFonts w:asciiTheme="minorHAnsi" w:hAnsiTheme="minorHAnsi" w:cs="Calibri"/>
      <w:spacing w:val="-5"/>
      <w:sz w:val="18"/>
      <w:szCs w:val="24"/>
    </w:rPr>
  </w:style>
  <w:style w:type="paragraph" w:styleId="Header">
    <w:name w:val="header"/>
    <w:basedOn w:val="Normal"/>
    <w:link w:val="HeaderChar"/>
    <w:uiPriority w:val="99"/>
    <w:rsid w:val="00EE51CF"/>
    <w:pPr>
      <w:shd w:val="clear" w:color="auto" w:fill="FFFFFF"/>
      <w:tabs>
        <w:tab w:val="center" w:pos="4513"/>
        <w:tab w:val="right" w:pos="9026"/>
      </w:tabs>
      <w:spacing w:after="1260"/>
      <w:ind w:left="-57" w:right="28"/>
      <w:contextualSpacing/>
      <w:jc w:val="right"/>
    </w:pPr>
    <w:rPr>
      <w:rFonts w:ascii="Source Sans Pro" w:eastAsia="Source Sans Pro" w:hAnsi="Source Sans Pro"/>
      <w:spacing w:val="1"/>
      <w:sz w:val="18"/>
      <w:szCs w:val="22"/>
      <w:lang w:eastAsia="en-US"/>
    </w:rPr>
  </w:style>
  <w:style w:type="character" w:customStyle="1" w:styleId="HeaderChar">
    <w:name w:val="Header Char"/>
    <w:basedOn w:val="DefaultParagraphFont"/>
    <w:link w:val="Header"/>
    <w:uiPriority w:val="99"/>
    <w:rsid w:val="00EE51CF"/>
    <w:rPr>
      <w:rFonts w:ascii="Source Sans Pro" w:eastAsia="Source Sans Pro" w:hAnsi="Source Sans Pro"/>
      <w:spacing w:val="1"/>
      <w:sz w:val="18"/>
      <w:szCs w:val="22"/>
      <w:shd w:val="clear" w:color="auto" w:fill="FFFFFF"/>
      <w:lang w:eastAsia="en-US"/>
    </w:rPr>
  </w:style>
  <w:style w:type="table" w:customStyle="1" w:styleId="LayoutGrid">
    <w:name w:val="LayoutGrid"/>
    <w:basedOn w:val="TableNormal"/>
    <w:uiPriority w:val="99"/>
    <w:rsid w:val="00207961"/>
    <w:pPr>
      <w:ind w:left="0" w:firstLine="0"/>
    </w:pPr>
    <w:rPr>
      <w:rFonts w:asciiTheme="minorHAnsi" w:hAnsiTheme="minorHAnsi"/>
    </w:rPr>
    <w:tblPr>
      <w:tblCellMar>
        <w:left w:w="0" w:type="dxa"/>
        <w:right w:w="0" w:type="dxa"/>
      </w:tblCellMar>
    </w:tblPr>
  </w:style>
  <w:style w:type="paragraph" w:customStyle="1" w:styleId="HeaderTitle">
    <w:name w:val="Header Title"/>
    <w:basedOn w:val="Header"/>
    <w:rsid w:val="002C2474"/>
    <w:pPr>
      <w:spacing w:after="0"/>
    </w:pPr>
    <w:rPr>
      <w:b/>
      <w:color w:val="000000" w:themeColor="text1"/>
      <w:sz w:val="22"/>
    </w:rPr>
  </w:style>
  <w:style w:type="paragraph" w:customStyle="1" w:styleId="CalloutBox">
    <w:name w:val="Callout Box"/>
    <w:basedOn w:val="CallouttextB"/>
    <w:rsid w:val="00105DB0"/>
  </w:style>
  <w:style w:type="paragraph" w:customStyle="1" w:styleId="Source">
    <w:name w:val="Source"/>
    <w:next w:val="Normal"/>
    <w:uiPriority w:val="97"/>
    <w:semiHidden/>
    <w:rsid w:val="002B5C36"/>
    <w:pPr>
      <w:numPr>
        <w:numId w:val="5"/>
      </w:numPr>
    </w:pPr>
    <w:rPr>
      <w:rFonts w:asciiTheme="minorHAnsi" w:eastAsia="Times New Roman" w:hAnsiTheme="minorHAnsi" w:cstheme="minorHAnsi"/>
      <w:spacing w:val="-3"/>
      <w:sz w:val="16"/>
      <w:szCs w:val="14"/>
      <w:lang w:eastAsia="en-AU"/>
    </w:rPr>
  </w:style>
  <w:style w:type="paragraph" w:styleId="BalloonText">
    <w:name w:val="Balloon Text"/>
    <w:basedOn w:val="Normal"/>
    <w:link w:val="BalloonTextChar"/>
    <w:uiPriority w:val="99"/>
    <w:unhideWhenUsed/>
    <w:rsid w:val="00F811B2"/>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F811B2"/>
    <w:rPr>
      <w:rFonts w:ascii="Tahoma" w:hAnsi="Tahoma" w:cs="Tahoma"/>
      <w:sz w:val="16"/>
      <w:szCs w:val="16"/>
    </w:rPr>
  </w:style>
  <w:style w:type="paragraph" w:customStyle="1" w:styleId="FigureCaption">
    <w:name w:val="Figure Caption"/>
    <w:basedOn w:val="Normal"/>
    <w:next w:val="Normal"/>
    <w:rsid w:val="008014B1"/>
    <w:rPr>
      <w:color w:val="002A3A" w:themeColor="text2"/>
      <w:sz w:val="20"/>
    </w:rPr>
  </w:style>
  <w:style w:type="paragraph" w:customStyle="1" w:styleId="TableCaption">
    <w:name w:val="Table Caption"/>
    <w:basedOn w:val="Normal"/>
    <w:next w:val="Normal"/>
    <w:rsid w:val="008014B1"/>
    <w:rPr>
      <w:color w:val="002A3A" w:themeColor="text2"/>
      <w:sz w:val="20"/>
    </w:rPr>
  </w:style>
  <w:style w:type="paragraph" w:styleId="TOC1">
    <w:name w:val="toc 1"/>
    <w:basedOn w:val="Normal"/>
    <w:next w:val="Normal"/>
    <w:autoRedefine/>
    <w:uiPriority w:val="39"/>
    <w:unhideWhenUsed/>
    <w:qFormat/>
    <w:rsid w:val="00C53E04"/>
    <w:pPr>
      <w:tabs>
        <w:tab w:val="right" w:pos="9060"/>
      </w:tabs>
      <w:spacing w:after="100"/>
      <w:ind w:right="567"/>
    </w:pPr>
    <w:rPr>
      <w:sz w:val="26"/>
    </w:rPr>
  </w:style>
  <w:style w:type="paragraph" w:styleId="TOC2">
    <w:name w:val="toc 2"/>
    <w:basedOn w:val="Normal"/>
    <w:next w:val="Normal"/>
    <w:autoRedefine/>
    <w:uiPriority w:val="39"/>
    <w:unhideWhenUsed/>
    <w:qFormat/>
    <w:rsid w:val="00C027C0"/>
    <w:pPr>
      <w:tabs>
        <w:tab w:val="right" w:pos="9060"/>
      </w:tabs>
      <w:spacing w:before="80" w:after="80"/>
      <w:ind w:left="28" w:right="567"/>
    </w:pPr>
    <w:rPr>
      <w:rFonts w:ascii="Source Sans Pro SemiBold" w:hAnsi="Source Sans Pro SemiBold"/>
      <w:noProof/>
      <w:szCs w:val="16"/>
    </w:rPr>
  </w:style>
  <w:style w:type="paragraph" w:styleId="TOC3">
    <w:name w:val="toc 3"/>
    <w:basedOn w:val="Normal"/>
    <w:next w:val="Normal"/>
    <w:autoRedefine/>
    <w:uiPriority w:val="39"/>
    <w:unhideWhenUsed/>
    <w:rsid w:val="00CA0111"/>
    <w:pPr>
      <w:tabs>
        <w:tab w:val="right" w:pos="9060"/>
      </w:tabs>
      <w:spacing w:before="60" w:after="60"/>
      <w:ind w:left="284" w:right="567"/>
    </w:pPr>
    <w:rPr>
      <w:noProof/>
      <w:sz w:val="20"/>
      <w:szCs w:val="14"/>
    </w:rPr>
  </w:style>
  <w:style w:type="numbering" w:customStyle="1" w:styleId="BulletsOAIC">
    <w:name w:val="Bullets_OAIC"/>
    <w:uiPriority w:val="99"/>
    <w:rsid w:val="005E2E2F"/>
    <w:pPr>
      <w:numPr>
        <w:numId w:val="6"/>
      </w:numPr>
    </w:pPr>
  </w:style>
  <w:style w:type="paragraph" w:styleId="TOCHeading">
    <w:name w:val="TOC Heading"/>
    <w:basedOn w:val="Heading1"/>
    <w:next w:val="Normal"/>
    <w:uiPriority w:val="39"/>
    <w:qFormat/>
    <w:rsid w:val="00C24D76"/>
    <w:pPr>
      <w:spacing w:before="600" w:after="360"/>
      <w:outlineLvl w:val="9"/>
    </w:pPr>
    <w:rPr>
      <w:rFonts w:asciiTheme="majorHAnsi" w:hAnsiTheme="majorHAnsi"/>
      <w:sz w:val="42"/>
      <w:szCs w:val="42"/>
    </w:rPr>
  </w:style>
  <w:style w:type="paragraph" w:styleId="ListBullet">
    <w:name w:val="List Bullet"/>
    <w:basedOn w:val="Normal"/>
    <w:uiPriority w:val="99"/>
    <w:qFormat/>
    <w:rsid w:val="00B87055"/>
    <w:pPr>
      <w:numPr>
        <w:numId w:val="12"/>
      </w:numPr>
      <w:ind w:left="680" w:hanging="482"/>
    </w:pPr>
  </w:style>
  <w:style w:type="paragraph" w:customStyle="1" w:styleId="CoverDate">
    <w:name w:val="Cover Date"/>
    <w:basedOn w:val="Normal"/>
    <w:rsid w:val="002D621F"/>
    <w:pPr>
      <w:spacing w:before="2260"/>
      <w:ind w:left="198"/>
      <w:contextualSpacing/>
    </w:pPr>
    <w:rPr>
      <w:b/>
      <w:color w:val="00ACEE"/>
      <w:sz w:val="36"/>
    </w:rPr>
  </w:style>
  <w:style w:type="character" w:styleId="PageNumber">
    <w:name w:val="page number"/>
    <w:basedOn w:val="DefaultParagraphFont"/>
    <w:uiPriority w:val="99"/>
    <w:rsid w:val="00093B03"/>
    <w:rPr>
      <w:b/>
    </w:rPr>
  </w:style>
  <w:style w:type="paragraph" w:customStyle="1" w:styleId="CoverHeading">
    <w:name w:val="Cover Heading"/>
    <w:basedOn w:val="Normal"/>
    <w:semiHidden/>
    <w:qFormat/>
    <w:rsid w:val="004625AD"/>
    <w:pPr>
      <w:spacing w:before="360" w:after="340" w:line="194" w:lineRule="auto"/>
      <w:ind w:left="198"/>
      <w:contextualSpacing/>
    </w:pPr>
    <w:rPr>
      <w:color w:val="FFFFFF"/>
      <w:sz w:val="84"/>
    </w:rPr>
  </w:style>
  <w:style w:type="paragraph" w:customStyle="1" w:styleId="CoverSubheading">
    <w:name w:val="Cover Subheading"/>
    <w:basedOn w:val="Normal"/>
    <w:rsid w:val="004625AD"/>
    <w:pPr>
      <w:spacing w:line="400" w:lineRule="atLeast"/>
      <w:ind w:left="198"/>
    </w:pPr>
    <w:rPr>
      <w:color w:val="FFFFFF"/>
      <w:sz w:val="30"/>
    </w:rPr>
  </w:style>
  <w:style w:type="paragraph" w:customStyle="1" w:styleId="CoverDetails">
    <w:name w:val="Cover Details"/>
    <w:basedOn w:val="Normal"/>
    <w:rsid w:val="004625AD"/>
    <w:pPr>
      <w:framePr w:wrap="around" w:vAnchor="page" w:hAnchor="text" w:y="11330" w:anchorLock="1"/>
      <w:spacing w:after="80"/>
      <w:ind w:left="198"/>
    </w:pPr>
    <w:rPr>
      <w:color w:val="FFFFFF"/>
      <w:spacing w:val="-6"/>
    </w:rPr>
  </w:style>
  <w:style w:type="paragraph" w:customStyle="1" w:styleId="CoverDetailsHeading">
    <w:name w:val="Cover Details Heading"/>
    <w:basedOn w:val="Normal"/>
    <w:rsid w:val="004625AD"/>
    <w:pPr>
      <w:framePr w:wrap="around" w:vAnchor="page" w:hAnchor="text" w:y="11330" w:anchorLock="1"/>
      <w:spacing w:after="80"/>
      <w:ind w:left="198"/>
    </w:pPr>
    <w:rPr>
      <w:b/>
      <w:color w:val="FFFFFF"/>
      <w:sz w:val="26"/>
    </w:rPr>
  </w:style>
  <w:style w:type="character" w:styleId="PlaceholderText">
    <w:name w:val="Placeholder Text"/>
    <w:basedOn w:val="DefaultParagraphFont"/>
    <w:uiPriority w:val="99"/>
    <w:semiHidden/>
    <w:rsid w:val="005351B4"/>
    <w:rPr>
      <w:color w:val="FF0000"/>
    </w:rPr>
  </w:style>
  <w:style w:type="paragraph" w:customStyle="1" w:styleId="NumberedParagraphs">
    <w:name w:val="Numbered Paragraphs"/>
    <w:basedOn w:val="Normal"/>
    <w:qFormat/>
    <w:rsid w:val="00207FE0"/>
    <w:pPr>
      <w:numPr>
        <w:ilvl w:val="1"/>
        <w:numId w:val="106"/>
      </w:numPr>
    </w:pPr>
  </w:style>
  <w:style w:type="character" w:customStyle="1" w:styleId="Heading6Char">
    <w:name w:val="Heading 6 Char"/>
    <w:basedOn w:val="DefaultParagraphFont"/>
    <w:link w:val="Heading6"/>
    <w:uiPriority w:val="9"/>
    <w:rsid w:val="002836FB"/>
    <w:rPr>
      <w:rFonts w:asciiTheme="majorHAnsi" w:eastAsiaTheme="majorEastAsia" w:hAnsiTheme="majorHAnsi" w:cstheme="majorBidi"/>
      <w:i/>
      <w:iCs/>
      <w:color w:val="002A3A" w:themeColor="text2"/>
      <w:sz w:val="22"/>
    </w:rPr>
  </w:style>
  <w:style w:type="numbering" w:customStyle="1" w:styleId="NumberedParagraphsList">
    <w:name w:val="NumberedParagraphs List"/>
    <w:uiPriority w:val="99"/>
    <w:rsid w:val="00043C6D"/>
    <w:pPr>
      <w:numPr>
        <w:numId w:val="9"/>
      </w:numPr>
    </w:pPr>
  </w:style>
  <w:style w:type="paragraph" w:styleId="TOC4">
    <w:name w:val="toc 4"/>
    <w:basedOn w:val="Normal"/>
    <w:next w:val="Normal"/>
    <w:uiPriority w:val="39"/>
    <w:unhideWhenUsed/>
    <w:rsid w:val="00D0312E"/>
    <w:pPr>
      <w:tabs>
        <w:tab w:val="left" w:pos="737"/>
        <w:tab w:val="right" w:leader="dot" w:pos="9072"/>
      </w:tabs>
      <w:spacing w:after="160"/>
    </w:pPr>
    <w:rPr>
      <w:sz w:val="20"/>
    </w:rPr>
  </w:style>
  <w:style w:type="paragraph" w:customStyle="1" w:styleId="Heading2-Unnumbered">
    <w:name w:val="Heading 2 - Unnumbered"/>
    <w:basedOn w:val="Heading2"/>
    <w:next w:val="Normal"/>
    <w:autoRedefine/>
    <w:qFormat/>
    <w:rsid w:val="00EB097D"/>
    <w:pPr>
      <w:spacing w:before="240" w:line="520" w:lineRule="exact"/>
    </w:pPr>
  </w:style>
  <w:style w:type="paragraph" w:customStyle="1" w:styleId="IndentBullet1">
    <w:name w:val="Indent Bullet 1"/>
    <w:basedOn w:val="Normal"/>
    <w:qFormat/>
    <w:rsid w:val="00A105F1"/>
    <w:pPr>
      <w:numPr>
        <w:numId w:val="18"/>
      </w:numPr>
      <w:ind w:left="1078" w:hanging="284"/>
    </w:pPr>
  </w:style>
  <w:style w:type="paragraph" w:customStyle="1" w:styleId="IndentBullet2">
    <w:name w:val="Indent Bullet 2"/>
    <w:basedOn w:val="ListParagraph"/>
    <w:qFormat/>
    <w:rsid w:val="008D4A60"/>
    <w:pPr>
      <w:numPr>
        <w:ilvl w:val="1"/>
        <w:numId w:val="18"/>
      </w:numPr>
      <w:ind w:left="1361" w:hanging="284"/>
      <w:contextualSpacing w:val="0"/>
    </w:pPr>
  </w:style>
  <w:style w:type="numbering" w:customStyle="1" w:styleId="IndentNumbersOAIC">
    <w:name w:val="IndentNumbers_OAIC"/>
    <w:uiPriority w:val="99"/>
    <w:rsid w:val="00BA5180"/>
    <w:pPr>
      <w:numPr>
        <w:numId w:val="11"/>
      </w:numPr>
    </w:pPr>
  </w:style>
  <w:style w:type="paragraph" w:styleId="List">
    <w:name w:val="List"/>
    <w:basedOn w:val="Normal"/>
    <w:uiPriority w:val="99"/>
    <w:qFormat/>
    <w:rsid w:val="00990AED"/>
    <w:pPr>
      <w:numPr>
        <w:numId w:val="11"/>
      </w:numPr>
      <w:ind w:left="1021" w:hanging="284"/>
    </w:pPr>
  </w:style>
  <w:style w:type="paragraph" w:styleId="List2">
    <w:name w:val="List 2"/>
    <w:basedOn w:val="Normal"/>
    <w:uiPriority w:val="99"/>
    <w:qFormat/>
    <w:rsid w:val="00BA5180"/>
    <w:pPr>
      <w:numPr>
        <w:ilvl w:val="1"/>
        <w:numId w:val="11"/>
      </w:numPr>
    </w:pPr>
  </w:style>
  <w:style w:type="paragraph" w:styleId="List3">
    <w:name w:val="List 3"/>
    <w:basedOn w:val="Normal"/>
    <w:uiPriority w:val="99"/>
    <w:qFormat/>
    <w:rsid w:val="00F926CE"/>
  </w:style>
  <w:style w:type="paragraph" w:styleId="Quote">
    <w:name w:val="Quote"/>
    <w:basedOn w:val="Normal"/>
    <w:next w:val="Normal"/>
    <w:link w:val="QuoteChar"/>
    <w:autoRedefine/>
    <w:uiPriority w:val="1"/>
    <w:qFormat/>
    <w:rsid w:val="00B16297"/>
    <w:pPr>
      <w:spacing w:after="240"/>
      <w:ind w:left="567"/>
    </w:pPr>
    <w:rPr>
      <w:rFonts w:ascii="Calibri" w:eastAsiaTheme="minorHAnsi" w:hAnsi="Calibri"/>
      <w:lang w:eastAsia="en-US"/>
    </w:rPr>
  </w:style>
  <w:style w:type="character" w:customStyle="1" w:styleId="QuoteChar">
    <w:name w:val="Quote Char"/>
    <w:basedOn w:val="DefaultParagraphFont"/>
    <w:link w:val="Quote"/>
    <w:uiPriority w:val="1"/>
    <w:rsid w:val="00B16297"/>
    <w:rPr>
      <w:rFonts w:ascii="Calibri" w:eastAsiaTheme="minorHAnsi" w:hAnsi="Calibri"/>
      <w:sz w:val="22"/>
      <w:lang w:eastAsia="en-US"/>
    </w:rPr>
  </w:style>
  <w:style w:type="character" w:styleId="FootnoteReference">
    <w:name w:val="footnote reference"/>
    <w:basedOn w:val="DefaultParagraphFont"/>
    <w:unhideWhenUsed/>
    <w:rsid w:val="004F05EC"/>
    <w:rPr>
      <w:vertAlign w:val="superscript"/>
    </w:rPr>
  </w:style>
  <w:style w:type="character" w:styleId="Strong">
    <w:name w:val="Strong"/>
    <w:basedOn w:val="DefaultParagraphFont"/>
    <w:uiPriority w:val="22"/>
    <w:qFormat/>
    <w:rsid w:val="00462513"/>
    <w:rPr>
      <w:b/>
      <w:bCs/>
    </w:rPr>
  </w:style>
  <w:style w:type="table" w:customStyle="1" w:styleId="Frame">
    <w:name w:val="Frame"/>
    <w:basedOn w:val="TableNormal"/>
    <w:uiPriority w:val="99"/>
    <w:rsid w:val="00462513"/>
    <w:pPr>
      <w:ind w:left="0" w:firstLine="0"/>
    </w:pPr>
    <w:rPr>
      <w:rFonts w:ascii="Source Sans Pro" w:eastAsia="Source Sans Pro" w:hAnsi="Source Sans Pro"/>
      <w:sz w:val="22"/>
      <w:szCs w:val="22"/>
      <w:lang w:eastAsia="en-US"/>
    </w:rPr>
    <w:tblPr>
      <w:tblCellMar>
        <w:left w:w="0" w:type="dxa"/>
        <w:right w:w="0" w:type="dxa"/>
      </w:tblCellMar>
    </w:tblPr>
  </w:style>
  <w:style w:type="paragraph" w:styleId="Subtitle">
    <w:name w:val="Subtitle"/>
    <w:basedOn w:val="Title"/>
    <w:next w:val="Normal"/>
    <w:link w:val="SubtitleChar"/>
    <w:uiPriority w:val="11"/>
    <w:qFormat/>
    <w:rsid w:val="00411F2F"/>
    <w:pPr>
      <w:framePr w:h="3969" w:hRule="exact" w:wrap="around"/>
      <w:numPr>
        <w:ilvl w:val="1"/>
      </w:numPr>
      <w:adjustRightInd/>
      <w:spacing w:after="380" w:line="245" w:lineRule="auto"/>
      <w:contextualSpacing/>
    </w:pPr>
    <w:rPr>
      <w:rFonts w:ascii="Source Sans Pro Light" w:eastAsiaTheme="minorEastAsia" w:hAnsi="Source Sans Pro Light"/>
      <w:color w:val="auto"/>
      <w:spacing w:val="-8"/>
      <w:sz w:val="44"/>
      <w:szCs w:val="56"/>
      <w:lang w:eastAsia="en-US"/>
    </w:rPr>
  </w:style>
  <w:style w:type="character" w:customStyle="1" w:styleId="SubtitleChar">
    <w:name w:val="Subtitle Char"/>
    <w:basedOn w:val="DefaultParagraphFont"/>
    <w:link w:val="Subtitle"/>
    <w:uiPriority w:val="11"/>
    <w:rsid w:val="00411F2F"/>
    <w:rPr>
      <w:rFonts w:ascii="Source Sans Pro Light" w:hAnsi="Source Sans Pro Light" w:cstheme="majorBidi"/>
      <w:spacing w:val="-8"/>
      <w:kern w:val="28"/>
      <w:sz w:val="44"/>
      <w:szCs w:val="56"/>
      <w:lang w:eastAsia="en-US"/>
    </w:rPr>
  </w:style>
  <w:style w:type="paragraph" w:customStyle="1" w:styleId="Details">
    <w:name w:val="Details"/>
    <w:basedOn w:val="NoSpacing"/>
    <w:link w:val="DetailsChar"/>
    <w:rsid w:val="002C2474"/>
    <w:pPr>
      <w:framePr w:w="9639" w:h="510" w:hRule="exact" w:wrap="around" w:vAnchor="page" w:hAnchor="page" w:x="1135" w:y="15877" w:anchorLock="1"/>
      <w:spacing w:line="228" w:lineRule="auto"/>
    </w:pPr>
    <w:rPr>
      <w:rFonts w:eastAsiaTheme="minorHAnsi" w:cstheme="minorBidi"/>
      <w:color w:val="002A3A" w:themeColor="text2"/>
      <w:spacing w:val="2"/>
      <w:szCs w:val="22"/>
      <w:lang w:eastAsia="en-US"/>
    </w:rPr>
  </w:style>
  <w:style w:type="paragraph" w:customStyle="1" w:styleId="URL">
    <w:name w:val="URL"/>
    <w:basedOn w:val="NoSpacing"/>
    <w:link w:val="URLChar"/>
    <w:rsid w:val="006A6016"/>
    <w:pPr>
      <w:framePr w:w="1418" w:h="425" w:hRule="exact" w:wrap="around" w:vAnchor="page" w:hAnchor="page" w:x="5388" w:y="5558" w:anchorLock="1"/>
    </w:pPr>
    <w:rPr>
      <w:rFonts w:ascii="Source Sans Pro SemiBold" w:eastAsiaTheme="minorHAnsi" w:hAnsi="Source Sans Pro SemiBold" w:cstheme="minorBidi"/>
      <w:color w:val="1B2D3D"/>
      <w:spacing w:val="-1"/>
      <w:sz w:val="24"/>
      <w:szCs w:val="22"/>
      <w:lang w:eastAsia="en-US"/>
    </w:rPr>
  </w:style>
  <w:style w:type="character" w:customStyle="1" w:styleId="DetailsChar">
    <w:name w:val="Details Char"/>
    <w:basedOn w:val="DefaultParagraphFont"/>
    <w:link w:val="Details"/>
    <w:rsid w:val="002C2474"/>
    <w:rPr>
      <w:rFonts w:asciiTheme="minorHAnsi" w:eastAsiaTheme="minorHAnsi" w:hAnsiTheme="minorHAnsi" w:cstheme="minorBidi"/>
      <w:color w:val="002A3A" w:themeColor="text2"/>
      <w:spacing w:val="2"/>
      <w:sz w:val="22"/>
      <w:szCs w:val="22"/>
      <w:lang w:eastAsia="en-US"/>
    </w:rPr>
  </w:style>
  <w:style w:type="character" w:customStyle="1" w:styleId="URLChar">
    <w:name w:val="URL Char"/>
    <w:basedOn w:val="DefaultParagraphFont"/>
    <w:link w:val="URL"/>
    <w:rsid w:val="006A6016"/>
    <w:rPr>
      <w:rFonts w:ascii="Source Sans Pro SemiBold" w:eastAsiaTheme="minorHAnsi" w:hAnsi="Source Sans Pro SemiBold" w:cstheme="minorBidi"/>
      <w:color w:val="1B2D3D"/>
      <w:spacing w:val="-1"/>
      <w:sz w:val="24"/>
      <w:szCs w:val="22"/>
      <w:lang w:eastAsia="en-US"/>
    </w:rPr>
  </w:style>
  <w:style w:type="paragraph" w:styleId="NoSpacing">
    <w:name w:val="No Spacing"/>
    <w:link w:val="NoSpacingChar"/>
    <w:uiPriority w:val="1"/>
    <w:qFormat/>
    <w:rsid w:val="00EE51CF"/>
    <w:pPr>
      <w:ind w:left="0" w:firstLine="0"/>
    </w:pPr>
    <w:rPr>
      <w:rFonts w:asciiTheme="minorHAnsi" w:hAnsiTheme="minorHAnsi"/>
      <w:sz w:val="22"/>
    </w:rPr>
  </w:style>
  <w:style w:type="numbering" w:customStyle="1" w:styleId="Bullets">
    <w:name w:val="Bullets"/>
    <w:uiPriority w:val="99"/>
    <w:rsid w:val="00CC47E4"/>
    <w:pPr>
      <w:numPr>
        <w:numId w:val="12"/>
      </w:numPr>
    </w:pPr>
  </w:style>
  <w:style w:type="table" w:customStyle="1" w:styleId="TableGrid1">
    <w:name w:val="Table Grid1"/>
    <w:basedOn w:val="TableNormal"/>
    <w:next w:val="TableGrid"/>
    <w:uiPriority w:val="39"/>
    <w:rsid w:val="006A6016"/>
    <w:pPr>
      <w:ind w:left="0" w:firstLine="0"/>
      <w:jc w:val="right"/>
    </w:pPr>
    <w:rPr>
      <w:rFonts w:ascii="Source Sans Pro" w:eastAsia="Source Sans Pro" w:hAnsi="Source Sans Pro"/>
      <w:sz w:val="22"/>
      <w:szCs w:val="22"/>
      <w:lang w:eastAsia="en-US"/>
    </w:rPr>
    <w:tblPr>
      <w:tblBorders>
        <w:insideH w:val="single" w:sz="4" w:space="0" w:color="DDD8D9"/>
      </w:tblBorders>
      <w:tblCellMar>
        <w:top w:w="68" w:type="dxa"/>
        <w:left w:w="85" w:type="dxa"/>
        <w:bottom w:w="68" w:type="dxa"/>
        <w:right w:w="85" w:type="dxa"/>
      </w:tblCellMar>
    </w:tblPr>
    <w:tcPr>
      <w:vAlign w:val="center"/>
    </w:tcPr>
    <w:tblStylePr w:type="firstRow">
      <w:rPr>
        <w:b/>
      </w:rPr>
      <w:tblPr/>
      <w:tcPr>
        <w:shd w:val="clear" w:color="auto" w:fill="DDD8D9"/>
      </w:tcPr>
    </w:tblStylePr>
    <w:tblStylePr w:type="lastRow">
      <w:tblPr/>
      <w:tcPr>
        <w:shd w:val="clear" w:color="auto" w:fill="DDD8D9"/>
      </w:tcPr>
    </w:tblStylePr>
    <w:tblStylePr w:type="firstCol">
      <w:pPr>
        <w:jc w:val="left"/>
      </w:pPr>
    </w:tblStylePr>
  </w:style>
  <w:style w:type="table" w:customStyle="1" w:styleId="CalloutA">
    <w:name w:val="Callout A"/>
    <w:basedOn w:val="TableNormal"/>
    <w:uiPriority w:val="99"/>
    <w:rsid w:val="006A6016"/>
    <w:pPr>
      <w:ind w:left="0" w:firstLine="0"/>
    </w:pPr>
    <w:rPr>
      <w:rFonts w:ascii="Source Sans Pro" w:eastAsia="Source Sans Pro" w:hAnsi="Source Sans Pro"/>
      <w:sz w:val="22"/>
      <w:szCs w:val="22"/>
      <w:lang w:eastAsia="en-US"/>
    </w:rPr>
    <w:tblPr>
      <w:tblCellMar>
        <w:top w:w="198" w:type="dxa"/>
        <w:left w:w="227" w:type="dxa"/>
        <w:bottom w:w="227" w:type="dxa"/>
        <w:right w:w="227" w:type="dxa"/>
      </w:tblCellMar>
    </w:tblPr>
    <w:tcPr>
      <w:shd w:val="clear" w:color="auto" w:fill="DDD8D9"/>
      <w:vAlign w:val="center"/>
    </w:tcPr>
  </w:style>
  <w:style w:type="table" w:customStyle="1" w:styleId="CalloutB">
    <w:name w:val="Callout B"/>
    <w:basedOn w:val="TableNormal"/>
    <w:uiPriority w:val="99"/>
    <w:rsid w:val="006A6016"/>
    <w:pPr>
      <w:ind w:left="0" w:firstLine="0"/>
    </w:pPr>
    <w:rPr>
      <w:rFonts w:ascii="Source Sans Pro" w:eastAsia="Source Sans Pro" w:hAnsi="Source Sans Pro"/>
      <w:sz w:val="22"/>
      <w:szCs w:val="22"/>
      <w:lang w:eastAsia="en-US"/>
    </w:rPr>
    <w:tblPr>
      <w:tblCellMar>
        <w:top w:w="198" w:type="dxa"/>
        <w:left w:w="227" w:type="dxa"/>
        <w:bottom w:w="227" w:type="dxa"/>
        <w:right w:w="227" w:type="dxa"/>
      </w:tblCellMar>
    </w:tblPr>
    <w:tcPr>
      <w:shd w:val="clear" w:color="auto" w:fill="ECDF64"/>
    </w:tcPr>
  </w:style>
  <w:style w:type="table" w:customStyle="1" w:styleId="CalloutC">
    <w:name w:val="Callout C"/>
    <w:basedOn w:val="TableNormal"/>
    <w:uiPriority w:val="99"/>
    <w:rsid w:val="006A6016"/>
    <w:pPr>
      <w:ind w:left="0" w:firstLine="0"/>
    </w:pPr>
    <w:rPr>
      <w:rFonts w:ascii="Source Sans Pro" w:eastAsia="Source Sans Pro" w:hAnsi="Source Sans Pro"/>
      <w:sz w:val="22"/>
      <w:szCs w:val="22"/>
      <w:lang w:eastAsia="en-US"/>
    </w:rPr>
    <w:tblPr>
      <w:tblCellMar>
        <w:left w:w="227" w:type="dxa"/>
        <w:right w:w="227" w:type="dxa"/>
      </w:tblCellMar>
    </w:tblPr>
    <w:tcPr>
      <w:vAlign w:val="center"/>
    </w:tcPr>
    <w:tblStylePr w:type="nwCell">
      <w:tblPr/>
      <w:tcPr>
        <w:shd w:val="clear" w:color="auto" w:fill="ECDF64"/>
      </w:tcPr>
    </w:tblStylePr>
    <w:tblStylePr w:type="swCell">
      <w:tblPr/>
      <w:tcPr>
        <w:shd w:val="clear" w:color="auto" w:fill="ECDF64"/>
      </w:tcPr>
    </w:tblStylePr>
  </w:style>
  <w:style w:type="table" w:customStyle="1" w:styleId="CalloutD">
    <w:name w:val="Callout D"/>
    <w:basedOn w:val="TableNormal"/>
    <w:uiPriority w:val="99"/>
    <w:rsid w:val="006A6016"/>
    <w:pPr>
      <w:ind w:left="0" w:firstLine="0"/>
    </w:pPr>
    <w:rPr>
      <w:rFonts w:ascii="Source Sans Pro" w:eastAsia="Source Sans Pro" w:hAnsi="Source Sans Pro"/>
      <w:sz w:val="22"/>
      <w:szCs w:val="22"/>
      <w:lang w:eastAsia="en-US"/>
    </w:rPr>
    <w:tblPr>
      <w:tblCellMar>
        <w:left w:w="227" w:type="dxa"/>
        <w:right w:w="227" w:type="dxa"/>
      </w:tblCellMar>
    </w:tblPr>
    <w:tcPr>
      <w:vAlign w:val="center"/>
    </w:tcPr>
    <w:tblStylePr w:type="nwCell">
      <w:tblPr/>
      <w:tcPr>
        <w:shd w:val="clear" w:color="auto" w:fill="DDD8D9"/>
      </w:tcPr>
    </w:tblStylePr>
    <w:tblStylePr w:type="swCell">
      <w:tblPr/>
      <w:tcPr>
        <w:shd w:val="clear" w:color="auto" w:fill="DDD8D9"/>
      </w:tcPr>
    </w:tblStylePr>
  </w:style>
  <w:style w:type="paragraph" w:styleId="ListBullet3">
    <w:name w:val="List Bullet 3"/>
    <w:basedOn w:val="Normal"/>
    <w:uiPriority w:val="99"/>
    <w:unhideWhenUsed/>
    <w:rsid w:val="00CC47E4"/>
    <w:pPr>
      <w:numPr>
        <w:ilvl w:val="2"/>
        <w:numId w:val="12"/>
      </w:numPr>
      <w:contextualSpacing/>
    </w:pPr>
    <w:rPr>
      <w:rFonts w:eastAsia="Source Sans Pro"/>
      <w:spacing w:val="1"/>
      <w:szCs w:val="22"/>
      <w:lang w:eastAsia="en-US"/>
    </w:rPr>
  </w:style>
  <w:style w:type="numbering" w:customStyle="1" w:styleId="TOC">
    <w:name w:val="TOC"/>
    <w:uiPriority w:val="99"/>
    <w:rsid w:val="002C2474"/>
    <w:pPr>
      <w:numPr>
        <w:numId w:val="13"/>
      </w:numPr>
    </w:pPr>
  </w:style>
  <w:style w:type="numbering" w:customStyle="1" w:styleId="Numbers">
    <w:name w:val="Numbers"/>
    <w:uiPriority w:val="99"/>
    <w:rsid w:val="00FD7074"/>
    <w:pPr>
      <w:numPr>
        <w:numId w:val="14"/>
      </w:numPr>
    </w:pPr>
  </w:style>
  <w:style w:type="paragraph" w:customStyle="1" w:styleId="TableNotes">
    <w:name w:val="Table Notes"/>
    <w:basedOn w:val="NoSpacing"/>
    <w:link w:val="TableNotesChar"/>
    <w:qFormat/>
    <w:rsid w:val="00551EC0"/>
    <w:pPr>
      <w:numPr>
        <w:numId w:val="17"/>
      </w:numPr>
      <w:spacing w:before="70" w:line="276" w:lineRule="auto"/>
      <w:contextualSpacing/>
    </w:pPr>
    <w:rPr>
      <w:rFonts w:ascii="Arial" w:eastAsiaTheme="minorHAnsi" w:hAnsi="Arial" w:cstheme="minorBidi"/>
      <w:spacing w:val="-1"/>
      <w:sz w:val="15"/>
      <w:szCs w:val="22"/>
      <w:lang w:eastAsia="en-US"/>
    </w:rPr>
  </w:style>
  <w:style w:type="numbering" w:customStyle="1" w:styleId="Notes">
    <w:name w:val="Notes"/>
    <w:uiPriority w:val="99"/>
    <w:rsid w:val="00BA5180"/>
    <w:pPr>
      <w:numPr>
        <w:numId w:val="15"/>
      </w:numPr>
    </w:pPr>
  </w:style>
  <w:style w:type="character" w:customStyle="1" w:styleId="TableNotesChar">
    <w:name w:val="Table Notes Char"/>
    <w:basedOn w:val="DefaultParagraphFont"/>
    <w:link w:val="TableNotes"/>
    <w:rsid w:val="00551EC0"/>
    <w:rPr>
      <w:rFonts w:eastAsiaTheme="minorHAnsi" w:cstheme="minorBidi"/>
      <w:spacing w:val="-1"/>
      <w:sz w:val="15"/>
      <w:szCs w:val="22"/>
      <w:lang w:eastAsia="en-US"/>
    </w:rPr>
  </w:style>
  <w:style w:type="paragraph" w:customStyle="1" w:styleId="CallouttextA">
    <w:name w:val="Callout text A"/>
    <w:basedOn w:val="Normal"/>
    <w:qFormat/>
    <w:rsid w:val="005C1740"/>
    <w:pPr>
      <w:pBdr>
        <w:top w:val="single" w:sz="4" w:space="10" w:color="F3DD6D" w:themeColor="accent2"/>
        <w:left w:val="single" w:sz="4" w:space="10" w:color="F3DD6D" w:themeColor="accent2"/>
        <w:bottom w:val="single" w:sz="4" w:space="10" w:color="F3DD6D" w:themeColor="accent2"/>
        <w:right w:val="single" w:sz="4" w:space="10" w:color="F3DD6D" w:themeColor="accent2"/>
      </w:pBdr>
      <w:shd w:val="clear" w:color="auto" w:fill="F3DD6D" w:themeFill="accent2"/>
      <w:ind w:left="227" w:right="227"/>
    </w:pPr>
    <w:rPr>
      <w:rFonts w:eastAsiaTheme="minorHAnsi" w:cstheme="minorBidi"/>
      <w:spacing w:val="1"/>
      <w:szCs w:val="22"/>
      <w:lang w:eastAsia="en-US"/>
    </w:rPr>
  </w:style>
  <w:style w:type="table" w:styleId="TableGrid10">
    <w:name w:val="Table Grid 1"/>
    <w:basedOn w:val="TableNormal"/>
    <w:uiPriority w:val="99"/>
    <w:semiHidden/>
    <w:unhideWhenUsed/>
    <w:rsid w:val="00B856CD"/>
    <w:pPr>
      <w:spacing w:after="120"/>
      <w:ind w:left="0" w:firstLine="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allouttextB">
    <w:name w:val="Callout text B"/>
    <w:basedOn w:val="CallouttextA"/>
    <w:qFormat/>
    <w:rsid w:val="005C1740"/>
    <w:pPr>
      <w:pBdr>
        <w:top w:val="single" w:sz="4" w:space="10" w:color="DDD8D9" w:themeColor="accent1"/>
        <w:left w:val="single" w:sz="4" w:space="10" w:color="DDD8D9" w:themeColor="accent1"/>
        <w:bottom w:val="single" w:sz="4" w:space="10" w:color="DDD8D9" w:themeColor="accent1"/>
        <w:right w:val="single" w:sz="4" w:space="10" w:color="DDD8D9" w:themeColor="accent1"/>
      </w:pBdr>
      <w:shd w:val="clear" w:color="auto" w:fill="DDD8D9" w:themeFill="accent1"/>
    </w:pPr>
  </w:style>
  <w:style w:type="paragraph" w:customStyle="1" w:styleId="CallouttextC">
    <w:name w:val="Callout text C"/>
    <w:basedOn w:val="CallouttextB"/>
    <w:rsid w:val="005C1740"/>
    <w:pPr>
      <w:pBdr>
        <w:top w:val="single" w:sz="36" w:space="10" w:color="DDD8D9" w:themeColor="accent1"/>
        <w:left w:val="single" w:sz="2" w:space="10" w:color="FFFFFF" w:themeColor="background1"/>
        <w:bottom w:val="single" w:sz="36" w:space="10" w:color="DDD8D9" w:themeColor="accent1"/>
        <w:right w:val="single" w:sz="2" w:space="10" w:color="FFFFFF" w:themeColor="background1"/>
      </w:pBdr>
      <w:shd w:val="clear" w:color="auto" w:fill="auto"/>
    </w:pPr>
  </w:style>
  <w:style w:type="paragraph" w:customStyle="1" w:styleId="CallouttextD">
    <w:name w:val="Callout text D"/>
    <w:basedOn w:val="CallouttextC"/>
    <w:rsid w:val="005C1740"/>
    <w:pPr>
      <w:pBdr>
        <w:top w:val="single" w:sz="36" w:space="10" w:color="F3DD6D" w:themeColor="accent2"/>
        <w:bottom w:val="single" w:sz="36" w:space="10" w:color="F3DD6D" w:themeColor="accent2"/>
      </w:pBdr>
    </w:pPr>
  </w:style>
  <w:style w:type="numbering" w:customStyle="1" w:styleId="IndentBullet">
    <w:name w:val="IndentBullet"/>
    <w:uiPriority w:val="99"/>
    <w:rsid w:val="00BA5180"/>
    <w:pPr>
      <w:numPr>
        <w:numId w:val="18"/>
      </w:numPr>
    </w:pPr>
  </w:style>
  <w:style w:type="character" w:customStyle="1" w:styleId="NoSpacingChar">
    <w:name w:val="No Spacing Char"/>
    <w:basedOn w:val="DefaultParagraphFont"/>
    <w:link w:val="NoSpacing"/>
    <w:uiPriority w:val="1"/>
    <w:rsid w:val="00B3033B"/>
    <w:rPr>
      <w:rFonts w:asciiTheme="minorHAnsi" w:hAnsiTheme="minorHAnsi"/>
      <w:sz w:val="22"/>
    </w:rPr>
  </w:style>
  <w:style w:type="paragraph" w:customStyle="1" w:styleId="Heading1-RightAligned">
    <w:name w:val="Heading 1 - Right Aligned"/>
    <w:basedOn w:val="Heading1"/>
    <w:qFormat/>
    <w:rsid w:val="00760880"/>
    <w:pPr>
      <w:jc w:val="right"/>
    </w:pPr>
    <w:rPr>
      <w:sz w:val="48"/>
    </w:rPr>
  </w:style>
  <w:style w:type="paragraph" w:styleId="NormalWeb">
    <w:name w:val="Normal (Web)"/>
    <w:basedOn w:val="Normal"/>
    <w:uiPriority w:val="99"/>
    <w:unhideWhenUsed/>
    <w:rsid w:val="00C24D76"/>
    <w:pPr>
      <w:spacing w:before="100" w:beforeAutospacing="1" w:after="100" w:afterAutospacing="1" w:line="259" w:lineRule="auto"/>
    </w:pPr>
    <w:rPr>
      <w:rFonts w:ascii="Times New Roman" w:eastAsia="Times New Roman" w:hAnsi="Times New Roman" w:cstheme="minorBidi"/>
      <w:szCs w:val="24"/>
      <w:lang w:eastAsia="en-AU"/>
    </w:rPr>
  </w:style>
  <w:style w:type="paragraph" w:customStyle="1" w:styleId="Instructiontext">
    <w:name w:val="Instruction text"/>
    <w:basedOn w:val="Normal"/>
    <w:next w:val="Normal"/>
    <w:uiPriority w:val="4"/>
    <w:qFormat/>
    <w:rsid w:val="00C24D76"/>
    <w:pPr>
      <w:spacing w:after="180" w:line="259" w:lineRule="auto"/>
    </w:pPr>
    <w:rPr>
      <w:rFonts w:eastAsiaTheme="minorHAnsi" w:cstheme="minorBidi"/>
      <w:i/>
      <w:color w:val="0070C0"/>
      <w:szCs w:val="22"/>
      <w:lang w:eastAsia="en-US"/>
    </w:rPr>
  </w:style>
  <w:style w:type="table" w:styleId="LightList-Accent1">
    <w:name w:val="Light List Accent 1"/>
    <w:basedOn w:val="TableNormal"/>
    <w:uiPriority w:val="61"/>
    <w:rsid w:val="00C24D76"/>
    <w:pPr>
      <w:ind w:left="0" w:firstLine="0"/>
    </w:pPr>
    <w:rPr>
      <w:rFonts w:ascii="Calibri" w:eastAsiaTheme="minorHAnsi" w:hAnsi="Calibri"/>
      <w:lang w:eastAsia="en-US"/>
    </w:rPr>
    <w:tblPr>
      <w:tblStyleRowBandSize w:val="1"/>
      <w:tblStyleColBandSize w:val="1"/>
      <w:tblBorders>
        <w:top w:val="single" w:sz="8" w:space="0" w:color="DDD8D9" w:themeColor="accent1"/>
        <w:left w:val="single" w:sz="8" w:space="0" w:color="DDD8D9" w:themeColor="accent1"/>
        <w:bottom w:val="single" w:sz="8" w:space="0" w:color="DDD8D9" w:themeColor="accent1"/>
        <w:right w:val="single" w:sz="8" w:space="0" w:color="DDD8D9" w:themeColor="accent1"/>
      </w:tblBorders>
    </w:tblPr>
    <w:tblStylePr w:type="firstRow">
      <w:pPr>
        <w:spacing w:before="0" w:after="0" w:line="240" w:lineRule="auto"/>
      </w:pPr>
      <w:rPr>
        <w:b/>
        <w:bCs/>
        <w:color w:val="FFFFFF" w:themeColor="background1"/>
      </w:rPr>
      <w:tblPr/>
      <w:tcPr>
        <w:shd w:val="clear" w:color="auto" w:fill="DDD8D9" w:themeFill="accent1"/>
      </w:tcPr>
    </w:tblStylePr>
    <w:tblStylePr w:type="lastRow">
      <w:pPr>
        <w:spacing w:before="0" w:after="0" w:line="240" w:lineRule="auto"/>
      </w:pPr>
      <w:rPr>
        <w:b/>
        <w:bCs/>
      </w:rPr>
      <w:tblPr/>
      <w:tcPr>
        <w:tcBorders>
          <w:top w:val="double" w:sz="6" w:space="0" w:color="DDD8D9" w:themeColor="accent1"/>
          <w:left w:val="single" w:sz="8" w:space="0" w:color="DDD8D9" w:themeColor="accent1"/>
          <w:bottom w:val="single" w:sz="8" w:space="0" w:color="DDD8D9" w:themeColor="accent1"/>
          <w:right w:val="single" w:sz="8" w:space="0" w:color="DDD8D9" w:themeColor="accent1"/>
        </w:tcBorders>
      </w:tcPr>
    </w:tblStylePr>
    <w:tblStylePr w:type="firstCol">
      <w:rPr>
        <w:b/>
        <w:bCs/>
      </w:rPr>
    </w:tblStylePr>
    <w:tblStylePr w:type="lastCol">
      <w:rPr>
        <w:b/>
        <w:bCs/>
      </w:rPr>
    </w:tblStylePr>
    <w:tblStylePr w:type="band1Vert">
      <w:tblPr/>
      <w:tcPr>
        <w:tcBorders>
          <w:top w:val="single" w:sz="8" w:space="0" w:color="DDD8D9" w:themeColor="accent1"/>
          <w:left w:val="single" w:sz="8" w:space="0" w:color="DDD8D9" w:themeColor="accent1"/>
          <w:bottom w:val="single" w:sz="8" w:space="0" w:color="DDD8D9" w:themeColor="accent1"/>
          <w:right w:val="single" w:sz="8" w:space="0" w:color="DDD8D9" w:themeColor="accent1"/>
        </w:tcBorders>
      </w:tcPr>
    </w:tblStylePr>
    <w:tblStylePr w:type="band1Horz">
      <w:tblPr/>
      <w:tcPr>
        <w:tcBorders>
          <w:top w:val="single" w:sz="8" w:space="0" w:color="DDD8D9" w:themeColor="accent1"/>
          <w:left w:val="single" w:sz="8" w:space="0" w:color="DDD8D9" w:themeColor="accent1"/>
          <w:bottom w:val="single" w:sz="8" w:space="0" w:color="DDD8D9" w:themeColor="accent1"/>
          <w:right w:val="single" w:sz="8" w:space="0" w:color="DDD8D9" w:themeColor="accent1"/>
        </w:tcBorders>
      </w:tcPr>
    </w:tblStylePr>
  </w:style>
  <w:style w:type="table" w:customStyle="1" w:styleId="OAICtable0">
    <w:name w:val="OAIC table"/>
    <w:basedOn w:val="TableNormal"/>
    <w:uiPriority w:val="99"/>
    <w:rsid w:val="00C24D76"/>
    <w:pPr>
      <w:ind w:left="0" w:firstLine="0"/>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tblStylePr w:type="firstRow">
      <w:pPr>
        <w:wordWrap/>
        <w:jc w:val="center"/>
      </w:pPr>
      <w:rPr>
        <w:b/>
      </w:rPr>
      <w:tblPr/>
      <w:tcPr>
        <w:shd w:val="clear" w:color="auto" w:fill="F2F2F2" w:themeFill="background1" w:themeFillShade="F2"/>
      </w:tcPr>
    </w:tblStylePr>
  </w:style>
  <w:style w:type="character" w:styleId="CommentReference">
    <w:name w:val="annotation reference"/>
    <w:basedOn w:val="DefaultParagraphFont"/>
    <w:uiPriority w:val="99"/>
    <w:unhideWhenUsed/>
    <w:rsid w:val="00C24D76"/>
    <w:rPr>
      <w:rFonts w:cs="Times New Roman"/>
      <w:sz w:val="16"/>
      <w:szCs w:val="16"/>
    </w:rPr>
  </w:style>
  <w:style w:type="paragraph" w:styleId="CommentText">
    <w:name w:val="annotation text"/>
    <w:basedOn w:val="Normal"/>
    <w:link w:val="CommentTextChar"/>
    <w:uiPriority w:val="99"/>
    <w:unhideWhenUsed/>
    <w:rsid w:val="00C24D76"/>
    <w:pPr>
      <w:spacing w:after="160" w:line="259" w:lineRule="auto"/>
    </w:pPr>
    <w:rPr>
      <w:rFonts w:eastAsiaTheme="minorHAnsi" w:cstheme="minorBidi"/>
      <w:sz w:val="20"/>
      <w:szCs w:val="22"/>
      <w:lang w:eastAsia="en-US"/>
    </w:rPr>
  </w:style>
  <w:style w:type="character" w:customStyle="1" w:styleId="CommentTextChar">
    <w:name w:val="Comment Text Char"/>
    <w:basedOn w:val="DefaultParagraphFont"/>
    <w:link w:val="CommentText"/>
    <w:uiPriority w:val="99"/>
    <w:rsid w:val="00C24D76"/>
    <w:rPr>
      <w:rFonts w:asciiTheme="minorHAnsi" w:eastAsiaTheme="minorHAnsi" w:hAnsiTheme="minorHAnsi" w:cstheme="minorBidi"/>
      <w:szCs w:val="22"/>
      <w:lang w:eastAsia="en-US"/>
    </w:rPr>
  </w:style>
  <w:style w:type="paragraph" w:styleId="CommentSubject">
    <w:name w:val="annotation subject"/>
    <w:basedOn w:val="CommentText"/>
    <w:next w:val="CommentText"/>
    <w:link w:val="CommentSubjectChar"/>
    <w:uiPriority w:val="99"/>
    <w:unhideWhenUsed/>
    <w:rsid w:val="00C24D76"/>
    <w:rPr>
      <w:b/>
      <w:bCs/>
    </w:rPr>
  </w:style>
  <w:style w:type="character" w:customStyle="1" w:styleId="CommentSubjectChar">
    <w:name w:val="Comment Subject Char"/>
    <w:basedOn w:val="CommentTextChar"/>
    <w:link w:val="CommentSubject"/>
    <w:uiPriority w:val="99"/>
    <w:rsid w:val="00C24D76"/>
    <w:rPr>
      <w:rFonts w:asciiTheme="minorHAnsi" w:eastAsiaTheme="minorHAnsi" w:hAnsiTheme="minorHAnsi" w:cstheme="minorBidi"/>
      <w:b/>
      <w:bCs/>
      <w:szCs w:val="22"/>
      <w:lang w:eastAsia="en-US"/>
    </w:rPr>
  </w:style>
  <w:style w:type="paragraph" w:customStyle="1" w:styleId="WPNormal">
    <w:name w:val="WP_Normal"/>
    <w:basedOn w:val="Normal"/>
    <w:rsid w:val="00C24D76"/>
    <w:pPr>
      <w:keepNext/>
      <w:keepLines/>
      <w:autoSpaceDE w:val="0"/>
      <w:autoSpaceDN w:val="0"/>
      <w:adjustRightInd w:val="0"/>
      <w:spacing w:after="0" w:line="259" w:lineRule="auto"/>
    </w:pPr>
    <w:rPr>
      <w:rFonts w:ascii="Monaco" w:eastAsiaTheme="minorHAnsi" w:hAnsi="Monaco" w:cstheme="minorBidi"/>
      <w:sz w:val="20"/>
      <w:szCs w:val="24"/>
      <w:lang w:val="en-US" w:eastAsia="en-US"/>
    </w:rPr>
  </w:style>
  <w:style w:type="character" w:styleId="Emphasis">
    <w:name w:val="Emphasis"/>
    <w:basedOn w:val="DefaultParagraphFont"/>
    <w:uiPriority w:val="20"/>
    <w:qFormat/>
    <w:rsid w:val="00C24D76"/>
    <w:rPr>
      <w:rFonts w:cs="Times New Roman"/>
      <w:i/>
      <w:iCs/>
    </w:rPr>
  </w:style>
  <w:style w:type="paragraph" w:customStyle="1" w:styleId="Default">
    <w:name w:val="Default"/>
    <w:rsid w:val="00C24D76"/>
    <w:pPr>
      <w:autoSpaceDE w:val="0"/>
      <w:autoSpaceDN w:val="0"/>
      <w:adjustRightInd w:val="0"/>
      <w:ind w:left="0" w:firstLine="0"/>
    </w:pPr>
    <w:rPr>
      <w:rFonts w:ascii="Times New Roman" w:eastAsia="Times New Roman" w:hAnsi="Times New Roman"/>
      <w:color w:val="000000"/>
      <w:sz w:val="24"/>
      <w:szCs w:val="24"/>
      <w:lang w:eastAsia="en-US"/>
    </w:rPr>
  </w:style>
  <w:style w:type="character" w:styleId="FollowedHyperlink">
    <w:name w:val="FollowedHyperlink"/>
    <w:basedOn w:val="DefaultParagraphFont"/>
    <w:uiPriority w:val="99"/>
    <w:unhideWhenUsed/>
    <w:rsid w:val="00C24D76"/>
    <w:rPr>
      <w:rFonts w:cs="Times New Roman"/>
      <w:color w:val="000000" w:themeColor="followedHyperlink"/>
      <w:u w:val="single"/>
    </w:rPr>
  </w:style>
  <w:style w:type="paragraph" w:styleId="Revision">
    <w:name w:val="Revision"/>
    <w:hidden/>
    <w:uiPriority w:val="99"/>
    <w:semiHidden/>
    <w:rsid w:val="00C24D76"/>
    <w:pPr>
      <w:ind w:left="0" w:firstLine="0"/>
    </w:pPr>
    <w:rPr>
      <w:rFonts w:ascii="Calibri" w:eastAsia="Times New Roman" w:hAnsi="Calibri"/>
      <w:sz w:val="24"/>
      <w:lang w:eastAsia="en-US"/>
    </w:rPr>
  </w:style>
  <w:style w:type="paragraph" w:customStyle="1" w:styleId="numberedpara1">
    <w:name w:val="numbered para 1"/>
    <w:basedOn w:val="Normal"/>
    <w:link w:val="numberedpara1Char"/>
    <w:qFormat/>
    <w:rsid w:val="00C24D76"/>
    <w:pPr>
      <w:numPr>
        <w:numId w:val="19"/>
      </w:numPr>
      <w:tabs>
        <w:tab w:val="left" w:pos="709"/>
      </w:tabs>
      <w:spacing w:after="160" w:line="259" w:lineRule="auto"/>
    </w:pPr>
    <w:rPr>
      <w:rFonts w:eastAsiaTheme="minorHAnsi" w:cstheme="minorBidi"/>
      <w:szCs w:val="22"/>
      <w:lang w:eastAsia="en-US"/>
    </w:rPr>
  </w:style>
  <w:style w:type="paragraph" w:customStyle="1" w:styleId="11paras">
    <w:name w:val="1.1 paras"/>
    <w:basedOn w:val="numberedpara1"/>
    <w:qFormat/>
    <w:rsid w:val="00C24D76"/>
    <w:pPr>
      <w:tabs>
        <w:tab w:val="left" w:pos="0"/>
      </w:tabs>
      <w:spacing w:before="120" w:after="120"/>
      <w:ind w:left="0" w:firstLine="0"/>
    </w:pPr>
  </w:style>
  <w:style w:type="paragraph" w:customStyle="1" w:styleId="21paras">
    <w:name w:val="2.1 paras"/>
    <w:basedOn w:val="ListParagraph"/>
    <w:rsid w:val="00C24D76"/>
    <w:pPr>
      <w:numPr>
        <w:numId w:val="20"/>
      </w:numPr>
      <w:tabs>
        <w:tab w:val="left" w:pos="709"/>
      </w:tabs>
      <w:spacing w:before="120" w:line="259" w:lineRule="auto"/>
      <w:contextualSpacing w:val="0"/>
    </w:pPr>
    <w:rPr>
      <w:rFonts w:eastAsiaTheme="minorHAnsi" w:cstheme="minorBidi"/>
      <w:szCs w:val="22"/>
      <w:lang w:eastAsia="en-US"/>
    </w:rPr>
  </w:style>
  <w:style w:type="paragraph" w:customStyle="1" w:styleId="51numbers">
    <w:name w:val="5.1 numbers"/>
    <w:basedOn w:val="ListParagraph"/>
    <w:qFormat/>
    <w:rsid w:val="00C24D76"/>
    <w:pPr>
      <w:numPr>
        <w:numId w:val="21"/>
      </w:numPr>
      <w:spacing w:before="120" w:line="259" w:lineRule="auto"/>
      <w:contextualSpacing w:val="0"/>
    </w:pPr>
    <w:rPr>
      <w:rFonts w:eastAsia="Times New Roman" w:cstheme="minorBidi"/>
      <w:szCs w:val="22"/>
      <w:lang w:eastAsia="en-US"/>
    </w:rPr>
  </w:style>
  <w:style w:type="paragraph" w:customStyle="1" w:styleId="21paragraphs">
    <w:name w:val="2.1 paragraphs"/>
    <w:basedOn w:val="21paras"/>
    <w:qFormat/>
    <w:rsid w:val="00910648"/>
    <w:pPr>
      <w:numPr>
        <w:numId w:val="13"/>
      </w:numPr>
      <w:tabs>
        <w:tab w:val="clear" w:pos="709"/>
        <w:tab w:val="left" w:pos="0"/>
      </w:tabs>
      <w:spacing w:line="240" w:lineRule="auto"/>
      <w:ind w:left="0" w:firstLine="0"/>
    </w:pPr>
    <w:rPr>
      <w:rFonts w:ascii="Calibri" w:eastAsia="Times New Roman" w:hAnsi="Calibri" w:cs="Times New Roman"/>
      <w:sz w:val="24"/>
      <w:szCs w:val="20"/>
    </w:rPr>
  </w:style>
  <w:style w:type="paragraph" w:customStyle="1" w:styleId="definition">
    <w:name w:val="definition"/>
    <w:basedOn w:val="Normal"/>
    <w:rsid w:val="00627076"/>
    <w:pPr>
      <w:spacing w:before="100" w:beforeAutospacing="1" w:after="100" w:afterAutospacing="1" w:line="259" w:lineRule="auto"/>
    </w:pPr>
    <w:rPr>
      <w:rFonts w:ascii="Times New Roman" w:eastAsia="Times New Roman" w:hAnsi="Times New Roman" w:cstheme="minorBidi"/>
      <w:szCs w:val="24"/>
      <w:lang w:eastAsia="en-AU"/>
    </w:rPr>
  </w:style>
  <w:style w:type="paragraph" w:customStyle="1" w:styleId="paragraph">
    <w:name w:val="paragraph"/>
    <w:basedOn w:val="Normal"/>
    <w:rsid w:val="00627076"/>
    <w:pPr>
      <w:spacing w:before="100" w:beforeAutospacing="1" w:after="100" w:afterAutospacing="1" w:line="259" w:lineRule="auto"/>
    </w:pPr>
    <w:rPr>
      <w:rFonts w:ascii="Times New Roman" w:eastAsia="Times New Roman" w:hAnsi="Times New Roman" w:cstheme="minorBidi"/>
      <w:szCs w:val="24"/>
      <w:lang w:eastAsia="en-AU"/>
    </w:rPr>
  </w:style>
  <w:style w:type="paragraph" w:customStyle="1" w:styleId="subsection2">
    <w:name w:val="subsection2"/>
    <w:basedOn w:val="Normal"/>
    <w:rsid w:val="00627076"/>
    <w:pPr>
      <w:spacing w:before="100" w:beforeAutospacing="1" w:after="100" w:afterAutospacing="1" w:line="259" w:lineRule="auto"/>
    </w:pPr>
    <w:rPr>
      <w:rFonts w:ascii="Times New Roman" w:eastAsia="Times New Roman" w:hAnsi="Times New Roman" w:cstheme="minorBidi"/>
      <w:szCs w:val="24"/>
      <w:lang w:eastAsia="en-AU"/>
    </w:rPr>
  </w:style>
  <w:style w:type="paragraph" w:customStyle="1" w:styleId="numberpara3">
    <w:name w:val="number para 3"/>
    <w:basedOn w:val="Normal"/>
    <w:qFormat/>
    <w:rsid w:val="00627076"/>
    <w:pPr>
      <w:spacing w:after="160" w:line="259" w:lineRule="auto"/>
    </w:pPr>
    <w:rPr>
      <w:rFonts w:eastAsiaTheme="minorHAnsi" w:cstheme="minorBidi"/>
      <w:szCs w:val="22"/>
      <w:lang w:eastAsia="en-US"/>
    </w:rPr>
  </w:style>
  <w:style w:type="paragraph" w:customStyle="1" w:styleId="61paras">
    <w:name w:val="6.1 paras"/>
    <w:basedOn w:val="numberpara3"/>
    <w:qFormat/>
    <w:rsid w:val="00627076"/>
    <w:pPr>
      <w:numPr>
        <w:numId w:val="24"/>
      </w:numPr>
      <w:spacing w:before="120" w:after="120"/>
      <w:ind w:left="0" w:firstLine="0"/>
    </w:pPr>
  </w:style>
  <w:style w:type="paragraph" w:customStyle="1" w:styleId="APPGuidelinenumbering">
    <w:name w:val="APP Guideline numbering"/>
    <w:basedOn w:val="ListParagraph"/>
    <w:qFormat/>
    <w:rsid w:val="00627076"/>
    <w:pPr>
      <w:numPr>
        <w:ilvl w:val="1"/>
        <w:numId w:val="25"/>
      </w:numPr>
      <w:tabs>
        <w:tab w:val="left" w:pos="709"/>
      </w:tabs>
      <w:spacing w:before="120" w:line="259" w:lineRule="auto"/>
      <w:ind w:left="0" w:firstLine="0"/>
      <w:contextualSpacing w:val="0"/>
    </w:pPr>
    <w:rPr>
      <w:rFonts w:eastAsiaTheme="minorHAnsi" w:cstheme="minorBidi"/>
      <w:szCs w:val="22"/>
      <w:lang w:val="en-GB" w:eastAsia="en-US"/>
    </w:rPr>
  </w:style>
  <w:style w:type="paragraph" w:customStyle="1" w:styleId="Numberedparagraph">
    <w:name w:val="Numbered paragraph"/>
    <w:basedOn w:val="Normal"/>
    <w:qFormat/>
    <w:rsid w:val="00627076"/>
    <w:pPr>
      <w:numPr>
        <w:numId w:val="26"/>
      </w:numPr>
      <w:spacing w:after="160" w:line="259" w:lineRule="auto"/>
      <w:ind w:left="0" w:firstLine="0"/>
    </w:pPr>
    <w:rPr>
      <w:rFonts w:eastAsiaTheme="minorHAnsi" w:cs="Calibri"/>
      <w:szCs w:val="24"/>
      <w:lang w:eastAsia="en-US"/>
    </w:rPr>
  </w:style>
  <w:style w:type="paragraph" w:customStyle="1" w:styleId="Numberpara13">
    <w:name w:val="Number para 13"/>
    <w:basedOn w:val="numberedpara1"/>
    <w:qFormat/>
    <w:rsid w:val="00627076"/>
    <w:pPr>
      <w:numPr>
        <w:numId w:val="27"/>
      </w:numPr>
      <w:spacing w:before="120"/>
    </w:pPr>
    <w:rPr>
      <w:rFonts w:eastAsia="Times New Roman"/>
      <w:lang w:bidi="en-US"/>
    </w:rPr>
  </w:style>
  <w:style w:type="paragraph" w:customStyle="1" w:styleId="Numberedpara7">
    <w:name w:val="Numbered para 7"/>
    <w:basedOn w:val="ListParagraph"/>
    <w:qFormat/>
    <w:rsid w:val="00627076"/>
    <w:pPr>
      <w:numPr>
        <w:numId w:val="28"/>
      </w:numPr>
      <w:tabs>
        <w:tab w:val="left" w:pos="709"/>
      </w:tabs>
      <w:spacing w:before="120" w:after="240" w:line="259" w:lineRule="auto"/>
      <w:contextualSpacing w:val="0"/>
    </w:pPr>
    <w:rPr>
      <w:rFonts w:eastAsiaTheme="minorHAnsi" w:cstheme="minorBidi"/>
      <w:szCs w:val="22"/>
      <w:lang w:eastAsia="en-US"/>
    </w:rPr>
  </w:style>
  <w:style w:type="paragraph" w:styleId="TOC5">
    <w:name w:val="toc 5"/>
    <w:basedOn w:val="Normal"/>
    <w:next w:val="Normal"/>
    <w:autoRedefine/>
    <w:uiPriority w:val="39"/>
    <w:unhideWhenUsed/>
    <w:rsid w:val="00627076"/>
    <w:pPr>
      <w:spacing w:after="100" w:line="259" w:lineRule="auto"/>
      <w:ind w:left="960"/>
    </w:pPr>
    <w:rPr>
      <w:rFonts w:eastAsiaTheme="minorHAnsi" w:cstheme="minorBidi"/>
      <w:szCs w:val="22"/>
      <w:lang w:eastAsia="en-US"/>
    </w:rPr>
  </w:style>
  <w:style w:type="character" w:styleId="UnresolvedMention">
    <w:name w:val="Unresolved Mention"/>
    <w:basedOn w:val="DefaultParagraphFont"/>
    <w:uiPriority w:val="99"/>
    <w:semiHidden/>
    <w:unhideWhenUsed/>
    <w:rsid w:val="00627076"/>
    <w:rPr>
      <w:color w:val="605E5C"/>
      <w:shd w:val="clear" w:color="auto" w:fill="E1DFDD"/>
    </w:rPr>
  </w:style>
  <w:style w:type="paragraph" w:customStyle="1" w:styleId="101numbering">
    <w:name w:val="10.1 numbering"/>
    <w:basedOn w:val="ListParagraph"/>
    <w:rsid w:val="00392295"/>
    <w:pPr>
      <w:numPr>
        <w:numId w:val="29"/>
      </w:numPr>
      <w:spacing w:before="120"/>
      <w:ind w:left="720"/>
      <w:contextualSpacing w:val="0"/>
    </w:pPr>
    <w:rPr>
      <w:rFonts w:ascii="Calibri" w:eastAsiaTheme="minorHAnsi" w:hAnsi="Calibri"/>
      <w:sz w:val="24"/>
      <w:lang w:eastAsia="en-US"/>
    </w:rPr>
  </w:style>
  <w:style w:type="paragraph" w:customStyle="1" w:styleId="101nums">
    <w:name w:val="10.1 nums"/>
    <w:basedOn w:val="Normal"/>
    <w:qFormat/>
    <w:rsid w:val="00392295"/>
    <w:pPr>
      <w:spacing w:before="120"/>
    </w:pPr>
    <w:rPr>
      <w:rFonts w:ascii="Calibri" w:eastAsiaTheme="minorHAnsi" w:hAnsi="Calibri"/>
      <w:sz w:val="24"/>
      <w:lang w:eastAsia="en-US"/>
      <w14:scene3d>
        <w14:camera w14:prst="orthographicFront"/>
        <w14:lightRig w14:rig="threePt" w14:dir="t">
          <w14:rot w14:lat="0" w14:lon="0" w14:rev="0"/>
        </w14:lightRig>
      </w14:scene3d>
    </w:rPr>
  </w:style>
  <w:style w:type="paragraph" w:styleId="HTMLPreformatted">
    <w:name w:val="HTML Preformatted"/>
    <w:basedOn w:val="Normal"/>
    <w:link w:val="HTMLPreformattedChar"/>
    <w:uiPriority w:val="99"/>
    <w:semiHidden/>
    <w:unhideWhenUsed/>
    <w:rsid w:val="00580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nsolas" w:eastAsia="Times New Roman" w:hAnsi="Consolas" w:cs="Consolas"/>
      <w:color w:val="000000"/>
      <w:sz w:val="20"/>
      <w:lang w:eastAsia="en-AU"/>
    </w:rPr>
  </w:style>
  <w:style w:type="character" w:customStyle="1" w:styleId="HTMLPreformattedChar">
    <w:name w:val="HTML Preformatted Char"/>
    <w:basedOn w:val="DefaultParagraphFont"/>
    <w:link w:val="HTMLPreformatted"/>
    <w:uiPriority w:val="99"/>
    <w:semiHidden/>
    <w:rsid w:val="005808E9"/>
    <w:rPr>
      <w:rFonts w:ascii="Consolas" w:eastAsia="Times New Roman" w:hAnsi="Consolas" w:cs="Consolas"/>
      <w:color w:val="000000"/>
      <w:lang w:eastAsia="en-AU"/>
    </w:rPr>
  </w:style>
  <w:style w:type="paragraph" w:customStyle="1" w:styleId="C1style">
    <w:name w:val="C.1 style"/>
    <w:basedOn w:val="ListParagraph"/>
    <w:qFormat/>
    <w:rsid w:val="005808E9"/>
    <w:pPr>
      <w:numPr>
        <w:numId w:val="30"/>
      </w:numPr>
      <w:spacing w:before="120"/>
      <w:contextualSpacing w:val="0"/>
    </w:pPr>
    <w:rPr>
      <w:rFonts w:ascii="Calibri" w:eastAsiaTheme="minorHAnsi" w:hAnsi="Calibri"/>
      <w:sz w:val="24"/>
      <w:lang w:eastAsia="en-US"/>
    </w:rPr>
  </w:style>
  <w:style w:type="paragraph" w:customStyle="1" w:styleId="121paras">
    <w:name w:val="12.1 paras"/>
    <w:basedOn w:val="numberedpara1"/>
    <w:qFormat/>
    <w:rsid w:val="005808E9"/>
    <w:pPr>
      <w:numPr>
        <w:numId w:val="22"/>
      </w:numPr>
      <w:spacing w:before="120" w:after="120" w:line="240" w:lineRule="auto"/>
      <w:ind w:left="0" w:firstLine="0"/>
    </w:pPr>
    <w:rPr>
      <w:rFonts w:ascii="Calibri" w:hAnsi="Calibri" w:cs="Times New Roman"/>
      <w:sz w:val="24"/>
      <w:szCs w:val="20"/>
    </w:rPr>
  </w:style>
  <w:style w:type="paragraph" w:customStyle="1" w:styleId="Pa4">
    <w:name w:val="Pa4"/>
    <w:basedOn w:val="Default"/>
    <w:next w:val="Default"/>
    <w:uiPriority w:val="99"/>
    <w:rsid w:val="005808E9"/>
    <w:pPr>
      <w:spacing w:line="241" w:lineRule="atLeast"/>
    </w:pPr>
    <w:rPr>
      <w:rFonts w:ascii="Calibri" w:eastAsiaTheme="minorHAnsi" w:hAnsi="Calibri"/>
      <w:color w:val="auto"/>
    </w:rPr>
  </w:style>
  <w:style w:type="character" w:customStyle="1" w:styleId="A4">
    <w:name w:val="A4"/>
    <w:uiPriority w:val="99"/>
    <w:rsid w:val="005808E9"/>
    <w:rPr>
      <w:rFonts w:cs="Calibri"/>
      <w:color w:val="000000"/>
    </w:rPr>
  </w:style>
  <w:style w:type="paragraph" w:styleId="EndnoteText">
    <w:name w:val="endnote text"/>
    <w:basedOn w:val="Normal"/>
    <w:link w:val="EndnoteTextChar"/>
    <w:uiPriority w:val="99"/>
    <w:unhideWhenUsed/>
    <w:rsid w:val="00381793"/>
    <w:pPr>
      <w:spacing w:before="60" w:after="60"/>
    </w:pPr>
    <w:rPr>
      <w:rFonts w:ascii="Calibri" w:eastAsiaTheme="minorHAnsi" w:hAnsi="Calibri"/>
      <w:sz w:val="20"/>
      <w:lang w:eastAsia="en-US"/>
    </w:rPr>
  </w:style>
  <w:style w:type="character" w:customStyle="1" w:styleId="EndnoteTextChar">
    <w:name w:val="Endnote Text Char"/>
    <w:basedOn w:val="DefaultParagraphFont"/>
    <w:link w:val="EndnoteText"/>
    <w:uiPriority w:val="99"/>
    <w:rsid w:val="00381793"/>
    <w:rPr>
      <w:rFonts w:ascii="Calibri" w:eastAsiaTheme="minorHAnsi" w:hAnsi="Calibri"/>
      <w:lang w:eastAsia="en-US"/>
    </w:rPr>
  </w:style>
  <w:style w:type="character" w:styleId="EndnoteReference">
    <w:name w:val="endnote reference"/>
    <w:basedOn w:val="DefaultParagraphFont"/>
    <w:uiPriority w:val="99"/>
    <w:unhideWhenUsed/>
    <w:rsid w:val="005808E9"/>
    <w:rPr>
      <w:vertAlign w:val="superscript"/>
    </w:rPr>
  </w:style>
  <w:style w:type="paragraph" w:customStyle="1" w:styleId="subsection">
    <w:name w:val="subsection"/>
    <w:aliases w:val="ss"/>
    <w:basedOn w:val="Normal"/>
    <w:link w:val="subsectionChar"/>
    <w:rsid w:val="003B0559"/>
    <w:pPr>
      <w:tabs>
        <w:tab w:val="right" w:pos="1021"/>
      </w:tabs>
      <w:spacing w:before="180" w:after="0"/>
      <w:ind w:left="1134" w:hanging="1134"/>
    </w:pPr>
    <w:rPr>
      <w:rFonts w:ascii="Times New Roman" w:eastAsia="Times New Roman" w:hAnsi="Times New Roman"/>
      <w:lang w:eastAsia="en-AU"/>
    </w:rPr>
  </w:style>
  <w:style w:type="character" w:customStyle="1" w:styleId="subsectionChar">
    <w:name w:val="subsection Char"/>
    <w:aliases w:val="ss Char"/>
    <w:link w:val="subsection"/>
    <w:rsid w:val="003B0559"/>
    <w:rPr>
      <w:rFonts w:ascii="Times New Roman" w:eastAsia="Times New Roman" w:hAnsi="Times New Roman"/>
      <w:sz w:val="22"/>
      <w:lang w:eastAsia="en-AU"/>
    </w:rPr>
  </w:style>
  <w:style w:type="character" w:styleId="HTMLDefinition">
    <w:name w:val="HTML Definition"/>
    <w:basedOn w:val="DefaultParagraphFont"/>
    <w:uiPriority w:val="99"/>
    <w:semiHidden/>
    <w:unhideWhenUsed/>
    <w:rsid w:val="003B0559"/>
    <w:rPr>
      <w:i/>
      <w:iCs/>
    </w:rPr>
  </w:style>
  <w:style w:type="paragraph" w:customStyle="1" w:styleId="101">
    <w:name w:val="10.1"/>
    <w:basedOn w:val="Normal"/>
    <w:rsid w:val="003B0559"/>
    <w:pPr>
      <w:spacing w:before="120"/>
      <w:ind w:left="1080" w:hanging="360"/>
    </w:pPr>
    <w:rPr>
      <w:rFonts w:ascii="Calibri" w:eastAsiaTheme="minorHAnsi" w:hAnsi="Calibri"/>
      <w:sz w:val="24"/>
      <w:lang w:eastAsia="en-US"/>
    </w:rPr>
  </w:style>
  <w:style w:type="paragraph" w:customStyle="1" w:styleId="Numberedpara10">
    <w:name w:val="Numbered para 1"/>
    <w:basedOn w:val="ListParagraph"/>
    <w:rsid w:val="003B0559"/>
    <w:pPr>
      <w:numPr>
        <w:numId w:val="31"/>
      </w:numPr>
      <w:tabs>
        <w:tab w:val="left" w:pos="709"/>
      </w:tabs>
      <w:spacing w:before="120" w:after="240"/>
      <w:contextualSpacing w:val="0"/>
    </w:pPr>
    <w:rPr>
      <w:rFonts w:ascii="Calibri" w:eastAsia="Times New Roman" w:hAnsi="Calibri"/>
      <w:sz w:val="24"/>
      <w:szCs w:val="22"/>
      <w:lang w:val="en-US" w:eastAsia="en-US" w:bidi="en-US"/>
    </w:rPr>
  </w:style>
  <w:style w:type="paragraph" w:customStyle="1" w:styleId="chunk">
    <w:name w:val="chunk"/>
    <w:basedOn w:val="Normal"/>
    <w:rsid w:val="003B0559"/>
    <w:pPr>
      <w:spacing w:after="0"/>
    </w:pPr>
    <w:rPr>
      <w:rFonts w:ascii="Times New Roman" w:eastAsia="Times New Roman" w:hAnsi="Times New Roman"/>
      <w:sz w:val="24"/>
      <w:szCs w:val="24"/>
      <w:lang w:eastAsia="en-AU"/>
    </w:rPr>
  </w:style>
  <w:style w:type="paragraph" w:customStyle="1" w:styleId="def">
    <w:name w:val="def"/>
    <w:basedOn w:val="Normal"/>
    <w:rsid w:val="003B0559"/>
    <w:pPr>
      <w:spacing w:after="0"/>
    </w:pPr>
    <w:rPr>
      <w:rFonts w:ascii="Times New Roman" w:eastAsia="Times New Roman" w:hAnsi="Times New Roman"/>
      <w:sz w:val="24"/>
      <w:szCs w:val="24"/>
      <w:lang w:eastAsia="en-AU"/>
    </w:rPr>
  </w:style>
  <w:style w:type="character" w:styleId="HTMLCite">
    <w:name w:val="HTML Cite"/>
    <w:basedOn w:val="DefaultParagraphFont"/>
    <w:uiPriority w:val="99"/>
    <w:unhideWhenUsed/>
    <w:rsid w:val="003B0559"/>
    <w:rPr>
      <w:i/>
      <w:iCs/>
    </w:rPr>
  </w:style>
  <w:style w:type="paragraph" w:styleId="BodyText">
    <w:name w:val="Body Text"/>
    <w:basedOn w:val="Normal"/>
    <w:link w:val="BodyTextChar"/>
    <w:uiPriority w:val="99"/>
    <w:qFormat/>
    <w:rsid w:val="00990AED"/>
    <w:pPr>
      <w:widowControl w:val="0"/>
      <w:spacing w:after="0"/>
      <w:ind w:left="140"/>
    </w:pPr>
    <w:rPr>
      <w:rFonts w:ascii="Calibri" w:eastAsia="Calibri" w:hAnsi="Calibri" w:cstheme="minorBidi"/>
      <w:sz w:val="24"/>
      <w:szCs w:val="24"/>
      <w:lang w:val="en-US" w:eastAsia="en-US"/>
    </w:rPr>
  </w:style>
  <w:style w:type="character" w:customStyle="1" w:styleId="BodyTextChar">
    <w:name w:val="Body Text Char"/>
    <w:basedOn w:val="DefaultParagraphFont"/>
    <w:link w:val="BodyText"/>
    <w:uiPriority w:val="99"/>
    <w:rsid w:val="00990AED"/>
    <w:rPr>
      <w:rFonts w:ascii="Calibri" w:eastAsia="Calibri" w:hAnsi="Calibri" w:cstheme="minorBidi"/>
      <w:sz w:val="24"/>
      <w:szCs w:val="24"/>
      <w:lang w:val="en-US" w:eastAsia="en-US"/>
    </w:rPr>
  </w:style>
  <w:style w:type="paragraph" w:customStyle="1" w:styleId="TableParagraph">
    <w:name w:val="Table Paragraph"/>
    <w:basedOn w:val="Normal"/>
    <w:uiPriority w:val="1"/>
    <w:qFormat/>
    <w:rsid w:val="00990AED"/>
    <w:pPr>
      <w:widowControl w:val="0"/>
      <w:spacing w:after="0"/>
    </w:pPr>
    <w:rPr>
      <w:rFonts w:eastAsiaTheme="minorHAnsi" w:cstheme="minorBidi"/>
      <w:szCs w:val="22"/>
      <w:lang w:val="en-US" w:eastAsia="en-US"/>
    </w:rPr>
  </w:style>
  <w:style w:type="character" w:styleId="HTMLAcronym">
    <w:name w:val="HTML Acronym"/>
    <w:basedOn w:val="DefaultParagraphFont"/>
    <w:uiPriority w:val="99"/>
    <w:semiHidden/>
    <w:unhideWhenUsed/>
    <w:rsid w:val="00990AED"/>
  </w:style>
  <w:style w:type="paragraph" w:customStyle="1" w:styleId="PARAZ">
    <w:name w:val="PARAZ"/>
    <w:basedOn w:val="BodyText"/>
    <w:link w:val="PARAZChar"/>
    <w:uiPriority w:val="1"/>
    <w:qFormat/>
    <w:rsid w:val="00990AED"/>
    <w:pPr>
      <w:numPr>
        <w:ilvl w:val="1"/>
        <w:numId w:val="32"/>
      </w:numPr>
      <w:tabs>
        <w:tab w:val="left" w:pos="848"/>
      </w:tabs>
      <w:spacing w:before="179"/>
      <w:ind w:right="523" w:firstLine="0"/>
    </w:pPr>
  </w:style>
  <w:style w:type="character" w:customStyle="1" w:styleId="PARAZChar">
    <w:name w:val="PARAZ Char"/>
    <w:basedOn w:val="BodyTextChar"/>
    <w:link w:val="PARAZ"/>
    <w:uiPriority w:val="1"/>
    <w:rsid w:val="00990AED"/>
    <w:rPr>
      <w:rFonts w:ascii="Calibri" w:eastAsia="Calibri" w:hAnsi="Calibri" w:cstheme="minorBidi"/>
      <w:sz w:val="24"/>
      <w:szCs w:val="24"/>
      <w:lang w:val="en-US" w:eastAsia="en-US"/>
    </w:rPr>
  </w:style>
  <w:style w:type="paragraph" w:customStyle="1" w:styleId="acthead5">
    <w:name w:val="acthead5"/>
    <w:basedOn w:val="Normal"/>
    <w:rsid w:val="00990AED"/>
    <w:pPr>
      <w:spacing w:before="100" w:beforeAutospacing="1" w:after="100" w:afterAutospacing="1"/>
    </w:pPr>
    <w:rPr>
      <w:rFonts w:ascii="Times New Roman" w:eastAsia="Times New Roman" w:hAnsi="Times New Roman"/>
      <w:sz w:val="24"/>
      <w:szCs w:val="24"/>
      <w:lang w:eastAsia="en-AU"/>
    </w:rPr>
  </w:style>
  <w:style w:type="character" w:customStyle="1" w:styleId="charsectno">
    <w:name w:val="charsectno"/>
    <w:basedOn w:val="DefaultParagraphFont"/>
    <w:rsid w:val="00990AED"/>
  </w:style>
  <w:style w:type="paragraph" w:customStyle="1" w:styleId="subsectionhead">
    <w:name w:val="subsectionhead"/>
    <w:basedOn w:val="Normal"/>
    <w:rsid w:val="00990AED"/>
    <w:pPr>
      <w:spacing w:before="100" w:beforeAutospacing="1" w:after="100" w:afterAutospacing="1"/>
    </w:pPr>
    <w:rPr>
      <w:rFonts w:ascii="Times New Roman" w:eastAsia="Times New Roman" w:hAnsi="Times New Roman"/>
      <w:sz w:val="24"/>
      <w:szCs w:val="24"/>
      <w:lang w:eastAsia="en-AU"/>
    </w:rPr>
  </w:style>
  <w:style w:type="paragraph" w:customStyle="1" w:styleId="notetext">
    <w:name w:val="notetext"/>
    <w:basedOn w:val="Normal"/>
    <w:rsid w:val="00990AED"/>
    <w:pPr>
      <w:spacing w:before="100" w:beforeAutospacing="1" w:after="100" w:afterAutospacing="1"/>
    </w:pPr>
    <w:rPr>
      <w:rFonts w:ascii="Times New Roman" w:eastAsia="Times New Roman" w:hAnsi="Times New Roman"/>
      <w:sz w:val="24"/>
      <w:szCs w:val="24"/>
      <w:lang w:eastAsia="en-AU"/>
    </w:rPr>
  </w:style>
  <w:style w:type="paragraph" w:customStyle="1" w:styleId="acthead3">
    <w:name w:val="acthead3"/>
    <w:basedOn w:val="Normal"/>
    <w:rsid w:val="00990AED"/>
    <w:pPr>
      <w:spacing w:before="100" w:beforeAutospacing="1" w:after="100" w:afterAutospacing="1"/>
    </w:pPr>
    <w:rPr>
      <w:rFonts w:ascii="Times New Roman" w:eastAsia="Times New Roman" w:hAnsi="Times New Roman"/>
      <w:sz w:val="24"/>
      <w:szCs w:val="24"/>
      <w:lang w:eastAsia="en-AU"/>
    </w:rPr>
  </w:style>
  <w:style w:type="character" w:customStyle="1" w:styleId="chardivno">
    <w:name w:val="chardivno"/>
    <w:basedOn w:val="DefaultParagraphFont"/>
    <w:rsid w:val="00990AED"/>
  </w:style>
  <w:style w:type="character" w:customStyle="1" w:styleId="chardivtext">
    <w:name w:val="chardivtext"/>
    <w:basedOn w:val="DefaultParagraphFont"/>
    <w:rsid w:val="00990AED"/>
  </w:style>
  <w:style w:type="paragraph" w:customStyle="1" w:styleId="CA">
    <w:name w:val="CA"/>
    <w:basedOn w:val="ListParagraph"/>
    <w:link w:val="CAChar"/>
    <w:uiPriority w:val="1"/>
    <w:qFormat/>
    <w:rsid w:val="00990AED"/>
    <w:pPr>
      <w:widowControl w:val="0"/>
      <w:numPr>
        <w:ilvl w:val="1"/>
        <w:numId w:val="33"/>
      </w:numPr>
      <w:tabs>
        <w:tab w:val="left" w:pos="567"/>
        <w:tab w:val="left" w:pos="851"/>
      </w:tabs>
      <w:spacing w:before="2" w:after="0"/>
      <w:contextualSpacing w:val="0"/>
    </w:pPr>
    <w:rPr>
      <w:rFonts w:eastAsia="Calibri" w:cs="Calibri"/>
      <w:sz w:val="24"/>
      <w:szCs w:val="24"/>
      <w:lang w:val="en-US" w:eastAsia="en-US"/>
    </w:rPr>
  </w:style>
  <w:style w:type="paragraph" w:customStyle="1" w:styleId="aaaa">
    <w:name w:val="aaaa"/>
    <w:basedOn w:val="CA"/>
    <w:link w:val="aaaaChar"/>
    <w:uiPriority w:val="1"/>
    <w:qFormat/>
    <w:rsid w:val="00990AED"/>
    <w:pPr>
      <w:tabs>
        <w:tab w:val="clear" w:pos="567"/>
        <w:tab w:val="left" w:pos="709"/>
      </w:tabs>
      <w:ind w:left="709" w:hanging="567"/>
    </w:pPr>
  </w:style>
  <w:style w:type="character" w:customStyle="1" w:styleId="ListParagraphChar">
    <w:name w:val="List Paragraph Char"/>
    <w:aliases w:val="Bullet Char"/>
    <w:basedOn w:val="DefaultParagraphFont"/>
    <w:link w:val="ListParagraph"/>
    <w:uiPriority w:val="34"/>
    <w:rsid w:val="00990AED"/>
    <w:rPr>
      <w:rFonts w:asciiTheme="minorHAnsi" w:hAnsiTheme="minorHAnsi"/>
      <w:sz w:val="22"/>
    </w:rPr>
  </w:style>
  <w:style w:type="character" w:customStyle="1" w:styleId="CAChar">
    <w:name w:val="CA Char"/>
    <w:basedOn w:val="ListParagraphChar"/>
    <w:link w:val="CA"/>
    <w:uiPriority w:val="1"/>
    <w:rsid w:val="00990AED"/>
    <w:rPr>
      <w:rFonts w:asciiTheme="minorHAnsi" w:eastAsia="Calibri" w:hAnsiTheme="minorHAnsi" w:cs="Calibri"/>
      <w:sz w:val="24"/>
      <w:szCs w:val="24"/>
      <w:lang w:val="en-US" w:eastAsia="en-US"/>
    </w:rPr>
  </w:style>
  <w:style w:type="character" w:customStyle="1" w:styleId="aaaaChar">
    <w:name w:val="aaaa Char"/>
    <w:basedOn w:val="CAChar"/>
    <w:link w:val="aaaa"/>
    <w:uiPriority w:val="1"/>
    <w:rsid w:val="00990AED"/>
    <w:rPr>
      <w:rFonts w:asciiTheme="minorHAnsi" w:eastAsia="Calibri" w:hAnsiTheme="minorHAnsi" w:cs="Calibri"/>
      <w:sz w:val="24"/>
      <w:szCs w:val="24"/>
      <w:lang w:val="en-US" w:eastAsia="en-US"/>
    </w:rPr>
  </w:style>
  <w:style w:type="character" w:customStyle="1" w:styleId="wffiletext">
    <w:name w:val="wf_file_text"/>
    <w:basedOn w:val="DefaultParagraphFont"/>
    <w:rsid w:val="00990AED"/>
  </w:style>
  <w:style w:type="character" w:customStyle="1" w:styleId="wffilesize1">
    <w:name w:val="wf_file_size1"/>
    <w:basedOn w:val="DefaultParagraphFont"/>
    <w:rsid w:val="00990AED"/>
    <w:rPr>
      <w:sz w:val="18"/>
      <w:szCs w:val="18"/>
    </w:rPr>
  </w:style>
  <w:style w:type="paragraph" w:customStyle="1" w:styleId="UZE">
    <w:name w:val="UZE"/>
    <w:basedOn w:val="PARAZ"/>
    <w:link w:val="UZEChar"/>
    <w:uiPriority w:val="1"/>
    <w:qFormat/>
    <w:rsid w:val="00990AED"/>
    <w:pPr>
      <w:spacing w:before="240"/>
    </w:pPr>
  </w:style>
  <w:style w:type="paragraph" w:customStyle="1" w:styleId="abulet">
    <w:name w:val="abulet"/>
    <w:basedOn w:val="BodyText"/>
    <w:link w:val="abuletChar"/>
    <w:uiPriority w:val="1"/>
    <w:qFormat/>
    <w:rsid w:val="00990AED"/>
    <w:pPr>
      <w:numPr>
        <w:ilvl w:val="2"/>
        <w:numId w:val="32"/>
      </w:numPr>
      <w:tabs>
        <w:tab w:val="left" w:pos="707"/>
      </w:tabs>
      <w:ind w:left="706" w:right="223"/>
    </w:pPr>
  </w:style>
  <w:style w:type="character" w:customStyle="1" w:styleId="UZEChar">
    <w:name w:val="UZE Char"/>
    <w:basedOn w:val="PARAZChar"/>
    <w:link w:val="UZE"/>
    <w:uiPriority w:val="1"/>
    <w:rsid w:val="00990AED"/>
    <w:rPr>
      <w:rFonts w:ascii="Calibri" w:eastAsia="Calibri" w:hAnsi="Calibri" w:cstheme="minorBidi"/>
      <w:sz w:val="24"/>
      <w:szCs w:val="24"/>
      <w:lang w:val="en-US" w:eastAsia="en-US"/>
    </w:rPr>
  </w:style>
  <w:style w:type="character" w:customStyle="1" w:styleId="abuletChar">
    <w:name w:val="abulet Char"/>
    <w:basedOn w:val="BodyTextChar"/>
    <w:link w:val="abulet"/>
    <w:uiPriority w:val="1"/>
    <w:rsid w:val="00990AED"/>
    <w:rPr>
      <w:rFonts w:ascii="Calibri" w:eastAsia="Calibri" w:hAnsi="Calibri" w:cstheme="minorBidi"/>
      <w:sz w:val="24"/>
      <w:szCs w:val="24"/>
      <w:lang w:val="en-US" w:eastAsia="en-US"/>
    </w:rPr>
  </w:style>
  <w:style w:type="character" w:customStyle="1" w:styleId="h1">
    <w:name w:val="h1"/>
    <w:basedOn w:val="DefaultParagraphFont"/>
    <w:rsid w:val="00990AED"/>
  </w:style>
  <w:style w:type="paragraph" w:customStyle="1" w:styleId="aaaa1">
    <w:name w:val="aaaa1"/>
    <w:basedOn w:val="Normal"/>
    <w:link w:val="aaaa1Char"/>
    <w:uiPriority w:val="1"/>
    <w:qFormat/>
    <w:rsid w:val="00990AED"/>
    <w:pPr>
      <w:widowControl w:val="0"/>
      <w:spacing w:before="81" w:after="0" w:line="634" w:lineRule="exact"/>
      <w:ind w:left="100"/>
    </w:pPr>
    <w:rPr>
      <w:rFonts w:ascii="Calibri" w:eastAsia="Calibri" w:hAnsi="Calibri" w:cs="Calibri"/>
      <w:b/>
      <w:bCs/>
      <w:spacing w:val="4"/>
      <w:sz w:val="52"/>
      <w:szCs w:val="52"/>
      <w:lang w:val="en-US" w:eastAsia="en-US"/>
    </w:rPr>
  </w:style>
  <w:style w:type="character" w:customStyle="1" w:styleId="aaaa1Char">
    <w:name w:val="aaaa1 Char"/>
    <w:basedOn w:val="DefaultParagraphFont"/>
    <w:link w:val="aaaa1"/>
    <w:uiPriority w:val="1"/>
    <w:rsid w:val="00990AED"/>
    <w:rPr>
      <w:rFonts w:ascii="Calibri" w:eastAsia="Calibri" w:hAnsi="Calibri" w:cs="Calibri"/>
      <w:b/>
      <w:bCs/>
      <w:spacing w:val="4"/>
      <w:sz w:val="52"/>
      <w:szCs w:val="52"/>
      <w:lang w:val="en-US" w:eastAsia="en-US"/>
    </w:rPr>
  </w:style>
  <w:style w:type="paragraph" w:customStyle="1" w:styleId="paragraphsub">
    <w:name w:val="paragraphsub"/>
    <w:basedOn w:val="Normal"/>
    <w:rsid w:val="00990AED"/>
    <w:pPr>
      <w:spacing w:before="100" w:beforeAutospacing="1" w:after="100" w:afterAutospacing="1"/>
    </w:pPr>
    <w:rPr>
      <w:rFonts w:ascii="Times New Roman" w:eastAsia="Times New Roman" w:hAnsi="Times New Roman"/>
      <w:sz w:val="24"/>
      <w:szCs w:val="24"/>
      <w:lang w:eastAsia="en-AU"/>
    </w:rPr>
  </w:style>
  <w:style w:type="table" w:styleId="GridTable5Dark">
    <w:name w:val="Grid Table 5 Dark"/>
    <w:basedOn w:val="TableNormal"/>
    <w:uiPriority w:val="50"/>
    <w:rsid w:val="0011183E"/>
    <w:pPr>
      <w:ind w:left="0" w:firstLine="0"/>
    </w:pPr>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customStyle="1" w:styleId="apple-converted-space">
    <w:name w:val="apple-converted-space"/>
    <w:basedOn w:val="DefaultParagraphFont"/>
    <w:rsid w:val="0011183E"/>
  </w:style>
  <w:style w:type="table" w:customStyle="1" w:styleId="GridTable5Dark1">
    <w:name w:val="Grid Table 5 Dark1"/>
    <w:basedOn w:val="TableNormal"/>
    <w:uiPriority w:val="50"/>
    <w:rsid w:val="0011183E"/>
    <w:pPr>
      <w:ind w:left="0" w:firstLine="0"/>
    </w:pPr>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BlockText">
    <w:name w:val="Block Text"/>
    <w:basedOn w:val="Normal"/>
    <w:uiPriority w:val="99"/>
    <w:unhideWhenUsed/>
    <w:rsid w:val="00C20488"/>
    <w:pPr>
      <w:spacing w:before="240" w:after="240"/>
      <w:ind w:left="1134" w:right="567"/>
    </w:pPr>
  </w:style>
  <w:style w:type="paragraph" w:customStyle="1" w:styleId="Quotes">
    <w:name w:val="Quotes"/>
    <w:basedOn w:val="Normal"/>
    <w:qFormat/>
    <w:rsid w:val="00974F7E"/>
    <w:pPr>
      <w:spacing w:before="120" w:after="240"/>
      <w:ind w:left="709"/>
    </w:pPr>
    <w:rPr>
      <w:rFonts w:ascii="Calibri" w:eastAsia="Times New Roman" w:hAnsi="Calibri"/>
      <w:szCs w:val="24"/>
      <w:lang w:eastAsia="en-AU"/>
    </w:rPr>
  </w:style>
  <w:style w:type="paragraph" w:customStyle="1" w:styleId="letterlists">
    <w:name w:val="letter lists"/>
    <w:basedOn w:val="ListParagraph"/>
    <w:qFormat/>
    <w:rsid w:val="00974F7E"/>
    <w:pPr>
      <w:spacing w:before="120"/>
      <w:ind w:left="1440" w:hanging="360"/>
      <w:contextualSpacing w:val="0"/>
    </w:pPr>
    <w:rPr>
      <w:rFonts w:ascii="Calibri" w:eastAsia="Times New Roman" w:hAnsi="Calibri"/>
      <w:sz w:val="24"/>
      <w:szCs w:val="24"/>
      <w:lang w:eastAsia="en-AU"/>
    </w:rPr>
  </w:style>
  <w:style w:type="paragraph" w:customStyle="1" w:styleId="Copyrightpage">
    <w:name w:val="Copyright page"/>
    <w:basedOn w:val="Normal"/>
    <w:qFormat/>
    <w:rsid w:val="00974F7E"/>
    <w:pPr>
      <w:spacing w:after="200"/>
    </w:pPr>
    <w:rPr>
      <w:rFonts w:ascii="Calibri" w:eastAsia="Times New Roman" w:hAnsi="Calibri"/>
      <w:sz w:val="20"/>
      <w:lang w:eastAsia="en-US"/>
    </w:rPr>
  </w:style>
  <w:style w:type="paragraph" w:customStyle="1" w:styleId="numberedpara6">
    <w:name w:val="numbered para 6"/>
    <w:basedOn w:val="ListParagraph"/>
    <w:link w:val="numberedpara6Char"/>
    <w:qFormat/>
    <w:rsid w:val="00974F7E"/>
    <w:pPr>
      <w:tabs>
        <w:tab w:val="left" w:pos="709"/>
      </w:tabs>
      <w:spacing w:before="120" w:after="240"/>
      <w:ind w:left="0"/>
      <w:contextualSpacing w:val="0"/>
    </w:pPr>
    <w:rPr>
      <w:rFonts w:ascii="Calibri" w:eastAsia="Times New Roman" w:hAnsi="Calibri"/>
      <w:sz w:val="24"/>
      <w:szCs w:val="24"/>
      <w:lang w:eastAsia="en-AU"/>
    </w:rPr>
  </w:style>
  <w:style w:type="character" w:customStyle="1" w:styleId="numberedpara6Char">
    <w:name w:val="numbered para 6 Char"/>
    <w:link w:val="numberedpara6"/>
    <w:locked/>
    <w:rsid w:val="00974F7E"/>
    <w:rPr>
      <w:rFonts w:ascii="Calibri" w:eastAsia="Times New Roman" w:hAnsi="Calibri"/>
      <w:sz w:val="24"/>
      <w:szCs w:val="24"/>
      <w:lang w:eastAsia="en-AU"/>
    </w:rPr>
  </w:style>
  <w:style w:type="paragraph" w:customStyle="1" w:styleId="Consultationquestions">
    <w:name w:val="Consultation questions"/>
    <w:basedOn w:val="Normal"/>
    <w:qFormat/>
    <w:rsid w:val="00974F7E"/>
    <w:pPr>
      <w:pBdr>
        <w:top w:val="single" w:sz="4" w:space="5" w:color="002060"/>
        <w:left w:val="single" w:sz="4" w:space="4" w:color="002060"/>
        <w:bottom w:val="single" w:sz="4" w:space="12" w:color="002060"/>
        <w:right w:val="single" w:sz="4" w:space="4" w:color="002060"/>
      </w:pBdr>
    </w:pPr>
    <w:rPr>
      <w:rFonts w:ascii="Calibri" w:eastAsia="Times New Roman" w:hAnsi="Calibri"/>
      <w:color w:val="002060"/>
      <w:sz w:val="24"/>
      <w:lang w:eastAsia="en-US"/>
    </w:rPr>
  </w:style>
  <w:style w:type="paragraph" w:customStyle="1" w:styleId="Style1">
    <w:name w:val="Style1"/>
    <w:basedOn w:val="Normal"/>
    <w:autoRedefine/>
    <w:qFormat/>
    <w:rsid w:val="00974F7E"/>
    <w:pPr>
      <w:keepNext/>
      <w:keepLines/>
      <w:spacing w:before="360" w:after="240"/>
    </w:pPr>
    <w:rPr>
      <w:rFonts w:ascii="Calibri" w:eastAsia="Times New Roman" w:hAnsi="Calibri"/>
      <w:b/>
      <w:sz w:val="28"/>
      <w:szCs w:val="24"/>
      <w:lang w:eastAsia="en-AU"/>
    </w:rPr>
  </w:style>
  <w:style w:type="character" w:customStyle="1" w:styleId="numberedpara1Char">
    <w:name w:val="numbered para 1 Char"/>
    <w:link w:val="numberedpara1"/>
    <w:locked/>
    <w:rsid w:val="00974F7E"/>
    <w:rPr>
      <w:rFonts w:asciiTheme="minorHAnsi" w:eastAsiaTheme="minorHAnsi" w:hAnsiTheme="minorHAnsi" w:cstheme="minorBidi"/>
      <w:sz w:val="22"/>
      <w:szCs w:val="22"/>
      <w:lang w:eastAsia="en-US"/>
    </w:rPr>
  </w:style>
  <w:style w:type="paragraph" w:customStyle="1" w:styleId="numberedparaa">
    <w:name w:val="numbered para (a)"/>
    <w:basedOn w:val="ListParagraph"/>
    <w:qFormat/>
    <w:rsid w:val="00974F7E"/>
    <w:pPr>
      <w:spacing w:before="120"/>
      <w:ind w:left="1211" w:hanging="360"/>
      <w:contextualSpacing w:val="0"/>
    </w:pPr>
    <w:rPr>
      <w:rFonts w:ascii="Calibri" w:eastAsia="Times New Roman" w:hAnsi="Calibri"/>
      <w:sz w:val="24"/>
      <w:szCs w:val="24"/>
      <w:lang w:eastAsia="en-AU"/>
    </w:rPr>
  </w:style>
  <w:style w:type="paragraph" w:customStyle="1" w:styleId="numberedsubparai">
    <w:name w:val="numbered sub para (i)"/>
    <w:basedOn w:val="ListParagraph"/>
    <w:qFormat/>
    <w:rsid w:val="00974F7E"/>
    <w:pPr>
      <w:spacing w:before="120"/>
      <w:ind w:left="1701" w:hanging="567"/>
    </w:pPr>
    <w:rPr>
      <w:rFonts w:ascii="Calibri" w:eastAsia="Times New Roman" w:hAnsi="Calibri"/>
      <w:sz w:val="24"/>
      <w:szCs w:val="24"/>
      <w:lang w:eastAsia="en-AU"/>
    </w:rPr>
  </w:style>
  <w:style w:type="paragraph" w:customStyle="1" w:styleId="tipboxstyle">
    <w:name w:val="tip box style"/>
    <w:basedOn w:val="Normal"/>
    <w:qFormat/>
    <w:rsid w:val="00974F7E"/>
    <w:pPr>
      <w:spacing w:before="120"/>
    </w:pPr>
    <w:rPr>
      <w:rFonts w:ascii="Calibri" w:eastAsia="Times New Roman" w:hAnsi="Calibri"/>
      <w:sz w:val="24"/>
      <w:szCs w:val="24"/>
      <w:lang w:eastAsia="en-AU"/>
    </w:rPr>
  </w:style>
  <w:style w:type="character" w:customStyle="1" w:styleId="pageheading">
    <w:name w:val="pageheading"/>
    <w:rsid w:val="00974F7E"/>
    <w:rPr>
      <w:rFonts w:cs="Times New Roman"/>
    </w:rPr>
  </w:style>
  <w:style w:type="paragraph" w:customStyle="1" w:styleId="List0">
    <w:name w:val="List 0"/>
    <w:basedOn w:val="Normal"/>
    <w:semiHidden/>
    <w:rsid w:val="00974F7E"/>
    <w:pPr>
      <w:spacing w:after="0"/>
      <w:ind w:left="1211" w:hanging="360"/>
    </w:pPr>
    <w:rPr>
      <w:rFonts w:ascii="Times New Roman" w:eastAsia="Times New Roman" w:hAnsi="Times New Roman"/>
      <w:sz w:val="20"/>
      <w:lang w:eastAsia="en-AU"/>
    </w:rPr>
  </w:style>
  <w:style w:type="paragraph" w:customStyle="1" w:styleId="List1">
    <w:name w:val="List 1"/>
    <w:basedOn w:val="Normal"/>
    <w:semiHidden/>
    <w:rsid w:val="00974F7E"/>
    <w:pPr>
      <w:spacing w:after="0"/>
      <w:ind w:left="720" w:hanging="360"/>
    </w:pPr>
    <w:rPr>
      <w:rFonts w:ascii="Times New Roman" w:eastAsia="Times New Roman" w:hAnsi="Times New Roman"/>
      <w:sz w:val="20"/>
      <w:lang w:eastAsia="en-AU"/>
    </w:rPr>
  </w:style>
  <w:style w:type="paragraph" w:customStyle="1" w:styleId="List21">
    <w:name w:val="List 21"/>
    <w:basedOn w:val="Normal"/>
    <w:semiHidden/>
    <w:rsid w:val="00974F7E"/>
    <w:pPr>
      <w:spacing w:after="0"/>
      <w:ind w:left="720" w:hanging="360"/>
    </w:pPr>
    <w:rPr>
      <w:rFonts w:ascii="Times New Roman" w:eastAsia="Times New Roman" w:hAnsi="Times New Roman"/>
      <w:sz w:val="20"/>
      <w:lang w:eastAsia="en-AU"/>
    </w:rPr>
  </w:style>
  <w:style w:type="paragraph" w:customStyle="1" w:styleId="Pa6">
    <w:name w:val="Pa6"/>
    <w:basedOn w:val="Default"/>
    <w:next w:val="Default"/>
    <w:uiPriority w:val="99"/>
    <w:rsid w:val="00974F7E"/>
    <w:pPr>
      <w:spacing w:line="241" w:lineRule="atLeast"/>
    </w:pPr>
    <w:rPr>
      <w:rFonts w:ascii="Calibri" w:hAnsi="Calibri"/>
      <w:color w:val="auto"/>
      <w:lang w:eastAsia="en-AU"/>
    </w:rPr>
  </w:style>
  <w:style w:type="character" w:customStyle="1" w:styleId="A5">
    <w:name w:val="A5"/>
    <w:uiPriority w:val="99"/>
    <w:rsid w:val="00974F7E"/>
    <w:rPr>
      <w:color w:val="000000"/>
    </w:rPr>
  </w:style>
  <w:style w:type="paragraph" w:styleId="NormalIndent">
    <w:name w:val="Normal Indent"/>
    <w:basedOn w:val="Normal"/>
    <w:uiPriority w:val="99"/>
    <w:rsid w:val="00974F7E"/>
    <w:pPr>
      <w:spacing w:after="0"/>
      <w:ind w:left="720"/>
    </w:pPr>
    <w:rPr>
      <w:rFonts w:ascii="Times New Roman" w:eastAsia="Times New Roman" w:hAnsi="Times New Roman"/>
      <w:sz w:val="20"/>
      <w:lang w:val="en-GB" w:eastAsia="en-US"/>
    </w:rPr>
  </w:style>
  <w:style w:type="paragraph" w:customStyle="1" w:styleId="Tablenotation">
    <w:name w:val="Table notation"/>
    <w:basedOn w:val="Normal"/>
    <w:qFormat/>
    <w:rsid w:val="00974F7E"/>
    <w:pPr>
      <w:spacing w:after="240"/>
      <w:ind w:left="142"/>
    </w:pPr>
    <w:rPr>
      <w:rFonts w:ascii="Calibri" w:eastAsia="Times New Roman" w:hAnsi="Calibri"/>
      <w:sz w:val="20"/>
      <w:lang w:eastAsia="en-US"/>
    </w:rPr>
  </w:style>
  <w:style w:type="paragraph" w:customStyle="1" w:styleId="Heading51">
    <w:name w:val="Heading 51"/>
    <w:basedOn w:val="Normal"/>
    <w:qFormat/>
    <w:rsid w:val="00974F7E"/>
    <w:rPr>
      <w:rFonts w:ascii="Calibri" w:eastAsia="Times New Roman" w:hAnsi="Calibri"/>
      <w:i/>
      <w:sz w:val="24"/>
      <w:lang w:eastAsia="en-US"/>
    </w:rPr>
  </w:style>
  <w:style w:type="paragraph" w:customStyle="1" w:styleId="Textbody">
    <w:name w:val="Text body"/>
    <w:basedOn w:val="Normal"/>
    <w:rsid w:val="00974F7E"/>
    <w:pPr>
      <w:widowControl w:val="0"/>
      <w:suppressAutoHyphens/>
      <w:autoSpaceDN w:val="0"/>
      <w:textAlignment w:val="baseline"/>
    </w:pPr>
    <w:rPr>
      <w:rFonts w:ascii="Times New Roman" w:eastAsia="SimSun" w:hAnsi="Times New Roman" w:cs="Tahoma"/>
      <w:kern w:val="3"/>
      <w:sz w:val="24"/>
      <w:szCs w:val="24"/>
      <w:lang w:eastAsia="zh-CN" w:bidi="hi-IN"/>
    </w:rPr>
  </w:style>
  <w:style w:type="paragraph" w:customStyle="1" w:styleId="Standard">
    <w:name w:val="Standard"/>
    <w:rsid w:val="00974F7E"/>
    <w:pPr>
      <w:widowControl w:val="0"/>
      <w:suppressAutoHyphens/>
      <w:autoSpaceDN w:val="0"/>
      <w:ind w:left="0" w:firstLine="0"/>
      <w:textAlignment w:val="baseline"/>
    </w:pPr>
    <w:rPr>
      <w:rFonts w:ascii="Times New Roman" w:eastAsia="SimSun" w:hAnsi="Times New Roman" w:cs="Tahoma"/>
      <w:kern w:val="3"/>
      <w:sz w:val="24"/>
      <w:szCs w:val="24"/>
      <w:lang w:eastAsia="zh-CN" w:bidi="hi-IN"/>
    </w:rPr>
  </w:style>
  <w:style w:type="character" w:customStyle="1" w:styleId="citetitle">
    <w:name w:val="citetitle"/>
    <w:rsid w:val="00974F7E"/>
    <w:rPr>
      <w:rFonts w:cs="Times New Roman"/>
    </w:rPr>
  </w:style>
  <w:style w:type="paragraph" w:customStyle="1" w:styleId="ActHead50">
    <w:name w:val="ActHead 5"/>
    <w:aliases w:val="s"/>
    <w:basedOn w:val="Normal"/>
    <w:next w:val="Normal"/>
    <w:rsid w:val="00974F7E"/>
    <w:pPr>
      <w:keepNext/>
      <w:keepLines/>
      <w:spacing w:before="280" w:after="0"/>
      <w:ind w:left="1134" w:hanging="1134"/>
      <w:outlineLvl w:val="4"/>
    </w:pPr>
    <w:rPr>
      <w:rFonts w:ascii="Times New Roman" w:eastAsia="Times New Roman" w:hAnsi="Times New Roman"/>
      <w:b/>
      <w:bCs/>
      <w:kern w:val="28"/>
      <w:sz w:val="24"/>
      <w:szCs w:val="32"/>
      <w:lang w:eastAsia="en-AU"/>
    </w:rPr>
  </w:style>
  <w:style w:type="character" w:customStyle="1" w:styleId="CharSectno0">
    <w:name w:val="CharSectno"/>
    <w:rsid w:val="00974F7E"/>
    <w:rPr>
      <w:rFonts w:cs="Times New Roman"/>
    </w:rPr>
  </w:style>
  <w:style w:type="paragraph" w:customStyle="1" w:styleId="Tablea">
    <w:name w:val="Table(a)"/>
    <w:aliases w:val="ta"/>
    <w:basedOn w:val="Normal"/>
    <w:rsid w:val="00974F7E"/>
    <w:pPr>
      <w:spacing w:before="60" w:after="0"/>
      <w:ind w:left="284" w:hanging="284"/>
    </w:pPr>
    <w:rPr>
      <w:rFonts w:ascii="Times New Roman" w:eastAsia="Times New Roman" w:hAnsi="Times New Roman"/>
      <w:sz w:val="20"/>
      <w:lang w:eastAsia="en-AU"/>
    </w:rPr>
  </w:style>
  <w:style w:type="paragraph" w:customStyle="1" w:styleId="Tabletext0">
    <w:name w:val="Tabletext"/>
    <w:aliases w:val="tt"/>
    <w:basedOn w:val="Normal"/>
    <w:rsid w:val="00974F7E"/>
    <w:pPr>
      <w:spacing w:before="60" w:after="0" w:line="240" w:lineRule="atLeast"/>
    </w:pPr>
    <w:rPr>
      <w:rFonts w:ascii="Times New Roman" w:eastAsia="Times New Roman" w:hAnsi="Times New Roman"/>
      <w:sz w:val="20"/>
      <w:lang w:eastAsia="en-AU"/>
    </w:rPr>
  </w:style>
  <w:style w:type="table" w:styleId="MediumGrid3-Accent1">
    <w:name w:val="Medium Grid 3 Accent 1"/>
    <w:basedOn w:val="TableNormal"/>
    <w:uiPriority w:val="69"/>
    <w:rsid w:val="00974F7E"/>
    <w:pPr>
      <w:ind w:left="0" w:firstLine="0"/>
    </w:pPr>
    <w:rPr>
      <w:rFonts w:ascii="Times New Roman" w:eastAsia="Times New Roman" w:hAnsi="Times New Roman"/>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6">
    <w:name w:val="Medium Grid 3 Accent 6"/>
    <w:basedOn w:val="TableNormal"/>
    <w:uiPriority w:val="69"/>
    <w:rsid w:val="00974F7E"/>
    <w:pPr>
      <w:ind w:left="0" w:firstLine="0"/>
    </w:pPr>
    <w:rPr>
      <w:rFonts w:ascii="Times New Roman" w:eastAsia="Times New Roman" w:hAnsi="Times New Roman"/>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character" w:customStyle="1" w:styleId="meta">
    <w:name w:val="meta"/>
    <w:rsid w:val="00974F7E"/>
    <w:rPr>
      <w:rFonts w:cs="Times New Roman"/>
      <w:vanish/>
      <w:sz w:val="19"/>
      <w:szCs w:val="19"/>
    </w:rPr>
  </w:style>
  <w:style w:type="character" w:customStyle="1" w:styleId="filetype">
    <w:name w:val="filetype"/>
    <w:rsid w:val="00974F7E"/>
    <w:rPr>
      <w:rFonts w:cs="Times New Roman"/>
    </w:rPr>
  </w:style>
  <w:style w:type="paragraph" w:styleId="BodyTextIndent">
    <w:name w:val="Body Text Indent"/>
    <w:basedOn w:val="Normal"/>
    <w:link w:val="BodyTextIndentChar"/>
    <w:uiPriority w:val="99"/>
    <w:rsid w:val="00974F7E"/>
    <w:pPr>
      <w:spacing w:before="120"/>
      <w:ind w:left="283"/>
    </w:pPr>
    <w:rPr>
      <w:rFonts w:ascii="Calibri" w:eastAsia="Times New Roman" w:hAnsi="Calibri"/>
      <w:sz w:val="24"/>
      <w:szCs w:val="24"/>
      <w:lang w:eastAsia="en-AU"/>
    </w:rPr>
  </w:style>
  <w:style w:type="character" w:customStyle="1" w:styleId="BodyTextIndentChar">
    <w:name w:val="Body Text Indent Char"/>
    <w:basedOn w:val="DefaultParagraphFont"/>
    <w:link w:val="BodyTextIndent"/>
    <w:uiPriority w:val="99"/>
    <w:rsid w:val="00974F7E"/>
    <w:rPr>
      <w:rFonts w:ascii="Calibri" w:eastAsia="Times New Roman" w:hAnsi="Calibri"/>
      <w:sz w:val="24"/>
      <w:szCs w:val="24"/>
      <w:lang w:eastAsia="en-AU"/>
    </w:rPr>
  </w:style>
  <w:style w:type="paragraph" w:styleId="BodyTextFirstIndent2">
    <w:name w:val="Body Text First Indent 2"/>
    <w:basedOn w:val="BodyTextIndent"/>
    <w:link w:val="BodyTextFirstIndent2Char"/>
    <w:uiPriority w:val="99"/>
    <w:rsid w:val="00974F7E"/>
    <w:pPr>
      <w:ind w:left="360" w:firstLine="360"/>
    </w:pPr>
  </w:style>
  <w:style w:type="character" w:customStyle="1" w:styleId="BodyTextFirstIndent2Char">
    <w:name w:val="Body Text First Indent 2 Char"/>
    <w:basedOn w:val="BodyTextIndentChar"/>
    <w:link w:val="BodyTextFirstIndent2"/>
    <w:uiPriority w:val="99"/>
    <w:rsid w:val="00974F7E"/>
    <w:rPr>
      <w:rFonts w:ascii="Calibri" w:eastAsia="Times New Roman" w:hAnsi="Calibri"/>
      <w:sz w:val="24"/>
      <w:szCs w:val="24"/>
      <w:lang w:eastAsia="en-AU"/>
    </w:rPr>
  </w:style>
  <w:style w:type="numbering" w:customStyle="1" w:styleId="StyleBulletedSymbolsymbolLeft063cmHanging063cm">
    <w:name w:val="Style Bulleted Symbol (symbol) Left:  0.63 cm Hanging:  0.63 cm"/>
    <w:rsid w:val="00974F7E"/>
    <w:pPr>
      <w:numPr>
        <w:numId w:val="35"/>
      </w:numPr>
    </w:pPr>
  </w:style>
  <w:style w:type="paragraph" w:customStyle="1" w:styleId="sub-bullets">
    <w:name w:val="sub-bullets"/>
    <w:qFormat/>
    <w:rsid w:val="00974F7E"/>
    <w:pPr>
      <w:tabs>
        <w:tab w:val="left" w:pos="567"/>
      </w:tabs>
      <w:spacing w:before="60" w:after="60"/>
      <w:ind w:left="1276" w:hanging="425"/>
    </w:pPr>
    <w:rPr>
      <w:rFonts w:ascii="Calibri" w:hAnsi="Calibri"/>
      <w:sz w:val="24"/>
      <w:szCs w:val="24"/>
      <w:lang w:eastAsia="en-AU"/>
    </w:rPr>
  </w:style>
  <w:style w:type="paragraph" w:customStyle="1" w:styleId="Numberpara14">
    <w:name w:val="Number para 14"/>
    <w:basedOn w:val="Numberedpara10"/>
    <w:qFormat/>
    <w:rsid w:val="00974F7E"/>
    <w:pPr>
      <w:numPr>
        <w:numId w:val="36"/>
      </w:numPr>
      <w:ind w:left="0" w:firstLine="0"/>
    </w:pPr>
    <w:rPr>
      <w:lang w:val="en-AU"/>
    </w:rPr>
  </w:style>
  <w:style w:type="paragraph" w:customStyle="1" w:styleId="Paragraphnumberkc">
    <w:name w:val="Paragraph numberkc"/>
    <w:basedOn w:val="BodyText"/>
    <w:uiPriority w:val="1"/>
    <w:qFormat/>
    <w:rsid w:val="00F82F2C"/>
    <w:pPr>
      <w:numPr>
        <w:ilvl w:val="1"/>
        <w:numId w:val="99"/>
      </w:numPr>
      <w:tabs>
        <w:tab w:val="left" w:pos="848"/>
      </w:tabs>
      <w:spacing w:line="292" w:lineRule="exact"/>
      <w:ind w:left="140" w:right="215" w:firstLine="0"/>
    </w:pPr>
  </w:style>
  <w:style w:type="character" w:customStyle="1" w:styleId="xmsohyperlink">
    <w:name w:val="x_msohyperlink"/>
    <w:basedOn w:val="DefaultParagraphFont"/>
    <w:rsid w:val="00D1228D"/>
    <w:rPr>
      <w:color w:val="0563C1"/>
      <w:u w:val="single"/>
    </w:rPr>
  </w:style>
  <w:style w:type="paragraph" w:styleId="Index3">
    <w:name w:val="index 3"/>
    <w:basedOn w:val="Normal"/>
    <w:next w:val="Normal"/>
    <w:autoRedefine/>
    <w:uiPriority w:val="99"/>
    <w:unhideWhenUsed/>
    <w:rsid w:val="008B2129"/>
    <w:pPr>
      <w:spacing w:after="0"/>
      <w:ind w:left="660" w:hanging="220"/>
    </w:pPr>
  </w:style>
  <w:style w:type="paragraph" w:styleId="Index4">
    <w:name w:val="index 4"/>
    <w:basedOn w:val="Normal"/>
    <w:next w:val="Normal"/>
    <w:autoRedefine/>
    <w:uiPriority w:val="99"/>
    <w:unhideWhenUsed/>
    <w:rsid w:val="008B2129"/>
    <w:pPr>
      <w:spacing w:after="0"/>
      <w:ind w:left="880" w:hanging="220"/>
    </w:pPr>
  </w:style>
  <w:style w:type="paragraph" w:styleId="Index2">
    <w:name w:val="index 2"/>
    <w:basedOn w:val="Normal"/>
    <w:next w:val="Normal"/>
    <w:autoRedefine/>
    <w:uiPriority w:val="99"/>
    <w:unhideWhenUsed/>
    <w:rsid w:val="008B2129"/>
    <w:pPr>
      <w:spacing w:after="0"/>
      <w:ind w:left="440" w:hanging="220"/>
    </w:pPr>
  </w:style>
  <w:style w:type="paragraph" w:customStyle="1" w:styleId="pf0">
    <w:name w:val="pf0"/>
    <w:basedOn w:val="Normal"/>
    <w:rsid w:val="00EF3157"/>
    <w:pPr>
      <w:spacing w:before="100" w:beforeAutospacing="1" w:after="100" w:afterAutospacing="1"/>
    </w:pPr>
    <w:rPr>
      <w:rFonts w:ascii="Times New Roman" w:eastAsia="Times New Roman" w:hAnsi="Times New Roman"/>
      <w:sz w:val="24"/>
      <w:szCs w:val="24"/>
      <w:lang w:eastAsia="en-AU"/>
    </w:rPr>
  </w:style>
  <w:style w:type="character" w:customStyle="1" w:styleId="cf01">
    <w:name w:val="cf01"/>
    <w:basedOn w:val="DefaultParagraphFont"/>
    <w:rsid w:val="00EF3157"/>
    <w:rPr>
      <w:rFonts w:ascii="Segoe UI" w:hAnsi="Segoe UI" w:cs="Segoe UI" w:hint="default"/>
      <w:sz w:val="18"/>
      <w:szCs w:val="18"/>
    </w:rPr>
  </w:style>
  <w:style w:type="table" w:styleId="GridTable1Light-Accent2">
    <w:name w:val="Grid Table 1 Light Accent 2"/>
    <w:basedOn w:val="TableNormal"/>
    <w:uiPriority w:val="46"/>
    <w:rsid w:val="00D95192"/>
    <w:tblPr>
      <w:tblStyleRowBandSize w:val="1"/>
      <w:tblStyleColBandSize w:val="1"/>
      <w:tblBorders>
        <w:top w:val="single" w:sz="4" w:space="0" w:color="FAF1C4" w:themeColor="accent2" w:themeTint="66"/>
        <w:left w:val="single" w:sz="4" w:space="0" w:color="FAF1C4" w:themeColor="accent2" w:themeTint="66"/>
        <w:bottom w:val="single" w:sz="4" w:space="0" w:color="FAF1C4" w:themeColor="accent2" w:themeTint="66"/>
        <w:right w:val="single" w:sz="4" w:space="0" w:color="FAF1C4" w:themeColor="accent2" w:themeTint="66"/>
        <w:insideH w:val="single" w:sz="4" w:space="0" w:color="FAF1C4" w:themeColor="accent2" w:themeTint="66"/>
        <w:insideV w:val="single" w:sz="4" w:space="0" w:color="FAF1C4" w:themeColor="accent2" w:themeTint="66"/>
      </w:tblBorders>
    </w:tblPr>
    <w:tblStylePr w:type="firstRow">
      <w:rPr>
        <w:b/>
        <w:bCs/>
      </w:rPr>
      <w:tblPr/>
      <w:tcPr>
        <w:tcBorders>
          <w:bottom w:val="single" w:sz="12" w:space="0" w:color="F7EAA7" w:themeColor="accent2" w:themeTint="99"/>
        </w:tcBorders>
      </w:tcPr>
    </w:tblStylePr>
    <w:tblStylePr w:type="lastRow">
      <w:rPr>
        <w:b/>
        <w:bCs/>
      </w:rPr>
      <w:tblPr/>
      <w:tcPr>
        <w:tcBorders>
          <w:top w:val="double" w:sz="2" w:space="0" w:color="F7EAA7" w:themeColor="accent2" w:themeTint="99"/>
        </w:tcBorders>
      </w:tcPr>
    </w:tblStylePr>
    <w:tblStylePr w:type="firstCol">
      <w:rPr>
        <w:b/>
        <w:bCs/>
      </w:rPr>
    </w:tblStylePr>
    <w:tblStylePr w:type="lastCol">
      <w:rPr>
        <w:b/>
        <w:bCs/>
      </w:rPr>
    </w:tblStylePr>
  </w:style>
  <w:style w:type="table" w:styleId="ListTable3-Accent4">
    <w:name w:val="List Table 3 Accent 4"/>
    <w:basedOn w:val="TableNormal"/>
    <w:uiPriority w:val="48"/>
    <w:rsid w:val="00D95192"/>
    <w:tblPr>
      <w:tblStyleRowBandSize w:val="1"/>
      <w:tblStyleColBandSize w:val="1"/>
      <w:tblBorders>
        <w:top w:val="single" w:sz="4" w:space="0" w:color="00A9CE" w:themeColor="accent4"/>
        <w:left w:val="single" w:sz="4" w:space="0" w:color="00A9CE" w:themeColor="accent4"/>
        <w:bottom w:val="single" w:sz="4" w:space="0" w:color="00A9CE" w:themeColor="accent4"/>
        <w:right w:val="single" w:sz="4" w:space="0" w:color="00A9CE" w:themeColor="accent4"/>
      </w:tblBorders>
    </w:tblPr>
    <w:tblStylePr w:type="firstRow">
      <w:rPr>
        <w:b/>
        <w:bCs/>
        <w:color w:val="FFFFFF" w:themeColor="background1"/>
      </w:rPr>
      <w:tblPr/>
      <w:tcPr>
        <w:shd w:val="clear" w:color="auto" w:fill="00A9CE" w:themeFill="accent4"/>
      </w:tcPr>
    </w:tblStylePr>
    <w:tblStylePr w:type="lastRow">
      <w:rPr>
        <w:b/>
        <w:bCs/>
      </w:rPr>
      <w:tblPr/>
      <w:tcPr>
        <w:tcBorders>
          <w:top w:val="double" w:sz="4" w:space="0" w:color="00A9C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9CE" w:themeColor="accent4"/>
          <w:right w:val="single" w:sz="4" w:space="0" w:color="00A9CE" w:themeColor="accent4"/>
        </w:tcBorders>
      </w:tcPr>
    </w:tblStylePr>
    <w:tblStylePr w:type="band1Horz">
      <w:tblPr/>
      <w:tcPr>
        <w:tcBorders>
          <w:top w:val="single" w:sz="4" w:space="0" w:color="00A9CE" w:themeColor="accent4"/>
          <w:bottom w:val="single" w:sz="4" w:space="0" w:color="00A9C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9CE" w:themeColor="accent4"/>
          <w:left w:val="nil"/>
        </w:tcBorders>
      </w:tcPr>
    </w:tblStylePr>
    <w:tblStylePr w:type="swCell">
      <w:tblPr/>
      <w:tcPr>
        <w:tcBorders>
          <w:top w:val="double" w:sz="4" w:space="0" w:color="00A9CE" w:themeColor="accent4"/>
          <w:right w:val="nil"/>
        </w:tcBorders>
      </w:tcPr>
    </w:tblStylePr>
  </w:style>
  <w:style w:type="table" w:styleId="ListTable3-Accent5">
    <w:name w:val="List Table 3 Accent 5"/>
    <w:basedOn w:val="TableNormal"/>
    <w:uiPriority w:val="48"/>
    <w:rsid w:val="00D95192"/>
    <w:tblPr>
      <w:tblStyleRowBandSize w:val="1"/>
      <w:tblStyleColBandSize w:val="1"/>
      <w:tblBorders>
        <w:top w:val="single" w:sz="4" w:space="0" w:color="3CDBC0" w:themeColor="accent5"/>
        <w:left w:val="single" w:sz="4" w:space="0" w:color="3CDBC0" w:themeColor="accent5"/>
        <w:bottom w:val="single" w:sz="4" w:space="0" w:color="3CDBC0" w:themeColor="accent5"/>
        <w:right w:val="single" w:sz="4" w:space="0" w:color="3CDBC0" w:themeColor="accent5"/>
      </w:tblBorders>
    </w:tblPr>
    <w:tblStylePr w:type="firstRow">
      <w:rPr>
        <w:b/>
        <w:bCs/>
        <w:color w:val="FFFFFF" w:themeColor="background1"/>
      </w:rPr>
      <w:tblPr/>
      <w:tcPr>
        <w:shd w:val="clear" w:color="auto" w:fill="3CDBC0" w:themeFill="accent5"/>
      </w:tcPr>
    </w:tblStylePr>
    <w:tblStylePr w:type="lastRow">
      <w:rPr>
        <w:b/>
        <w:bCs/>
      </w:rPr>
      <w:tblPr/>
      <w:tcPr>
        <w:tcBorders>
          <w:top w:val="double" w:sz="4" w:space="0" w:color="3CDBC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CDBC0" w:themeColor="accent5"/>
          <w:right w:val="single" w:sz="4" w:space="0" w:color="3CDBC0" w:themeColor="accent5"/>
        </w:tcBorders>
      </w:tcPr>
    </w:tblStylePr>
    <w:tblStylePr w:type="band1Horz">
      <w:tblPr/>
      <w:tcPr>
        <w:tcBorders>
          <w:top w:val="single" w:sz="4" w:space="0" w:color="3CDBC0" w:themeColor="accent5"/>
          <w:bottom w:val="single" w:sz="4" w:space="0" w:color="3CDBC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CDBC0" w:themeColor="accent5"/>
          <w:left w:val="nil"/>
        </w:tcBorders>
      </w:tcPr>
    </w:tblStylePr>
    <w:tblStylePr w:type="swCell">
      <w:tblPr/>
      <w:tcPr>
        <w:tcBorders>
          <w:top w:val="double" w:sz="4" w:space="0" w:color="3CDBC0" w:themeColor="accent5"/>
          <w:right w:val="nil"/>
        </w:tcBorders>
      </w:tcPr>
    </w:tblStylePr>
  </w:style>
  <w:style w:type="table" w:styleId="ListTable3-Accent1">
    <w:name w:val="List Table 3 Accent 1"/>
    <w:basedOn w:val="TableNormal"/>
    <w:uiPriority w:val="48"/>
    <w:rsid w:val="00D95192"/>
    <w:tblPr>
      <w:tblStyleRowBandSize w:val="1"/>
      <w:tblStyleColBandSize w:val="1"/>
      <w:tblBorders>
        <w:top w:val="single" w:sz="4" w:space="0" w:color="DDD8D9" w:themeColor="accent1"/>
        <w:left w:val="single" w:sz="4" w:space="0" w:color="DDD8D9" w:themeColor="accent1"/>
        <w:bottom w:val="single" w:sz="4" w:space="0" w:color="DDD8D9" w:themeColor="accent1"/>
        <w:right w:val="single" w:sz="4" w:space="0" w:color="DDD8D9" w:themeColor="accent1"/>
      </w:tblBorders>
    </w:tblPr>
    <w:tblStylePr w:type="firstRow">
      <w:rPr>
        <w:b/>
        <w:bCs/>
        <w:color w:val="FFFFFF" w:themeColor="background1"/>
      </w:rPr>
      <w:tblPr/>
      <w:tcPr>
        <w:shd w:val="clear" w:color="auto" w:fill="DDD8D9" w:themeFill="accent1"/>
      </w:tcPr>
    </w:tblStylePr>
    <w:tblStylePr w:type="lastRow">
      <w:rPr>
        <w:b/>
        <w:bCs/>
      </w:rPr>
      <w:tblPr/>
      <w:tcPr>
        <w:tcBorders>
          <w:top w:val="double" w:sz="4" w:space="0" w:color="DDD8D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DD8D9" w:themeColor="accent1"/>
          <w:right w:val="single" w:sz="4" w:space="0" w:color="DDD8D9" w:themeColor="accent1"/>
        </w:tcBorders>
      </w:tcPr>
    </w:tblStylePr>
    <w:tblStylePr w:type="band1Horz">
      <w:tblPr/>
      <w:tcPr>
        <w:tcBorders>
          <w:top w:val="single" w:sz="4" w:space="0" w:color="DDD8D9" w:themeColor="accent1"/>
          <w:bottom w:val="single" w:sz="4" w:space="0" w:color="DDD8D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D8D9" w:themeColor="accent1"/>
          <w:left w:val="nil"/>
        </w:tcBorders>
      </w:tcPr>
    </w:tblStylePr>
    <w:tblStylePr w:type="swCell">
      <w:tblPr/>
      <w:tcPr>
        <w:tcBorders>
          <w:top w:val="double" w:sz="4" w:space="0" w:color="DDD8D9" w:themeColor="accent1"/>
          <w:right w:val="nil"/>
        </w:tcBorders>
      </w:tcPr>
    </w:tblStylePr>
  </w:style>
  <w:style w:type="table" w:styleId="ListTable3-Accent2">
    <w:name w:val="List Table 3 Accent 2"/>
    <w:basedOn w:val="TableNormal"/>
    <w:uiPriority w:val="48"/>
    <w:rsid w:val="00D95192"/>
    <w:tblPr>
      <w:tblStyleRowBandSize w:val="1"/>
      <w:tblStyleColBandSize w:val="1"/>
      <w:tblBorders>
        <w:top w:val="single" w:sz="4" w:space="0" w:color="F3DD6D" w:themeColor="accent2"/>
        <w:left w:val="single" w:sz="4" w:space="0" w:color="F3DD6D" w:themeColor="accent2"/>
        <w:bottom w:val="single" w:sz="4" w:space="0" w:color="F3DD6D" w:themeColor="accent2"/>
        <w:right w:val="single" w:sz="4" w:space="0" w:color="F3DD6D" w:themeColor="accent2"/>
      </w:tblBorders>
    </w:tblPr>
    <w:tblStylePr w:type="firstRow">
      <w:rPr>
        <w:b/>
        <w:bCs/>
        <w:color w:val="FFFFFF" w:themeColor="background1"/>
      </w:rPr>
      <w:tblPr/>
      <w:tcPr>
        <w:shd w:val="clear" w:color="auto" w:fill="F3DD6D" w:themeFill="accent2"/>
      </w:tcPr>
    </w:tblStylePr>
    <w:tblStylePr w:type="lastRow">
      <w:rPr>
        <w:b/>
        <w:bCs/>
      </w:rPr>
      <w:tblPr/>
      <w:tcPr>
        <w:tcBorders>
          <w:top w:val="double" w:sz="4" w:space="0" w:color="F3DD6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DD6D" w:themeColor="accent2"/>
          <w:right w:val="single" w:sz="4" w:space="0" w:color="F3DD6D" w:themeColor="accent2"/>
        </w:tcBorders>
      </w:tcPr>
    </w:tblStylePr>
    <w:tblStylePr w:type="band1Horz">
      <w:tblPr/>
      <w:tcPr>
        <w:tcBorders>
          <w:top w:val="single" w:sz="4" w:space="0" w:color="F3DD6D" w:themeColor="accent2"/>
          <w:bottom w:val="single" w:sz="4" w:space="0" w:color="F3DD6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DD6D" w:themeColor="accent2"/>
          <w:left w:val="nil"/>
        </w:tcBorders>
      </w:tcPr>
    </w:tblStylePr>
    <w:tblStylePr w:type="swCell">
      <w:tblPr/>
      <w:tcPr>
        <w:tcBorders>
          <w:top w:val="double" w:sz="4" w:space="0" w:color="F3DD6D" w:themeColor="accent2"/>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39907">
      <w:bodyDiv w:val="1"/>
      <w:marLeft w:val="0"/>
      <w:marRight w:val="0"/>
      <w:marTop w:val="0"/>
      <w:marBottom w:val="0"/>
      <w:divBdr>
        <w:top w:val="none" w:sz="0" w:space="0" w:color="auto"/>
        <w:left w:val="none" w:sz="0" w:space="0" w:color="auto"/>
        <w:bottom w:val="none" w:sz="0" w:space="0" w:color="auto"/>
        <w:right w:val="none" w:sz="0" w:space="0" w:color="auto"/>
      </w:divBdr>
    </w:div>
    <w:div w:id="1531915263">
      <w:bodyDiv w:val="1"/>
      <w:marLeft w:val="0"/>
      <w:marRight w:val="0"/>
      <w:marTop w:val="0"/>
      <w:marBottom w:val="0"/>
      <w:divBdr>
        <w:top w:val="none" w:sz="0" w:space="0" w:color="auto"/>
        <w:left w:val="none" w:sz="0" w:space="0" w:color="auto"/>
        <w:bottom w:val="none" w:sz="0" w:space="0" w:color="auto"/>
        <w:right w:val="none" w:sz="0" w:space="0" w:color="auto"/>
      </w:divBdr>
    </w:div>
    <w:div w:id="1709527914">
      <w:bodyDiv w:val="1"/>
      <w:marLeft w:val="0"/>
      <w:marRight w:val="0"/>
      <w:marTop w:val="0"/>
      <w:marBottom w:val="0"/>
      <w:divBdr>
        <w:top w:val="none" w:sz="0" w:space="0" w:color="auto"/>
        <w:left w:val="none" w:sz="0" w:space="0" w:color="auto"/>
        <w:bottom w:val="none" w:sz="0" w:space="0" w:color="auto"/>
        <w:right w:val="none" w:sz="0" w:space="0" w:color="auto"/>
      </w:divBdr>
    </w:div>
    <w:div w:id="1816142182">
      <w:bodyDiv w:val="1"/>
      <w:marLeft w:val="0"/>
      <w:marRight w:val="0"/>
      <w:marTop w:val="0"/>
      <w:marBottom w:val="0"/>
      <w:divBdr>
        <w:top w:val="none" w:sz="0" w:space="0" w:color="auto"/>
        <w:left w:val="none" w:sz="0" w:space="0" w:color="auto"/>
        <w:bottom w:val="none" w:sz="0" w:space="0" w:color="auto"/>
        <w:right w:val="none" w:sz="0" w:space="0" w:color="auto"/>
      </w:divBdr>
    </w:div>
    <w:div w:id="187218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aic.gov.au/freedom-of-information/foi-guidelines/part-11-complaints-and-investigations/" TargetMode="External"/><Relationship Id="rId18" Type="http://schemas.openxmlformats.org/officeDocument/2006/relationships/hyperlink" Target="https://www.legislation.gov.au/Details/F2019L00348" TargetMode="External"/><Relationship Id="rId26" Type="http://schemas.openxmlformats.org/officeDocument/2006/relationships/hyperlink" Target="https://www.oaic.gov.au/freedom-of-information/foi-guidelines/part-14-disclosure-log/" TargetMode="External"/><Relationship Id="rId39" Type="http://schemas.openxmlformats.org/officeDocument/2006/relationships/fontTable" Target="fontTable.xml"/><Relationship Id="rId21" Type="http://schemas.openxmlformats.org/officeDocument/2006/relationships/footer" Target="footer1.xml"/><Relationship Id="rId34" Type="http://schemas.openxmlformats.org/officeDocument/2006/relationships/hyperlink" Target="https://www.oaic.gov.au/freedom-of-information/foi-guidelines/part-14-disclosure-log/" TargetMode="External"/><Relationship Id="rId42" Type="http://schemas.openxmlformats.org/officeDocument/2006/relationships/customXml" Target="../customXml/item4.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oaic.gov.au/freedom-of-information/freedom-of-information-guidance-for-government-agencies/foi-guidelines/part-13-information-publication-scheme" TargetMode="External"/><Relationship Id="rId20" Type="http://schemas.openxmlformats.org/officeDocument/2006/relationships/header" Target="header2.xml"/><Relationship Id="rId29" Type="http://schemas.openxmlformats.org/officeDocument/2006/relationships/hyperlink" Target="https://www.oaic.gov.au/freedom-of-information/foi-guidelines/part-14-disclosure-log/" TargetMode="External"/><Relationship Id="rId41"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aic.gov.au/freedom-of-information/freedom-of-information-guidance-for-government-agencies/foi-guidelines/part-3-processing-and-deciding-on-requests-foi-access" TargetMode="External"/><Relationship Id="rId24" Type="http://schemas.openxmlformats.org/officeDocument/2006/relationships/footer" Target="footer3.xml"/><Relationship Id="rId32" Type="http://schemas.openxmlformats.org/officeDocument/2006/relationships/hyperlink" Target="https://www.oaic.gov.au/freedom-of-information/foi-guidelines/part-14-disclosure-log/" TargetMode="External"/><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oaic.gov.au/freedom-of-information/freedom-of-information-guidance-for-government-agencies/foi-guidelines/part-15-reporting" TargetMode="External"/><Relationship Id="rId23" Type="http://schemas.openxmlformats.org/officeDocument/2006/relationships/header" Target="header3.xml"/><Relationship Id="rId28" Type="http://schemas.openxmlformats.org/officeDocument/2006/relationships/hyperlink" Target="https://www.oaic.gov.au/freedom-of-information/foi-guidelines/part-14-disclosure-log/" TargetMode="External"/><Relationship Id="rId36" Type="http://schemas.openxmlformats.org/officeDocument/2006/relationships/header" Target="header5.xml"/><Relationship Id="rId10" Type="http://schemas.openxmlformats.org/officeDocument/2006/relationships/hyperlink" Target="https://www.oaic.gov.au/freedom-of-information/freedom-of-information-guidance-for-government-agencies/foi-guidelines/part-6-conditional-exemptions" TargetMode="External"/><Relationship Id="rId19" Type="http://schemas.openxmlformats.org/officeDocument/2006/relationships/header" Target="header1.xml"/><Relationship Id="rId31" Type="http://schemas.openxmlformats.org/officeDocument/2006/relationships/hyperlink" Target="https://www.oaic.gov.au/freedom-of-information/foi-guidelines/part-14-disclosure-log/" TargetMode="External"/><Relationship Id="rId4" Type="http://schemas.openxmlformats.org/officeDocument/2006/relationships/styles" Target="styles.xml"/><Relationship Id="rId9" Type="http://schemas.openxmlformats.org/officeDocument/2006/relationships/hyperlink" Target="https://www.oaic.gov.au/freedom-of-information/freedom-of-information-guidance-for-government-agencies/foi-guidelines/part-13-information-publication-scheme" TargetMode="External"/><Relationship Id="rId14" Type="http://schemas.openxmlformats.org/officeDocument/2006/relationships/hyperlink" Target="https://www.oaic.gov.au/freedom-of-information/freedom-of-information-guidance-for-government-agencies/foi-guidelines/part-15-reporting" TargetMode="External"/><Relationship Id="rId22" Type="http://schemas.openxmlformats.org/officeDocument/2006/relationships/footer" Target="footer2.xml"/><Relationship Id="rId27" Type="http://schemas.openxmlformats.org/officeDocument/2006/relationships/hyperlink" Target="https://www.oaic.gov.au/freedom-of-information/foi-guidelines/part-14-disclosure-log/" TargetMode="External"/><Relationship Id="rId30" Type="http://schemas.openxmlformats.org/officeDocument/2006/relationships/hyperlink" Target="https://www.oaic.gov.au/freedom-of-information/foi-guidelines/part-14-disclosure-log/" TargetMode="External"/><Relationship Id="rId35" Type="http://schemas.openxmlformats.org/officeDocument/2006/relationships/header" Target="header4.xml"/><Relationship Id="rId43" Type="http://schemas.openxmlformats.org/officeDocument/2006/relationships/customXml" Target="../customXml/item5.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oaic.gov.au/freedom-of-information/freedom-of-information-guidance-for-government-agencies/foi-guidelines/part-4-charges-for-providing-access" TargetMode="External"/><Relationship Id="rId17" Type="http://schemas.openxmlformats.org/officeDocument/2006/relationships/hyperlink" Target="https://www.oaic.gov.au/freedom-of-information/freedom-of-information-guidance-for-government-agencies/foi-guidelines/part-3-processing-and-deciding-on-requests-foi-access" TargetMode="External"/><Relationship Id="rId25" Type="http://schemas.openxmlformats.org/officeDocument/2006/relationships/hyperlink" Target="https://www.oaic.gov.au/freedom-of-information/foi-guidelines/part-14-disclosure-log/" TargetMode="External"/><Relationship Id="rId33" Type="http://schemas.openxmlformats.org/officeDocument/2006/relationships/hyperlink" Target="https://www.oaic.gov.au/freedom-of-information/foi-guidelines/part-14-disclosure-log/" TargetMode="External"/><Relationship Id="rId38"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footer4.xml.rels><?xml version="1.0" encoding="UTF-8" standalone="yes"?>
<Relationships xmlns="http://schemas.openxmlformats.org/package/2006/relationships"><Relationship Id="rId1" Type="http://schemas.openxmlformats.org/officeDocument/2006/relationships/image" Target="media/image2.emf"/></Relationships>
</file>

<file path=word/_rels/footnotes.xml.rels><?xml version="1.0" encoding="UTF-8" standalone="yes"?>
<Relationships xmlns="http://schemas.openxmlformats.org/package/2006/relationships"><Relationship Id="rId8" Type="http://schemas.openxmlformats.org/officeDocument/2006/relationships/hyperlink" Target="https://www.oaic.gov.au/about-the-OAIC/information-policy/information-policy-resources/principles-on-open-public-sector-information" TargetMode="External"/><Relationship Id="rId13" Type="http://schemas.openxmlformats.org/officeDocument/2006/relationships/hyperlink" Target="https://www.digital.gov.au/policy/digital-experience/digital-inclusion-standard/dis-criterion-4-make-it-accessible" TargetMode="External"/><Relationship Id="rId18" Type="http://schemas.openxmlformats.org/officeDocument/2006/relationships/hyperlink" Target="https://humanrights.gov.au/__data/assets/file/0027/47358/Guidelines-equal-access-digital-goods-services.pdf" TargetMode="External"/><Relationship Id="rId3" Type="http://schemas.openxmlformats.org/officeDocument/2006/relationships/hyperlink" Target="http://www.austlii.edu.au/cgi-bin/viewdoc/au/cases/cth/AICmr/2021/92.html" TargetMode="External"/><Relationship Id="rId21" Type="http://schemas.openxmlformats.org/officeDocument/2006/relationships/hyperlink" Target="https://www.ag.gov.au/rights-and-protections/publications/guidelines-licensing-public-sector-information-australian-government-entities" TargetMode="External"/><Relationship Id="rId7" Type="http://schemas.openxmlformats.org/officeDocument/2006/relationships/hyperlink" Target="https://www.ag.gov.au/rights-and-protections/publications/guidelines-licensing-public-sector-information-australian-government-entities" TargetMode="External"/><Relationship Id="rId12" Type="http://schemas.openxmlformats.org/officeDocument/2006/relationships/hyperlink" Target="https://www.digital.gov.au/policy/digital-experience/digital-service-standard" TargetMode="External"/><Relationship Id="rId17" Type="http://schemas.openxmlformats.org/officeDocument/2006/relationships/hyperlink" Target="https://www.w3.org/TR/WCAG22/" TargetMode="External"/><Relationship Id="rId2" Type="http://schemas.openxmlformats.org/officeDocument/2006/relationships/hyperlink" Target="https://www.oaic.gov.au/freedom-of-information/freedom-of-information-guidance-for-government-agencies/proactive-publication-and-administrative-access/information-publication-scheme/information-publication-scheme-and-disclosure-log-determinations-policy-and-procedure" TargetMode="External"/><Relationship Id="rId16" Type="http://schemas.openxmlformats.org/officeDocument/2006/relationships/hyperlink" Target="https://www.stylemanual.gov.au/" TargetMode="External"/><Relationship Id="rId20" Type="http://schemas.openxmlformats.org/officeDocument/2006/relationships/hyperlink" Target="https://www.ag.gov.au/rights-and-protections/publications/australian-government-intellectual-property-manual" TargetMode="External"/><Relationship Id="rId1" Type="http://schemas.openxmlformats.org/officeDocument/2006/relationships/hyperlink" Target="https://www.oaic.gov.au/freedom-of-information/freedom-of-information-guidance-for-government-agencies/guidance-on-handling-a-freedom-of-information-request/checklists,-handouts-and-templates/sample-freedom-of-information-notices" TargetMode="External"/><Relationship Id="rId6" Type="http://schemas.openxmlformats.org/officeDocument/2006/relationships/hyperlink" Target="https://www.ag.gov.au/rights-and-protections/publications/australian-government-intellectual-property-manual" TargetMode="External"/><Relationship Id="rId11" Type="http://schemas.openxmlformats.org/officeDocument/2006/relationships/hyperlink" Target="https://www.naa.gov.au/information-management/describing-information/metadata/metadata-web" TargetMode="External"/><Relationship Id="rId5" Type="http://schemas.openxmlformats.org/officeDocument/2006/relationships/hyperlink" Target="https://www.legislation.gov.au/C1901A00002/latest/text" TargetMode="External"/><Relationship Id="rId15" Type="http://schemas.openxmlformats.org/officeDocument/2006/relationships/hyperlink" Target="https://www.digital.gov.au/policy/digital-experience/digital-inclusion-standard/dis-criterion-4-make-it-accessible" TargetMode="External"/><Relationship Id="rId10" Type="http://schemas.openxmlformats.org/officeDocument/2006/relationships/hyperlink" Target="https://www.stylemanual.gov.au/writing-and-designing-content/findable-content/keywords-and-search-engines" TargetMode="External"/><Relationship Id="rId19" Type="http://schemas.openxmlformats.org/officeDocument/2006/relationships/hyperlink" Target="https://humanrights.gov.au/__data/assets/file/0027/47358/Guidelines-equal-access-digital-goods-services.pdf" TargetMode="External"/><Relationship Id="rId4" Type="http://schemas.openxmlformats.org/officeDocument/2006/relationships/hyperlink" Target="https://www.legislation.gov.au/C2004A00553/latest/text" TargetMode="External"/><Relationship Id="rId9" Type="http://schemas.openxmlformats.org/officeDocument/2006/relationships/hyperlink" Target="https://www.oaic.gov.au/freedom-of-information/freedom-of-information-guidance-for-government-agencies/government-agency-website-requirements/guide-to-the-access-of-information-page-on-an-agencys-website" TargetMode="External"/><Relationship Id="rId14" Type="http://schemas.openxmlformats.org/officeDocument/2006/relationships/hyperlink" Target="https://www.stylemanual.gov.au/"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3.png"/><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AIC 2">
      <a:dk1>
        <a:sysClr val="windowText" lastClr="000000"/>
      </a:dk1>
      <a:lt1>
        <a:sysClr val="window" lastClr="FFFFFF"/>
      </a:lt1>
      <a:dk2>
        <a:srgbClr val="002A3A"/>
      </a:dk2>
      <a:lt2>
        <a:srgbClr val="FFFFFF"/>
      </a:lt2>
      <a:accent1>
        <a:srgbClr val="DDD8D9"/>
      </a:accent1>
      <a:accent2>
        <a:srgbClr val="F3DD6D"/>
      </a:accent2>
      <a:accent3>
        <a:srgbClr val="C1B2B6"/>
      </a:accent3>
      <a:accent4>
        <a:srgbClr val="00A9CE"/>
      </a:accent4>
      <a:accent5>
        <a:srgbClr val="3CDBC0"/>
      </a:accent5>
      <a:accent6>
        <a:srgbClr val="E03E52"/>
      </a:accent6>
      <a:hlink>
        <a:srgbClr val="000000"/>
      </a:hlink>
      <a:folHlink>
        <a:srgbClr val="000000"/>
      </a:folHlink>
    </a:clrScheme>
    <a:fontScheme name="OAIC">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D9FC8F-CE53-495B-B400-E892D4EDFBF5}">
  <ds:schemaRefs>
    <ds:schemaRef ds:uri="http://schemas.openxmlformats.org/officeDocument/2006/bibliography"/>
  </ds:schemaRefs>
</ds:datastoreItem>
</file>

<file path=customXml/itemProps3.xml><?xml version="1.0" encoding="utf-8"?>
<ds:datastoreItem xmlns:ds="http://schemas.openxmlformats.org/officeDocument/2006/customXml" ds:itemID="{C7A85FD0-21BD-4E17-97DB-70D865590ED8}"/>
</file>

<file path=customXml/itemProps4.xml><?xml version="1.0" encoding="utf-8"?>
<ds:datastoreItem xmlns:ds="http://schemas.openxmlformats.org/officeDocument/2006/customXml" ds:itemID="{9A84E17A-F625-4329-BE60-242D8D8744F5}"/>
</file>

<file path=customXml/itemProps5.xml><?xml version="1.0" encoding="utf-8"?>
<ds:datastoreItem xmlns:ds="http://schemas.openxmlformats.org/officeDocument/2006/customXml" ds:itemID="{7EAC1AEC-9EF8-489C-AFFE-B3E2EC3D2FA8}"/>
</file>

<file path=docProps/app.xml><?xml version="1.0" encoding="utf-8"?>
<Properties xmlns="http://schemas.openxmlformats.org/officeDocument/2006/extended-properties" xmlns:vt="http://schemas.openxmlformats.org/officeDocument/2006/docPropsVTypes">
  <Template>Normal.dotm</Template>
  <TotalTime>20</TotalTime>
  <Pages>25</Pages>
  <Words>9232</Words>
  <Characters>48930</Characters>
  <Application>Microsoft Office Word</Application>
  <DocSecurity>0</DocSecurity>
  <Lines>815</Lines>
  <Paragraphs>336</Paragraphs>
  <ScaleCrop>false</ScaleCrop>
  <HeadingPairs>
    <vt:vector size="2" baseType="variant">
      <vt:variant>
        <vt:lpstr>Title</vt:lpstr>
      </vt:variant>
      <vt:variant>
        <vt:i4>1</vt:i4>
      </vt:variant>
    </vt:vector>
  </HeadingPairs>
  <TitlesOfParts>
    <vt:vector size="1" baseType="lpstr">
      <vt:lpstr>Chapter 13: Australian Privacy Principle 13 — Correction of personal information</vt:lpstr>
    </vt:vector>
  </TitlesOfParts>
  <Company>OAIC</Company>
  <LinksUpToDate>false</LinksUpToDate>
  <CharactersWithSpaces>57826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13: Australian Privacy Principle 13 — Correction of personal information</dc:title>
  <dc:subject/>
  <dc:creator>Amanda Kuek</dc:creator>
  <cp:keywords/>
  <dc:description/>
  <cp:lastModifiedBy>HARLOCK,Raewyn</cp:lastModifiedBy>
  <cp:revision>18</cp:revision>
  <cp:lastPrinted>2026-08-10T03:09:00Z</cp:lastPrinted>
  <dcterms:created xsi:type="dcterms:W3CDTF">2026-08-10T00:22:00Z</dcterms:created>
  <dcterms:modified xsi:type="dcterms:W3CDTF">2026-08-10T03:10:00Z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2026-06-03T07:14:19Z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62d5c50e-e084-4f9d-a760-04bc3886a277</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