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11209" w14:textId="77777777" w:rsidR="00775FE4" w:rsidRDefault="00D8450A" w:rsidP="00EC4A7B">
      <w:pPr>
        <w:spacing w:after="480"/>
        <w:rPr>
          <w:noProof/>
          <w:sz w:val="28"/>
          <w:szCs w:val="28"/>
        </w:rPr>
      </w:pPr>
      <w:bookmarkStart w:id="0" w:name="imageHolder"/>
      <w:bookmarkStart w:id="1" w:name="_GoBack"/>
      <w:bookmarkEnd w:id="0"/>
      <w:bookmarkEnd w:id="1"/>
      <w:r w:rsidRPr="00D912DB">
        <w:rPr>
          <w:noProof/>
          <w:sz w:val="28"/>
          <w:szCs w:val="28"/>
        </w:rPr>
        <w:drawing>
          <wp:inline distT="0" distB="0" distL="0" distR="0" wp14:anchorId="5B3D67FF" wp14:editId="5DCB994C">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14:paraId="7E4DA7D3" w14:textId="77777777" w:rsidR="00775FE4" w:rsidRPr="00EC4A7B" w:rsidRDefault="00271D04" w:rsidP="00251E49">
      <w:pPr>
        <w:pStyle w:val="Heading1"/>
        <w:spacing w:before="720"/>
        <w:jc w:val="right"/>
      </w:pPr>
      <w:bookmarkStart w:id="2" w:name="Title"/>
      <w:bookmarkEnd w:id="2"/>
      <w:r>
        <w:t>Associate Secretary</w:t>
      </w:r>
    </w:p>
    <w:p w14:paraId="042C5194" w14:textId="77777777" w:rsidR="00271D04" w:rsidRDefault="00271D04" w:rsidP="00775FE4">
      <w:pPr>
        <w:pStyle w:val="Header"/>
        <w:tabs>
          <w:tab w:val="left" w:pos="720"/>
        </w:tabs>
      </w:pPr>
      <w:r>
        <w:t>Office of the Australian Information Commissioner</w:t>
      </w:r>
    </w:p>
    <w:p w14:paraId="33423B10" w14:textId="77777777" w:rsidR="00271D04" w:rsidRDefault="00271D04" w:rsidP="00775FE4">
      <w:pPr>
        <w:pStyle w:val="Header"/>
        <w:tabs>
          <w:tab w:val="left" w:pos="720"/>
        </w:tabs>
      </w:pPr>
      <w:r>
        <w:t>GPO Box 5218</w:t>
      </w:r>
    </w:p>
    <w:p w14:paraId="0EE0934E" w14:textId="77777777" w:rsidR="00271D04" w:rsidRDefault="00271D04" w:rsidP="00775FE4">
      <w:pPr>
        <w:pStyle w:val="Header"/>
        <w:tabs>
          <w:tab w:val="left" w:pos="720"/>
        </w:tabs>
      </w:pPr>
      <w:r>
        <w:t>Sydney NSW 2001</w:t>
      </w:r>
    </w:p>
    <w:p w14:paraId="587FDD8B" w14:textId="77777777" w:rsidR="00271D04" w:rsidRDefault="00271D04" w:rsidP="00775FE4">
      <w:pPr>
        <w:pStyle w:val="Header"/>
        <w:tabs>
          <w:tab w:val="left" w:pos="720"/>
        </w:tabs>
      </w:pPr>
      <w:r>
        <w:t xml:space="preserve">Via email to </w:t>
      </w:r>
      <w:hyperlink r:id="rId9" w:history="1">
        <w:r w:rsidRPr="002C5742">
          <w:rPr>
            <w:rStyle w:val="Hyperlink"/>
          </w:rPr>
          <w:t>privacy.rules@oaic.gov.au</w:t>
        </w:r>
      </w:hyperlink>
    </w:p>
    <w:p w14:paraId="3C62FEE7" w14:textId="77777777" w:rsidR="00271D04" w:rsidRDefault="00271D04" w:rsidP="00775FE4">
      <w:pPr>
        <w:pStyle w:val="Header"/>
        <w:tabs>
          <w:tab w:val="left" w:pos="720"/>
        </w:tabs>
      </w:pPr>
    </w:p>
    <w:p w14:paraId="214231B9" w14:textId="77777777" w:rsidR="00E655D0" w:rsidRDefault="00E655D0" w:rsidP="00775FE4">
      <w:pPr>
        <w:pStyle w:val="Header"/>
        <w:tabs>
          <w:tab w:val="left" w:pos="720"/>
        </w:tabs>
        <w:rPr>
          <w:b/>
        </w:rPr>
      </w:pPr>
    </w:p>
    <w:p w14:paraId="3CD9C2DA" w14:textId="31A4FB1C" w:rsidR="00271D04" w:rsidRPr="00271D04" w:rsidRDefault="00271D04" w:rsidP="008F2666">
      <w:pPr>
        <w:pStyle w:val="Header"/>
        <w:tabs>
          <w:tab w:val="left" w:pos="720"/>
        </w:tabs>
        <w:rPr>
          <w:b/>
        </w:rPr>
      </w:pPr>
      <w:r>
        <w:rPr>
          <w:b/>
        </w:rPr>
        <w:t xml:space="preserve">DEPARTMENT OF HEALTH </w:t>
      </w:r>
      <w:r w:rsidRPr="00271D04">
        <w:rPr>
          <w:b/>
        </w:rPr>
        <w:t xml:space="preserve">SUBMISSION TO </w:t>
      </w:r>
      <w:r w:rsidR="001A2B2A">
        <w:rPr>
          <w:b/>
        </w:rPr>
        <w:t xml:space="preserve">THE </w:t>
      </w:r>
      <w:r w:rsidRPr="00271D04">
        <w:rPr>
          <w:b/>
        </w:rPr>
        <w:t>NATIONAL HEALTH (PRIVACY) RULES 2018 REVIEW</w:t>
      </w:r>
    </w:p>
    <w:p w14:paraId="0915045C" w14:textId="77777777" w:rsidR="00271D04" w:rsidRDefault="00271D04" w:rsidP="008F2666">
      <w:pPr>
        <w:pStyle w:val="Header"/>
        <w:tabs>
          <w:tab w:val="left" w:pos="720"/>
        </w:tabs>
      </w:pPr>
    </w:p>
    <w:p w14:paraId="0654E4C3" w14:textId="77777777" w:rsidR="007455CC" w:rsidRDefault="007455CC" w:rsidP="008F2666">
      <w:pPr>
        <w:pStyle w:val="Header"/>
        <w:tabs>
          <w:tab w:val="left" w:pos="720"/>
        </w:tabs>
      </w:pPr>
      <w:r>
        <w:t xml:space="preserve">The Department </w:t>
      </w:r>
      <w:r w:rsidR="00EA4F8F">
        <w:t xml:space="preserve">of Health (the Department) </w:t>
      </w:r>
      <w:r>
        <w:t xml:space="preserve">welcomes the opportunity to contribute to the remake of the </w:t>
      </w:r>
      <w:r w:rsidRPr="007455CC">
        <w:rPr>
          <w:i/>
        </w:rPr>
        <w:t>National Health (Privacy Rules) 2018</w:t>
      </w:r>
      <w:r w:rsidR="001A2B2A">
        <w:t xml:space="preserve"> (the </w:t>
      </w:r>
      <w:r>
        <w:t xml:space="preserve">Rules).  </w:t>
      </w:r>
      <w:r w:rsidR="001A2B2A">
        <w:t xml:space="preserve"> </w:t>
      </w:r>
      <w:r w:rsidR="001735C9">
        <w:t xml:space="preserve"> </w:t>
      </w:r>
    </w:p>
    <w:p w14:paraId="01D8CE2E" w14:textId="77777777" w:rsidR="007455CC" w:rsidRDefault="007455CC" w:rsidP="008F2666">
      <w:pPr>
        <w:pStyle w:val="Header"/>
        <w:tabs>
          <w:tab w:val="left" w:pos="720"/>
        </w:tabs>
      </w:pPr>
    </w:p>
    <w:p w14:paraId="756A7D2B" w14:textId="77777777" w:rsidR="005A5C7E" w:rsidRPr="00143239" w:rsidRDefault="001A2B2A" w:rsidP="008F2666">
      <w:pPr>
        <w:pStyle w:val="Header"/>
        <w:tabs>
          <w:tab w:val="left" w:pos="720"/>
        </w:tabs>
        <w:rPr>
          <w:b/>
        </w:rPr>
      </w:pPr>
      <w:r>
        <w:rPr>
          <w:b/>
        </w:rPr>
        <w:t>Introduction</w:t>
      </w:r>
    </w:p>
    <w:p w14:paraId="1150DF40" w14:textId="77777777" w:rsidR="007455CC" w:rsidRDefault="007455CC" w:rsidP="008F2666">
      <w:pPr>
        <w:pStyle w:val="Header"/>
        <w:tabs>
          <w:tab w:val="left" w:pos="720"/>
        </w:tabs>
      </w:pPr>
    </w:p>
    <w:p w14:paraId="6FFAE342" w14:textId="1C3B2AB9" w:rsidR="00D50570" w:rsidRDefault="0043783D" w:rsidP="008F2666">
      <w:pPr>
        <w:pStyle w:val="Header"/>
        <w:tabs>
          <w:tab w:val="left" w:pos="720"/>
        </w:tabs>
      </w:pPr>
      <w:r>
        <w:t xml:space="preserve">The Medicare Benefits Schedule (MBS) and </w:t>
      </w:r>
      <w:r w:rsidR="00E37CE0">
        <w:t xml:space="preserve">the </w:t>
      </w:r>
      <w:r>
        <w:t>Pharmaceutical Benefits Scheme (PBS) are key components of Australia’s health system</w:t>
      </w:r>
      <w:r w:rsidR="00D37280">
        <w:t xml:space="preserve"> aimed at</w:t>
      </w:r>
      <w:r>
        <w:t xml:space="preserve"> providing Australians with affordable accessible and high-quality health care. </w:t>
      </w:r>
      <w:r w:rsidR="00D50570">
        <w:t>T</w:t>
      </w:r>
      <w:r w:rsidR="008265D7" w:rsidRPr="00B10B2A">
        <w:t>he Dep</w:t>
      </w:r>
      <w:r w:rsidR="008265D7">
        <w:t xml:space="preserve">artment </w:t>
      </w:r>
      <w:r w:rsidR="00B10B2A">
        <w:t xml:space="preserve">uses </w:t>
      </w:r>
      <w:r w:rsidR="008265D7">
        <w:t xml:space="preserve">MBS and PBS data, together with other health system data, to understand how patients interact with the health system, and </w:t>
      </w:r>
      <w:r w:rsidR="00B10B2A">
        <w:t xml:space="preserve">to </w:t>
      </w:r>
      <w:r w:rsidR="00D50570">
        <w:t>support evidence-based policy, well targeted programs</w:t>
      </w:r>
      <w:r w:rsidR="00655538">
        <w:t>, evaluation</w:t>
      </w:r>
      <w:r w:rsidR="00D50570">
        <w:t xml:space="preserve"> and best practice regulation. </w:t>
      </w:r>
      <w:r w:rsidR="002D50A1">
        <w:t xml:space="preserve"> The Department also uses </w:t>
      </w:r>
      <w:r w:rsidR="00D50570">
        <w:t xml:space="preserve">MBS and PBS data </w:t>
      </w:r>
      <w:r w:rsidR="00A44277">
        <w:t xml:space="preserve">for </w:t>
      </w:r>
      <w:r w:rsidR="001E0C2A">
        <w:t xml:space="preserve">provider </w:t>
      </w:r>
      <w:r w:rsidR="00A44277">
        <w:t>compliance purposes</w:t>
      </w:r>
      <w:r w:rsidR="001E0C2A">
        <w:t xml:space="preserve"> (</w:t>
      </w:r>
      <w:r w:rsidR="00A44277">
        <w:t>incorrect claiming</w:t>
      </w:r>
      <w:r w:rsidR="00FC7C35">
        <w:t>, inappropriate practice and fraud in relation to Medicare programs)</w:t>
      </w:r>
      <w:r w:rsidR="00A44277">
        <w:t>.</w:t>
      </w:r>
    </w:p>
    <w:p w14:paraId="24E2BCD9" w14:textId="0A9F93DC" w:rsidR="00DA12E4" w:rsidRDefault="00DA12E4" w:rsidP="008F2666">
      <w:pPr>
        <w:pStyle w:val="Header"/>
        <w:tabs>
          <w:tab w:val="left" w:pos="720"/>
        </w:tabs>
      </w:pPr>
    </w:p>
    <w:p w14:paraId="37885AF3" w14:textId="700A036C" w:rsidR="00724C67" w:rsidRPr="009A0B27" w:rsidRDefault="006C505C" w:rsidP="008F2666">
      <w:pPr>
        <w:pStyle w:val="Header"/>
        <w:tabs>
          <w:tab w:val="left" w:pos="720"/>
        </w:tabs>
        <w:rPr>
          <w:color w:val="000000" w:themeColor="text1"/>
        </w:rPr>
      </w:pPr>
      <w:r w:rsidRPr="009A0B27">
        <w:rPr>
          <w:color w:val="000000" w:themeColor="text1"/>
        </w:rPr>
        <w:t>Data held by the Australian Government i</w:t>
      </w:r>
      <w:r w:rsidR="00724C67" w:rsidRPr="009A0B27">
        <w:rPr>
          <w:color w:val="000000" w:themeColor="text1"/>
        </w:rPr>
        <w:t xml:space="preserve">s a strategic national resource, and it is critical that the MBS and PBS datasets are utilised for public benefit.  In doing so, the Department recognises the sensitivity of health data, and the importance of having appropriate safeguards in place to maintain the privacy and security of this information.    </w:t>
      </w:r>
    </w:p>
    <w:p w14:paraId="0515F66C" w14:textId="77777777" w:rsidR="00724C67" w:rsidRDefault="00724C67" w:rsidP="008F2666">
      <w:pPr>
        <w:pStyle w:val="Header"/>
        <w:tabs>
          <w:tab w:val="left" w:pos="720"/>
        </w:tabs>
      </w:pPr>
    </w:p>
    <w:p w14:paraId="2C937291" w14:textId="47303944" w:rsidR="00E655D0" w:rsidRDefault="00D50570" w:rsidP="008F2666">
      <w:pPr>
        <w:pStyle w:val="Header"/>
        <w:tabs>
          <w:tab w:val="left" w:pos="720"/>
        </w:tabs>
      </w:pPr>
      <w:r>
        <w:t xml:space="preserve">The </w:t>
      </w:r>
      <w:r w:rsidR="00B10B2A" w:rsidRPr="00D50570">
        <w:rPr>
          <w:i/>
        </w:rPr>
        <w:t>National Health Reform Agreement Addendum 2020-2025</w:t>
      </w:r>
      <w:r>
        <w:t xml:space="preserve"> </w:t>
      </w:r>
      <w:r w:rsidR="00A44277">
        <w:t>refers to ‘</w:t>
      </w:r>
      <w:r w:rsidR="00B10B2A">
        <w:t>enhanced health data</w:t>
      </w:r>
      <w:r w:rsidR="00A44277">
        <w:t xml:space="preserve">’ as </w:t>
      </w:r>
      <w:r w:rsidR="00B10B2A">
        <w:t xml:space="preserve">a critical enabler for long term health reform, and the </w:t>
      </w:r>
      <w:r>
        <w:t xml:space="preserve">Commonwealth and State/Territory Governments </w:t>
      </w:r>
      <w:r w:rsidR="00B10B2A">
        <w:t xml:space="preserve">have committed to working together </w:t>
      </w:r>
      <w:r>
        <w:t xml:space="preserve">to </w:t>
      </w:r>
      <w:r w:rsidR="00B10B2A">
        <w:t xml:space="preserve">harness data and analytics to drive meaningful improvements in the health system.  The </w:t>
      </w:r>
      <w:r w:rsidR="00A44277">
        <w:t xml:space="preserve">Governments have </w:t>
      </w:r>
      <w:r w:rsidR="00B10B2A">
        <w:t xml:space="preserve">committed to achieving comprehensive health data access, usage and sharing, while at the same time maintaining data security and preserving individuals’ privacy. The </w:t>
      </w:r>
      <w:r w:rsidR="00A44277">
        <w:t xml:space="preserve">Governments </w:t>
      </w:r>
      <w:r w:rsidR="00B10B2A">
        <w:t>have also committed to progress mechanisms and interoperable systems for secure and co</w:t>
      </w:r>
      <w:r w:rsidR="00B10B2A" w:rsidRPr="00957EAA">
        <w:t xml:space="preserve">mprehensive integration of data across patient journeys. </w:t>
      </w:r>
      <w:r w:rsidR="00E655D0">
        <w:br w:type="page"/>
      </w:r>
    </w:p>
    <w:p w14:paraId="116094BE" w14:textId="77777777" w:rsidR="00E655D0" w:rsidRDefault="00E655D0" w:rsidP="008F2666">
      <w:pPr>
        <w:pStyle w:val="Header"/>
        <w:tabs>
          <w:tab w:val="left" w:pos="720"/>
          <w:tab w:val="left" w:pos="5812"/>
        </w:tabs>
      </w:pPr>
    </w:p>
    <w:p w14:paraId="75EAE11F" w14:textId="23A1CDCA" w:rsidR="00E655D0" w:rsidRDefault="00957EAA" w:rsidP="008F2666">
      <w:pPr>
        <w:pStyle w:val="Header"/>
        <w:tabs>
          <w:tab w:val="left" w:pos="720"/>
          <w:tab w:val="left" w:pos="5812"/>
        </w:tabs>
      </w:pPr>
      <w:r w:rsidRPr="00957EAA">
        <w:t>Linked d</w:t>
      </w:r>
      <w:r w:rsidRPr="00957EAA">
        <w:rPr>
          <w:rFonts w:cs="Segoe UI"/>
          <w:color w:val="000000"/>
          <w:shd w:val="clear" w:color="auto" w:fill="FFFFFF"/>
        </w:rPr>
        <w:t>ata assets hold a broad range of data that allow complex questions to be analysed, with new insights that aren’t available from a single data source</w:t>
      </w:r>
      <w:r>
        <w:rPr>
          <w:rStyle w:val="FootnoteReference"/>
          <w:rFonts w:cs="Segoe UI"/>
          <w:color w:val="000000"/>
          <w:shd w:val="clear" w:color="auto" w:fill="FFFFFF"/>
        </w:rPr>
        <w:footnoteReference w:id="1"/>
      </w:r>
      <w:r w:rsidRPr="00957EAA">
        <w:t xml:space="preserve">.  </w:t>
      </w:r>
      <w:r w:rsidR="008265D7" w:rsidRPr="00957EAA">
        <w:t xml:space="preserve">The ability to link key health datasets is </w:t>
      </w:r>
      <w:r w:rsidR="006A5A57" w:rsidRPr="00957EAA">
        <w:t>c</w:t>
      </w:r>
      <w:r w:rsidR="001735C9" w:rsidRPr="00957EAA">
        <w:t>ritical to understand</w:t>
      </w:r>
      <w:r w:rsidR="001168E8" w:rsidRPr="00957EAA">
        <w:t>ing</w:t>
      </w:r>
      <w:r w:rsidR="001735C9" w:rsidRPr="00957EAA">
        <w:t xml:space="preserve"> patient pathways</w:t>
      </w:r>
      <w:r w:rsidR="002D50A1" w:rsidRPr="00957EAA">
        <w:t xml:space="preserve"> through the health system</w:t>
      </w:r>
      <w:r w:rsidR="001168E8" w:rsidRPr="00957EAA">
        <w:t xml:space="preserve">, and implications for patient health outcomes.  </w:t>
      </w:r>
      <w:r w:rsidR="00A95142" w:rsidRPr="00957EAA">
        <w:t>The Department’s submission to the Senate Select Committee</w:t>
      </w:r>
      <w:r w:rsidR="00A95142">
        <w:t xml:space="preserve"> on Health’s inquiry into big data and data linkage noted the potential for significant benefits in the health system as a result of analysing linked data</w:t>
      </w:r>
      <w:r>
        <w:rPr>
          <w:rStyle w:val="FootnoteReference"/>
        </w:rPr>
        <w:footnoteReference w:id="2"/>
      </w:r>
      <w:r w:rsidR="00A95142">
        <w:t xml:space="preserve">.  </w:t>
      </w:r>
    </w:p>
    <w:p w14:paraId="702AE5E3" w14:textId="77777777" w:rsidR="006C505C" w:rsidRDefault="006C505C" w:rsidP="008F2666">
      <w:pPr>
        <w:pStyle w:val="Header"/>
        <w:tabs>
          <w:tab w:val="left" w:pos="720"/>
          <w:tab w:val="left" w:pos="5812"/>
        </w:tabs>
      </w:pPr>
    </w:p>
    <w:p w14:paraId="19089C61" w14:textId="50F1CA79" w:rsidR="00D679E6" w:rsidRDefault="002D50A1" w:rsidP="008F2666">
      <w:pPr>
        <w:pStyle w:val="Header"/>
        <w:tabs>
          <w:tab w:val="left" w:pos="720"/>
          <w:tab w:val="left" w:pos="5812"/>
        </w:tabs>
      </w:pPr>
      <w:r>
        <w:t xml:space="preserve">The Department </w:t>
      </w:r>
      <w:r w:rsidR="00D811B6">
        <w:t>supports revision of</w:t>
      </w:r>
      <w:r w:rsidR="009953DA">
        <w:t xml:space="preserve"> the Rules </w:t>
      </w:r>
      <w:r w:rsidR="00D811B6">
        <w:t>so as</w:t>
      </w:r>
      <w:r w:rsidR="009953DA">
        <w:t xml:space="preserve"> to facilitate the </w:t>
      </w:r>
      <w:r w:rsidR="006C505C" w:rsidRPr="009A0B27">
        <w:rPr>
          <w:color w:val="000000" w:themeColor="text1"/>
        </w:rPr>
        <w:t xml:space="preserve">effective </w:t>
      </w:r>
      <w:r w:rsidR="009953DA">
        <w:t xml:space="preserve">use of linked MBS and PBS data to achieve best practice policy, evaluation and </w:t>
      </w:r>
      <w:r w:rsidR="0057521A">
        <w:t xml:space="preserve">service </w:t>
      </w:r>
      <w:r w:rsidR="009953DA">
        <w:t>planning</w:t>
      </w:r>
      <w:r w:rsidR="00D811B6">
        <w:t>, while maintaining strict privacy and security of this data</w:t>
      </w:r>
      <w:r w:rsidR="009953DA">
        <w:t xml:space="preserve">. </w:t>
      </w:r>
      <w:r w:rsidR="00D679E6">
        <w:t xml:space="preserve">For example, </w:t>
      </w:r>
      <w:r w:rsidR="00D811B6">
        <w:t xml:space="preserve">a mechanism to </w:t>
      </w:r>
      <w:r w:rsidR="008B2E62">
        <w:t xml:space="preserve">allow </w:t>
      </w:r>
      <w:r w:rsidR="00D811B6">
        <w:t>an</w:t>
      </w:r>
      <w:r w:rsidR="008B2E62">
        <w:t>a</w:t>
      </w:r>
      <w:r w:rsidR="00D811B6">
        <w:t xml:space="preserve">lysis of </w:t>
      </w:r>
      <w:r w:rsidR="00D679E6">
        <w:t>a linked MBS and PBS dataset to inform the Government’s response to the COVID-19 pandemic and to evaluate the policy and program interventions being put in place</w:t>
      </w:r>
      <w:r w:rsidR="008A2A6B">
        <w:t>, would be extremely beneficial</w:t>
      </w:r>
      <w:r w:rsidR="00D679E6">
        <w:t xml:space="preserve">.  This </w:t>
      </w:r>
      <w:r w:rsidR="00D811B6">
        <w:t xml:space="preserve">activity was precluded due to the current form of </w:t>
      </w:r>
      <w:r w:rsidR="00D679E6">
        <w:t>the Rules.</w:t>
      </w:r>
    </w:p>
    <w:p w14:paraId="19240BDA" w14:textId="77777777" w:rsidR="006C505C" w:rsidRDefault="006C505C" w:rsidP="008F2666">
      <w:pPr>
        <w:pStyle w:val="Header"/>
        <w:tabs>
          <w:tab w:val="left" w:pos="720"/>
        </w:tabs>
      </w:pPr>
    </w:p>
    <w:p w14:paraId="493A090A" w14:textId="362BF4E3" w:rsidR="00957EAA" w:rsidRPr="009A0B27" w:rsidRDefault="00A4350A" w:rsidP="008F2666">
      <w:pPr>
        <w:pStyle w:val="Header"/>
        <w:tabs>
          <w:tab w:val="left" w:pos="720"/>
        </w:tabs>
        <w:rPr>
          <w:color w:val="000000" w:themeColor="text1"/>
        </w:rPr>
      </w:pPr>
      <w:r>
        <w:t xml:space="preserve">The Department has supported the </w:t>
      </w:r>
      <w:r w:rsidR="006C505C">
        <w:t>inclusion</w:t>
      </w:r>
      <w:r>
        <w:t xml:space="preserve"> of MBS</w:t>
      </w:r>
      <w:r w:rsidR="00655538">
        <w:t xml:space="preserve">, </w:t>
      </w:r>
      <w:r>
        <w:t xml:space="preserve">PBS </w:t>
      </w:r>
      <w:r w:rsidR="00655538">
        <w:t xml:space="preserve">and other departmental </w:t>
      </w:r>
      <w:r w:rsidR="006C505C">
        <w:t>data in</w:t>
      </w:r>
      <w:r>
        <w:t xml:space="preserve"> the ABS Multi Agency Data Integration Project and the AIHW National Integrated Health Services Information Analysis Asset to enable access by government and non-government researchers to de-identified data consistent with the governance arrangements in place for these enduring linked datasets</w:t>
      </w:r>
      <w:r w:rsidRPr="009A0B27">
        <w:rPr>
          <w:color w:val="000000" w:themeColor="text1"/>
        </w:rPr>
        <w:t xml:space="preserve">. </w:t>
      </w:r>
      <w:r w:rsidR="001A0208" w:rsidRPr="009A0B27">
        <w:rPr>
          <w:color w:val="000000" w:themeColor="text1"/>
        </w:rPr>
        <w:t xml:space="preserve"> These data assets can </w:t>
      </w:r>
      <w:r w:rsidR="00772F9B" w:rsidRPr="009A0B27">
        <w:rPr>
          <w:color w:val="000000" w:themeColor="text1"/>
        </w:rPr>
        <w:t>support analyses t</w:t>
      </w:r>
      <w:r w:rsidR="00724C67" w:rsidRPr="009A0B27">
        <w:rPr>
          <w:color w:val="000000" w:themeColor="text1"/>
        </w:rPr>
        <w:t>o</w:t>
      </w:r>
      <w:r w:rsidR="00772F9B" w:rsidRPr="009A0B27">
        <w:rPr>
          <w:color w:val="000000" w:themeColor="text1"/>
        </w:rPr>
        <w:t xml:space="preserve"> strengthen evidence based policy making and advances in health care delivery, </w:t>
      </w:r>
      <w:r w:rsidR="00724C67" w:rsidRPr="009A0B27">
        <w:rPr>
          <w:color w:val="000000" w:themeColor="text1"/>
        </w:rPr>
        <w:t>which in turn can improve patient outcomes and health system effectiveness.</w:t>
      </w:r>
      <w:r w:rsidR="001A0208" w:rsidRPr="009A0B27">
        <w:rPr>
          <w:color w:val="000000" w:themeColor="text1"/>
        </w:rPr>
        <w:t xml:space="preserve"> </w:t>
      </w:r>
    </w:p>
    <w:p w14:paraId="17008AD3" w14:textId="77777777" w:rsidR="006C505C" w:rsidRDefault="006C505C" w:rsidP="008F2666">
      <w:pPr>
        <w:pStyle w:val="Header"/>
        <w:tabs>
          <w:tab w:val="left" w:pos="720"/>
        </w:tabs>
      </w:pPr>
    </w:p>
    <w:p w14:paraId="527997F4" w14:textId="1DAA9057" w:rsidR="009B2F3E" w:rsidRPr="00143239" w:rsidRDefault="00635130" w:rsidP="008F2666">
      <w:pPr>
        <w:pStyle w:val="Header"/>
        <w:tabs>
          <w:tab w:val="left" w:pos="720"/>
        </w:tabs>
      </w:pPr>
      <w:r>
        <w:t>In addition, t</w:t>
      </w:r>
      <w:r w:rsidR="001A2B2A">
        <w:t xml:space="preserve">he Department </w:t>
      </w:r>
      <w:r w:rsidR="00957EAA">
        <w:t xml:space="preserve">uses MBS and PBS data for compliance purposes to </w:t>
      </w:r>
      <w:r w:rsidR="00FC7C35">
        <w:t>identify</w:t>
      </w:r>
      <w:r w:rsidR="00957EAA">
        <w:t xml:space="preserve"> incorrect claiming</w:t>
      </w:r>
      <w:r w:rsidR="00FC7C35">
        <w:t>, in appropriate practice and fraud in relation to Medicare programs</w:t>
      </w:r>
      <w:r w:rsidR="00957EAA">
        <w:t xml:space="preserve">. </w:t>
      </w:r>
      <w:r w:rsidR="00425749">
        <w:t>T</w:t>
      </w:r>
      <w:r w:rsidR="0063458D" w:rsidRPr="00425749">
        <w:t xml:space="preserve">he </w:t>
      </w:r>
      <w:r w:rsidR="00EA4F8F" w:rsidRPr="00E655D0">
        <w:rPr>
          <w:i/>
        </w:rPr>
        <w:t xml:space="preserve">National Health Act </w:t>
      </w:r>
      <w:r w:rsidR="00E655D0" w:rsidRPr="00E655D0">
        <w:rPr>
          <w:i/>
        </w:rPr>
        <w:t>1953</w:t>
      </w:r>
      <w:r w:rsidR="00E655D0">
        <w:t xml:space="preserve"> (National Health Act)</w:t>
      </w:r>
      <w:r w:rsidR="001A0208">
        <w:t xml:space="preserve"> </w:t>
      </w:r>
      <w:r w:rsidR="00FC7C35">
        <w:rPr>
          <w:rFonts w:cs="Helvetica"/>
          <w:color w:val="222222"/>
        </w:rPr>
        <w:t xml:space="preserve">was amended in late 2019 to enable </w:t>
      </w:r>
      <w:r w:rsidR="00EA4F8F" w:rsidRPr="001A2B2A">
        <w:rPr>
          <w:rFonts w:cs="Helvetica"/>
          <w:color w:val="222222"/>
        </w:rPr>
        <w:t xml:space="preserve">the Department to undertake data-matching, </w:t>
      </w:r>
      <w:r w:rsidR="00FC7C35">
        <w:rPr>
          <w:rFonts w:cs="Helvetica"/>
          <w:color w:val="222222"/>
        </w:rPr>
        <w:t>including MBS and PBS data matching,</w:t>
      </w:r>
      <w:r w:rsidR="00DF488A" w:rsidRPr="001A2B2A">
        <w:rPr>
          <w:rFonts w:cs="Helvetica"/>
          <w:color w:val="222222"/>
        </w:rPr>
        <w:t xml:space="preserve"> for permitted purpose</w:t>
      </w:r>
      <w:r w:rsidR="00FC7C35">
        <w:rPr>
          <w:rFonts w:cs="Helvetica"/>
          <w:color w:val="222222"/>
        </w:rPr>
        <w:t>s relating to Medicare compliance</w:t>
      </w:r>
      <w:r w:rsidR="00957EAA" w:rsidRPr="001A2B2A">
        <w:rPr>
          <w:rFonts w:cs="Helvetica"/>
          <w:color w:val="222222"/>
        </w:rPr>
        <w:t xml:space="preserve">.  </w:t>
      </w:r>
      <w:r w:rsidR="00724C67" w:rsidRPr="009A0B27">
        <w:t xml:space="preserve">This ability to match data is in the public interest as it will improve the Department’s ability to identify fraud and incorrect or inappropriate claiming, and protect the integrity of the health programs by ensuring only eligible services are paid for. </w:t>
      </w:r>
      <w:r w:rsidR="00EA4F8F" w:rsidRPr="009A0B27">
        <w:rPr>
          <w:rFonts w:cs="Helvetica"/>
          <w:shd w:val="clear" w:color="auto" w:fill="FFFFFF"/>
        </w:rPr>
        <w:t xml:space="preserve">Further information regarding these data matching </w:t>
      </w:r>
      <w:r w:rsidR="00DF488A" w:rsidRPr="009A0B27">
        <w:rPr>
          <w:rFonts w:cs="Helvetica"/>
          <w:shd w:val="clear" w:color="auto" w:fill="FFFFFF"/>
        </w:rPr>
        <w:t xml:space="preserve">arrangements can </w:t>
      </w:r>
      <w:r w:rsidR="00F8199A" w:rsidRPr="009A0B27">
        <w:rPr>
          <w:rFonts w:cs="Helvetica"/>
          <w:shd w:val="clear" w:color="auto" w:fill="FFFFFF"/>
        </w:rPr>
        <w:t xml:space="preserve">be </w:t>
      </w:r>
      <w:r w:rsidR="00DF488A" w:rsidRPr="009A0B27">
        <w:rPr>
          <w:rFonts w:cs="Helvetica"/>
          <w:shd w:val="clear" w:color="auto" w:fill="FFFFFF"/>
        </w:rPr>
        <w:t>found in</w:t>
      </w:r>
      <w:r w:rsidR="00DF488A" w:rsidRPr="001A2B2A">
        <w:rPr>
          <w:rFonts w:cs="Helvetica"/>
          <w:color w:val="222222"/>
          <w:shd w:val="clear" w:color="auto" w:fill="FFFFFF"/>
        </w:rPr>
        <w:t xml:space="preserve"> </w:t>
      </w:r>
      <w:hyperlink r:id="rId10" w:history="1">
        <w:r w:rsidR="00FC7C35" w:rsidRPr="00FC7C35">
          <w:rPr>
            <w:rStyle w:val="Hyperlink"/>
            <w:rFonts w:cs="Helvetica"/>
            <w:shd w:val="clear" w:color="auto" w:fill="FFFFFF"/>
          </w:rPr>
          <w:t>Data matching for Medicare compliance purposes</w:t>
        </w:r>
      </w:hyperlink>
      <w:r w:rsidR="00FC7C35">
        <w:rPr>
          <w:rFonts w:cs="Helvetica"/>
          <w:color w:val="222222"/>
          <w:shd w:val="clear" w:color="auto" w:fill="FFFFFF"/>
        </w:rPr>
        <w:t xml:space="preserve">. </w:t>
      </w:r>
    </w:p>
    <w:p w14:paraId="0375A32A" w14:textId="022D32FF" w:rsidR="008F2666" w:rsidRDefault="008F2666" w:rsidP="008F2666">
      <w:pPr>
        <w:rPr>
          <w:b/>
        </w:rPr>
      </w:pPr>
    </w:p>
    <w:p w14:paraId="00AA5265" w14:textId="1FEDDE4B" w:rsidR="005A5C7E" w:rsidRPr="00143239" w:rsidRDefault="005A5C7E" w:rsidP="008F2666">
      <w:pPr>
        <w:rPr>
          <w:b/>
        </w:rPr>
      </w:pPr>
      <w:r w:rsidRPr="00143239">
        <w:rPr>
          <w:b/>
        </w:rPr>
        <w:t>Response to questions</w:t>
      </w:r>
    </w:p>
    <w:p w14:paraId="21279A53" w14:textId="77777777" w:rsidR="00143239" w:rsidRPr="00143239" w:rsidRDefault="00143239" w:rsidP="008F2666"/>
    <w:p w14:paraId="07582D63" w14:textId="77777777" w:rsidR="00271D04" w:rsidRPr="00F328D2" w:rsidRDefault="00271D04" w:rsidP="008F2666">
      <w:pPr>
        <w:pStyle w:val="ListNumber"/>
        <w:spacing w:after="0"/>
        <w:ind w:left="426" w:hanging="369"/>
        <w:rPr>
          <w:rFonts w:ascii="Book Antiqua" w:hAnsi="Book Antiqua"/>
          <w:i/>
          <w:sz w:val="24"/>
          <w:szCs w:val="24"/>
        </w:rPr>
      </w:pPr>
      <w:r w:rsidRPr="00F328D2">
        <w:rPr>
          <w:rFonts w:ascii="Book Antiqua" w:hAnsi="Book Antiqua"/>
          <w:i/>
          <w:sz w:val="24"/>
          <w:szCs w:val="24"/>
        </w:rPr>
        <w:t>What provisions in the Rules work well and should remain as they are or with minimal changes?</w:t>
      </w:r>
    </w:p>
    <w:p w14:paraId="5CD1D5AA" w14:textId="77777777" w:rsidR="00FA6717" w:rsidRPr="00F328D2" w:rsidRDefault="005B3CDE" w:rsidP="008F2666">
      <w:pPr>
        <w:pStyle w:val="ListNumber"/>
        <w:spacing w:after="0"/>
        <w:ind w:left="426" w:hanging="369"/>
        <w:rPr>
          <w:rFonts w:ascii="Book Antiqua" w:hAnsi="Book Antiqua"/>
          <w:i/>
          <w:sz w:val="24"/>
          <w:szCs w:val="24"/>
        </w:rPr>
      </w:pPr>
      <w:r w:rsidRPr="00F328D2">
        <w:rPr>
          <w:rFonts w:ascii="Book Antiqua" w:hAnsi="Book Antiqua"/>
          <w:i/>
          <w:sz w:val="24"/>
          <w:szCs w:val="24"/>
        </w:rPr>
        <w:t>What provisions in the Rules are no longer fit for purpose? Why?</w:t>
      </w:r>
    </w:p>
    <w:p w14:paraId="78FEC0C5" w14:textId="77777777" w:rsidR="00FA6717" w:rsidRPr="00F328D2" w:rsidRDefault="008D4E4A" w:rsidP="008F2666">
      <w:pPr>
        <w:pStyle w:val="ListNumber"/>
        <w:spacing w:after="0"/>
        <w:ind w:left="426" w:hanging="369"/>
        <w:rPr>
          <w:rFonts w:ascii="Book Antiqua" w:hAnsi="Book Antiqua"/>
          <w:i/>
          <w:sz w:val="24"/>
          <w:szCs w:val="24"/>
        </w:rPr>
      </w:pPr>
      <w:r w:rsidRPr="00F328D2">
        <w:rPr>
          <w:rFonts w:ascii="Book Antiqua" w:hAnsi="Book Antiqua"/>
          <w:i/>
          <w:sz w:val="24"/>
          <w:szCs w:val="24"/>
        </w:rPr>
        <w:t>Do the Rules get the balance right between protection of privacy on the one hand and use of claims information on the other? Why or why not?</w:t>
      </w:r>
    </w:p>
    <w:p w14:paraId="60363E33" w14:textId="77777777" w:rsidR="00FA6717" w:rsidRPr="00F328D2" w:rsidRDefault="008D4E4A" w:rsidP="008F2666">
      <w:pPr>
        <w:pStyle w:val="ListNumber"/>
        <w:spacing w:after="0"/>
        <w:ind w:left="426" w:hanging="369"/>
        <w:rPr>
          <w:rFonts w:ascii="Book Antiqua" w:hAnsi="Book Antiqua"/>
          <w:i/>
          <w:sz w:val="24"/>
          <w:szCs w:val="24"/>
        </w:rPr>
      </w:pPr>
      <w:r w:rsidRPr="00F328D2">
        <w:rPr>
          <w:rFonts w:ascii="Book Antiqua" w:hAnsi="Book Antiqua"/>
          <w:i/>
          <w:sz w:val="24"/>
          <w:szCs w:val="24"/>
        </w:rPr>
        <w:t>Which provisions in the Rules are too prescriptive / not prescriptive enough?</w:t>
      </w:r>
    </w:p>
    <w:p w14:paraId="1BFD1574" w14:textId="77777777" w:rsidR="008D4E4A" w:rsidRPr="00F328D2" w:rsidRDefault="00FA6717" w:rsidP="008F2666">
      <w:pPr>
        <w:pStyle w:val="ListNumber"/>
        <w:spacing w:after="0"/>
        <w:ind w:left="426" w:hanging="369"/>
        <w:rPr>
          <w:rFonts w:ascii="Book Antiqua" w:hAnsi="Book Antiqua"/>
          <w:i/>
          <w:sz w:val="24"/>
          <w:szCs w:val="24"/>
        </w:rPr>
      </w:pPr>
      <w:r w:rsidRPr="00F328D2">
        <w:rPr>
          <w:rFonts w:ascii="Book Antiqua" w:hAnsi="Book Antiqua"/>
          <w:i/>
          <w:sz w:val="24"/>
          <w:szCs w:val="24"/>
        </w:rPr>
        <w:t>Would any parts of the Rules benefit from being made more principles-based? Why?</w:t>
      </w:r>
    </w:p>
    <w:p w14:paraId="572CBE55" w14:textId="77777777" w:rsidR="00FA6717" w:rsidRDefault="00FA6717" w:rsidP="008F2666">
      <w:pPr>
        <w:pStyle w:val="ListNumber"/>
        <w:numPr>
          <w:ilvl w:val="0"/>
          <w:numId w:val="0"/>
        </w:numPr>
        <w:spacing w:after="0"/>
        <w:ind w:left="426"/>
        <w:rPr>
          <w:rFonts w:ascii="Book Antiqua" w:hAnsi="Book Antiqua"/>
          <w:sz w:val="24"/>
          <w:szCs w:val="24"/>
        </w:rPr>
      </w:pPr>
    </w:p>
    <w:p w14:paraId="53B856E1" w14:textId="77777777" w:rsidR="008F2666" w:rsidRDefault="008F2666">
      <w:pPr>
        <w:rPr>
          <w:rFonts w:eastAsiaTheme="minorEastAsia"/>
          <w:lang w:eastAsia="en-US"/>
        </w:rPr>
      </w:pPr>
      <w:r>
        <w:br w:type="page"/>
      </w:r>
    </w:p>
    <w:p w14:paraId="72B5533F" w14:textId="77777777" w:rsidR="008F2666" w:rsidRDefault="008F2666" w:rsidP="008F2666">
      <w:pPr>
        <w:pStyle w:val="ListNumber"/>
        <w:numPr>
          <w:ilvl w:val="0"/>
          <w:numId w:val="0"/>
        </w:numPr>
        <w:spacing w:after="0"/>
        <w:ind w:left="142"/>
        <w:rPr>
          <w:rFonts w:ascii="Book Antiqua" w:hAnsi="Book Antiqua"/>
          <w:sz w:val="24"/>
          <w:szCs w:val="24"/>
        </w:rPr>
      </w:pPr>
    </w:p>
    <w:p w14:paraId="57E9C6B7" w14:textId="640F0AB1" w:rsidR="008F2666" w:rsidRDefault="004E076B" w:rsidP="008F2666">
      <w:pPr>
        <w:pStyle w:val="ListNumber"/>
        <w:numPr>
          <w:ilvl w:val="0"/>
          <w:numId w:val="0"/>
        </w:numPr>
        <w:spacing w:after="0"/>
        <w:ind w:left="142"/>
        <w:rPr>
          <w:rFonts w:ascii="Book Antiqua" w:hAnsi="Book Antiqua"/>
          <w:sz w:val="24"/>
          <w:szCs w:val="24"/>
        </w:rPr>
      </w:pPr>
      <w:r w:rsidRPr="0077419A">
        <w:rPr>
          <w:rFonts w:ascii="Book Antiqua" w:hAnsi="Book Antiqua"/>
          <w:sz w:val="24"/>
          <w:szCs w:val="24"/>
        </w:rPr>
        <w:t xml:space="preserve">The Rules provide legal authority for Services Australia to disclose MBS and PBS claims information to </w:t>
      </w:r>
      <w:r>
        <w:rPr>
          <w:rFonts w:ascii="Book Antiqua" w:hAnsi="Book Antiqua"/>
          <w:sz w:val="24"/>
          <w:szCs w:val="24"/>
        </w:rPr>
        <w:t>the Department</w:t>
      </w:r>
      <w:r w:rsidR="003E5FC3">
        <w:rPr>
          <w:rFonts w:ascii="Book Antiqua" w:hAnsi="Book Antiqua"/>
          <w:sz w:val="24"/>
          <w:szCs w:val="24"/>
        </w:rPr>
        <w:t>, and for the Department to use and disclose this information in specified circum</w:t>
      </w:r>
      <w:r w:rsidR="00FC3D21">
        <w:rPr>
          <w:rFonts w:ascii="Book Antiqua" w:hAnsi="Book Antiqua"/>
          <w:sz w:val="24"/>
          <w:szCs w:val="24"/>
        </w:rPr>
        <w:t>stances</w:t>
      </w:r>
      <w:r>
        <w:rPr>
          <w:rFonts w:ascii="Book Antiqua" w:hAnsi="Book Antiqua"/>
          <w:sz w:val="24"/>
          <w:szCs w:val="24"/>
        </w:rPr>
        <w:t>.  It is critical that the Rules re</w:t>
      </w:r>
      <w:r w:rsidR="00FC3D21">
        <w:rPr>
          <w:rFonts w:ascii="Book Antiqua" w:hAnsi="Book Antiqua"/>
          <w:sz w:val="24"/>
          <w:szCs w:val="24"/>
        </w:rPr>
        <w:t xml:space="preserve">tain </w:t>
      </w:r>
      <w:r>
        <w:rPr>
          <w:rFonts w:ascii="Book Antiqua" w:hAnsi="Book Antiqua"/>
          <w:sz w:val="24"/>
          <w:szCs w:val="24"/>
        </w:rPr>
        <w:t xml:space="preserve">provisions to enable the Department to continue to </w:t>
      </w:r>
      <w:r w:rsidR="00FC3D21">
        <w:rPr>
          <w:rFonts w:ascii="Book Antiqua" w:hAnsi="Book Antiqua"/>
          <w:sz w:val="24"/>
          <w:szCs w:val="24"/>
        </w:rPr>
        <w:t>collect</w:t>
      </w:r>
      <w:r w:rsidR="00022B5F">
        <w:rPr>
          <w:rFonts w:ascii="Book Antiqua" w:hAnsi="Book Antiqua"/>
          <w:sz w:val="24"/>
          <w:szCs w:val="24"/>
        </w:rPr>
        <w:t xml:space="preserve"> (such as r 8(9))</w:t>
      </w:r>
      <w:r w:rsidR="00FC3D21">
        <w:rPr>
          <w:rFonts w:ascii="Book Antiqua" w:hAnsi="Book Antiqua"/>
          <w:sz w:val="24"/>
          <w:szCs w:val="24"/>
        </w:rPr>
        <w:t>, use</w:t>
      </w:r>
      <w:r w:rsidR="00022B5F">
        <w:rPr>
          <w:rFonts w:ascii="Book Antiqua" w:hAnsi="Book Antiqua"/>
          <w:sz w:val="24"/>
          <w:szCs w:val="24"/>
        </w:rPr>
        <w:t xml:space="preserve"> (such as r13(1)</w:t>
      </w:r>
      <w:r w:rsidR="00F8199A">
        <w:rPr>
          <w:rFonts w:ascii="Book Antiqua" w:hAnsi="Book Antiqua"/>
          <w:sz w:val="24"/>
          <w:szCs w:val="24"/>
        </w:rPr>
        <w:t>)</w:t>
      </w:r>
      <w:r w:rsidR="00FC3D21">
        <w:rPr>
          <w:rFonts w:ascii="Book Antiqua" w:hAnsi="Book Antiqua"/>
          <w:sz w:val="24"/>
          <w:szCs w:val="24"/>
        </w:rPr>
        <w:t xml:space="preserve">, and disclose </w:t>
      </w:r>
      <w:r w:rsidR="00022B5F">
        <w:rPr>
          <w:rFonts w:ascii="Book Antiqua" w:hAnsi="Book Antiqua"/>
          <w:sz w:val="24"/>
          <w:szCs w:val="24"/>
        </w:rPr>
        <w:t xml:space="preserve">(such as </w:t>
      </w:r>
      <w:r w:rsidR="005F610E">
        <w:rPr>
          <w:rFonts w:ascii="Book Antiqua" w:hAnsi="Book Antiqua"/>
          <w:sz w:val="24"/>
          <w:szCs w:val="24"/>
        </w:rPr>
        <w:t>r 13(6)</w:t>
      </w:r>
      <w:r w:rsidR="00E655D0">
        <w:rPr>
          <w:rFonts w:ascii="Book Antiqua" w:hAnsi="Book Antiqua"/>
          <w:sz w:val="24"/>
          <w:szCs w:val="24"/>
        </w:rPr>
        <w:t>)</w:t>
      </w:r>
      <w:r w:rsidR="005F610E">
        <w:rPr>
          <w:rFonts w:ascii="Book Antiqua" w:hAnsi="Book Antiqua"/>
          <w:sz w:val="24"/>
          <w:szCs w:val="24"/>
        </w:rPr>
        <w:t xml:space="preserve"> </w:t>
      </w:r>
      <w:r w:rsidR="00E94208">
        <w:rPr>
          <w:rFonts w:ascii="Book Antiqua" w:hAnsi="Book Antiqua"/>
          <w:sz w:val="24"/>
          <w:szCs w:val="24"/>
        </w:rPr>
        <w:t xml:space="preserve">MBS and PBS data as </w:t>
      </w:r>
      <w:r w:rsidR="00FC3D21">
        <w:rPr>
          <w:rFonts w:ascii="Book Antiqua" w:hAnsi="Book Antiqua"/>
          <w:sz w:val="24"/>
          <w:szCs w:val="24"/>
        </w:rPr>
        <w:t xml:space="preserve">appropriate, </w:t>
      </w:r>
      <w:r w:rsidR="00070343">
        <w:rPr>
          <w:rFonts w:ascii="Book Antiqua" w:hAnsi="Book Antiqua"/>
          <w:sz w:val="24"/>
          <w:szCs w:val="24"/>
        </w:rPr>
        <w:t xml:space="preserve">for policy development, </w:t>
      </w:r>
    </w:p>
    <w:p w14:paraId="6A8EAFBF" w14:textId="1E204AFE" w:rsidR="00FC3D21" w:rsidRDefault="00070343" w:rsidP="008F2666">
      <w:pPr>
        <w:pStyle w:val="ListNumber"/>
        <w:numPr>
          <w:ilvl w:val="0"/>
          <w:numId w:val="0"/>
        </w:numPr>
        <w:spacing w:after="0"/>
        <w:ind w:left="142"/>
        <w:rPr>
          <w:rFonts w:ascii="Book Antiqua" w:hAnsi="Book Antiqua"/>
          <w:sz w:val="24"/>
          <w:szCs w:val="24"/>
        </w:rPr>
      </w:pPr>
      <w:r>
        <w:rPr>
          <w:rFonts w:ascii="Book Antiqua" w:hAnsi="Book Antiqua"/>
          <w:sz w:val="24"/>
          <w:szCs w:val="24"/>
        </w:rPr>
        <w:t xml:space="preserve">service </w:t>
      </w:r>
      <w:r w:rsidR="001A2B2A">
        <w:rPr>
          <w:rFonts w:ascii="Book Antiqua" w:hAnsi="Book Antiqua"/>
          <w:sz w:val="24"/>
          <w:szCs w:val="24"/>
        </w:rPr>
        <w:t xml:space="preserve">planning </w:t>
      </w:r>
      <w:r>
        <w:rPr>
          <w:rFonts w:ascii="Book Antiqua" w:hAnsi="Book Antiqua"/>
          <w:sz w:val="24"/>
          <w:szCs w:val="24"/>
        </w:rPr>
        <w:t>delivery, research</w:t>
      </w:r>
      <w:r w:rsidR="001A2B2A">
        <w:rPr>
          <w:rFonts w:ascii="Book Antiqua" w:hAnsi="Book Antiqua"/>
          <w:sz w:val="24"/>
          <w:szCs w:val="24"/>
        </w:rPr>
        <w:t>, regulatory</w:t>
      </w:r>
      <w:r>
        <w:rPr>
          <w:rFonts w:ascii="Book Antiqua" w:hAnsi="Book Antiqua"/>
          <w:sz w:val="24"/>
          <w:szCs w:val="24"/>
        </w:rPr>
        <w:t xml:space="preserve"> and compliance purposes.</w:t>
      </w:r>
    </w:p>
    <w:p w14:paraId="229801D7" w14:textId="77777777" w:rsidR="008F2666" w:rsidRDefault="008F2666" w:rsidP="008F2666">
      <w:pPr>
        <w:pStyle w:val="ListNumber2"/>
        <w:numPr>
          <w:ilvl w:val="0"/>
          <w:numId w:val="0"/>
        </w:numPr>
        <w:spacing w:after="0"/>
        <w:ind w:left="142"/>
        <w:rPr>
          <w:rFonts w:ascii="Book Antiqua" w:hAnsi="Book Antiqua"/>
          <w:sz w:val="24"/>
          <w:szCs w:val="24"/>
        </w:rPr>
      </w:pPr>
    </w:p>
    <w:p w14:paraId="7EF92FAA" w14:textId="2EF3370F" w:rsidR="006B1236" w:rsidRPr="009A0B27" w:rsidRDefault="00070343" w:rsidP="008F2666">
      <w:pPr>
        <w:pStyle w:val="ListNumber2"/>
        <w:numPr>
          <w:ilvl w:val="0"/>
          <w:numId w:val="0"/>
        </w:numPr>
        <w:spacing w:after="0"/>
        <w:ind w:left="142"/>
        <w:rPr>
          <w:rFonts w:ascii="Book Antiqua" w:hAnsi="Book Antiqua"/>
          <w:color w:val="000000" w:themeColor="text1"/>
          <w:sz w:val="24"/>
          <w:szCs w:val="24"/>
        </w:rPr>
      </w:pPr>
      <w:r>
        <w:rPr>
          <w:rFonts w:ascii="Book Antiqua" w:hAnsi="Book Antiqua"/>
          <w:sz w:val="24"/>
          <w:szCs w:val="24"/>
        </w:rPr>
        <w:t>As a general comment, t</w:t>
      </w:r>
      <w:r w:rsidR="001735C9">
        <w:rPr>
          <w:rFonts w:ascii="Book Antiqua" w:hAnsi="Book Antiqua"/>
          <w:sz w:val="24"/>
          <w:szCs w:val="24"/>
        </w:rPr>
        <w:t xml:space="preserve">he Department considers that the Rules are </w:t>
      </w:r>
      <w:r>
        <w:rPr>
          <w:rFonts w:ascii="Book Antiqua" w:hAnsi="Book Antiqua"/>
          <w:sz w:val="24"/>
          <w:szCs w:val="24"/>
        </w:rPr>
        <w:t xml:space="preserve">in need of an update </w:t>
      </w:r>
      <w:r w:rsidR="007B6D96">
        <w:rPr>
          <w:rFonts w:ascii="Book Antiqua" w:hAnsi="Book Antiqua"/>
          <w:sz w:val="24"/>
          <w:szCs w:val="24"/>
        </w:rPr>
        <w:t xml:space="preserve">to take account of changes in community expectations with respect to use of public sector data, </w:t>
      </w:r>
      <w:r w:rsidR="008D4E4A">
        <w:rPr>
          <w:rFonts w:ascii="Book Antiqua" w:hAnsi="Book Antiqua"/>
          <w:sz w:val="24"/>
          <w:szCs w:val="24"/>
        </w:rPr>
        <w:t>changes in the Privacy Act</w:t>
      </w:r>
      <w:r w:rsidR="00D04214">
        <w:rPr>
          <w:rFonts w:ascii="Book Antiqua" w:hAnsi="Book Antiqua"/>
          <w:sz w:val="24"/>
          <w:szCs w:val="24"/>
        </w:rPr>
        <w:t xml:space="preserve"> including the commencement of the </w:t>
      </w:r>
      <w:r w:rsidR="00D04214" w:rsidRPr="00D04214">
        <w:rPr>
          <w:rFonts w:ascii="Book Antiqua" w:hAnsi="Book Antiqua"/>
          <w:i/>
          <w:sz w:val="24"/>
          <w:szCs w:val="24"/>
        </w:rPr>
        <w:t>Australian Privacy Principles</w:t>
      </w:r>
      <w:r w:rsidR="008D4E4A">
        <w:rPr>
          <w:rFonts w:ascii="Book Antiqua" w:hAnsi="Book Antiqua"/>
          <w:sz w:val="24"/>
          <w:szCs w:val="24"/>
        </w:rPr>
        <w:t xml:space="preserve">, </w:t>
      </w:r>
      <w:r w:rsidR="00E94208">
        <w:rPr>
          <w:rFonts w:ascii="Book Antiqua" w:hAnsi="Book Antiqua"/>
          <w:sz w:val="24"/>
          <w:szCs w:val="24"/>
        </w:rPr>
        <w:t xml:space="preserve">changes in technology </w:t>
      </w:r>
      <w:r w:rsidR="00052BFC">
        <w:rPr>
          <w:rFonts w:ascii="Book Antiqua" w:hAnsi="Book Antiqua"/>
          <w:sz w:val="24"/>
          <w:szCs w:val="24"/>
        </w:rPr>
        <w:t xml:space="preserve">and </w:t>
      </w:r>
      <w:r w:rsidR="00635130">
        <w:rPr>
          <w:rFonts w:ascii="Book Antiqua" w:hAnsi="Book Antiqua"/>
          <w:sz w:val="24"/>
          <w:szCs w:val="24"/>
        </w:rPr>
        <w:t xml:space="preserve">the need </w:t>
      </w:r>
      <w:r w:rsidR="00052BFC">
        <w:rPr>
          <w:rFonts w:ascii="Book Antiqua" w:hAnsi="Book Antiqua"/>
          <w:sz w:val="24"/>
          <w:szCs w:val="24"/>
        </w:rPr>
        <w:t xml:space="preserve">to better leverage public sector data to address complex issues.  </w:t>
      </w:r>
      <w:r>
        <w:rPr>
          <w:rFonts w:ascii="Book Antiqua" w:hAnsi="Book Antiqua"/>
          <w:sz w:val="24"/>
          <w:szCs w:val="24"/>
        </w:rPr>
        <w:t>In addition, the</w:t>
      </w:r>
      <w:r w:rsidR="00052BFC">
        <w:rPr>
          <w:rFonts w:ascii="Book Antiqua" w:hAnsi="Book Antiqua"/>
          <w:sz w:val="24"/>
          <w:szCs w:val="24"/>
        </w:rPr>
        <w:t>re are aspects of the</w:t>
      </w:r>
      <w:r>
        <w:rPr>
          <w:rFonts w:ascii="Book Antiqua" w:hAnsi="Book Antiqua"/>
          <w:sz w:val="24"/>
          <w:szCs w:val="24"/>
        </w:rPr>
        <w:t xml:space="preserve"> Rules </w:t>
      </w:r>
      <w:r w:rsidR="00052BFC">
        <w:rPr>
          <w:rFonts w:ascii="Book Antiqua" w:hAnsi="Book Antiqua"/>
          <w:sz w:val="24"/>
          <w:szCs w:val="24"/>
        </w:rPr>
        <w:t xml:space="preserve">that are </w:t>
      </w:r>
      <w:r w:rsidR="008B2E62">
        <w:rPr>
          <w:rFonts w:ascii="Book Antiqua" w:hAnsi="Book Antiqua"/>
          <w:sz w:val="24"/>
          <w:szCs w:val="24"/>
        </w:rPr>
        <w:t>complex</w:t>
      </w:r>
      <w:r w:rsidR="00052BFC">
        <w:rPr>
          <w:rFonts w:ascii="Book Antiqua" w:hAnsi="Book Antiqua"/>
          <w:sz w:val="24"/>
          <w:szCs w:val="24"/>
        </w:rPr>
        <w:t>,</w:t>
      </w:r>
      <w:r>
        <w:rPr>
          <w:rFonts w:ascii="Book Antiqua" w:hAnsi="Book Antiqua"/>
          <w:sz w:val="24"/>
          <w:szCs w:val="24"/>
        </w:rPr>
        <w:t xml:space="preserve"> </w:t>
      </w:r>
      <w:r w:rsidR="00635130">
        <w:rPr>
          <w:rFonts w:ascii="Book Antiqua" w:hAnsi="Book Antiqua"/>
          <w:sz w:val="24"/>
          <w:szCs w:val="24"/>
        </w:rPr>
        <w:t xml:space="preserve">and provisions which appear repetitive, </w:t>
      </w:r>
      <w:r w:rsidR="004D1A04">
        <w:rPr>
          <w:rFonts w:ascii="Book Antiqua" w:hAnsi="Book Antiqua"/>
          <w:sz w:val="24"/>
          <w:szCs w:val="24"/>
        </w:rPr>
        <w:t>and these c</w:t>
      </w:r>
      <w:r>
        <w:rPr>
          <w:rFonts w:ascii="Book Antiqua" w:hAnsi="Book Antiqua"/>
          <w:sz w:val="24"/>
          <w:szCs w:val="24"/>
        </w:rPr>
        <w:t xml:space="preserve">an result in differing interpretations, </w:t>
      </w:r>
      <w:r w:rsidR="00052BFC">
        <w:rPr>
          <w:rFonts w:ascii="Book Antiqua" w:hAnsi="Book Antiqua"/>
          <w:sz w:val="24"/>
          <w:szCs w:val="24"/>
        </w:rPr>
        <w:t xml:space="preserve">or delays </w:t>
      </w:r>
      <w:r w:rsidR="00635130">
        <w:rPr>
          <w:rFonts w:ascii="Book Antiqua" w:hAnsi="Book Antiqua"/>
          <w:sz w:val="24"/>
          <w:szCs w:val="24"/>
        </w:rPr>
        <w:t xml:space="preserve">in using the data </w:t>
      </w:r>
      <w:r w:rsidR="00052BFC">
        <w:rPr>
          <w:rFonts w:ascii="Book Antiqua" w:hAnsi="Book Antiqua"/>
          <w:sz w:val="24"/>
          <w:szCs w:val="24"/>
        </w:rPr>
        <w:t xml:space="preserve">because of the need to seek advice to clarify what is permitted within the Rules. </w:t>
      </w:r>
      <w:r w:rsidR="00816ED3">
        <w:rPr>
          <w:rFonts w:ascii="Book Antiqua" w:hAnsi="Book Antiqua"/>
          <w:sz w:val="24"/>
          <w:szCs w:val="24"/>
        </w:rPr>
        <w:t xml:space="preserve"> </w:t>
      </w:r>
      <w:r w:rsidR="00816ED3" w:rsidRPr="009A0B27">
        <w:rPr>
          <w:rFonts w:ascii="Book Antiqua" w:hAnsi="Book Antiqua"/>
          <w:color w:val="000000" w:themeColor="text1"/>
          <w:sz w:val="24"/>
          <w:szCs w:val="24"/>
        </w:rPr>
        <w:t xml:space="preserve">And there are some provisions </w:t>
      </w:r>
      <w:r w:rsidR="009A0B27" w:rsidRPr="009A0B27">
        <w:rPr>
          <w:rFonts w:ascii="Book Antiqua" w:hAnsi="Book Antiqua"/>
          <w:color w:val="000000" w:themeColor="text1"/>
          <w:sz w:val="24"/>
          <w:szCs w:val="24"/>
        </w:rPr>
        <w:t xml:space="preserve">that </w:t>
      </w:r>
      <w:r w:rsidR="008B2E62">
        <w:rPr>
          <w:rFonts w:ascii="Book Antiqua" w:hAnsi="Book Antiqua"/>
          <w:color w:val="000000" w:themeColor="text1"/>
          <w:sz w:val="24"/>
          <w:szCs w:val="24"/>
        </w:rPr>
        <w:t>impose</w:t>
      </w:r>
      <w:r w:rsidR="009A0B27" w:rsidRPr="009A0B27">
        <w:rPr>
          <w:rFonts w:ascii="Book Antiqua" w:hAnsi="Book Antiqua"/>
          <w:color w:val="000000" w:themeColor="text1"/>
          <w:sz w:val="24"/>
          <w:szCs w:val="24"/>
        </w:rPr>
        <w:t xml:space="preserve"> specific </w:t>
      </w:r>
      <w:r w:rsidR="008B2E62">
        <w:rPr>
          <w:rFonts w:ascii="Book Antiqua" w:hAnsi="Book Antiqua"/>
          <w:color w:val="000000" w:themeColor="text1"/>
          <w:sz w:val="24"/>
          <w:szCs w:val="24"/>
        </w:rPr>
        <w:t xml:space="preserve">requirements </w:t>
      </w:r>
      <w:r w:rsidR="005F2CA5">
        <w:rPr>
          <w:rFonts w:ascii="Book Antiqua" w:hAnsi="Book Antiqua"/>
          <w:color w:val="000000" w:themeColor="text1"/>
          <w:sz w:val="24"/>
          <w:szCs w:val="24"/>
        </w:rPr>
        <w:t xml:space="preserve">that are </w:t>
      </w:r>
      <w:r w:rsidR="008B2E62">
        <w:rPr>
          <w:rFonts w:ascii="Book Antiqua" w:hAnsi="Book Antiqua"/>
          <w:color w:val="000000" w:themeColor="text1"/>
          <w:sz w:val="24"/>
          <w:szCs w:val="24"/>
        </w:rPr>
        <w:t xml:space="preserve">not clearly associated with </w:t>
      </w:r>
      <w:r w:rsidR="00816ED3" w:rsidRPr="009A0B27">
        <w:rPr>
          <w:rFonts w:ascii="Book Antiqua" w:hAnsi="Book Antiqua"/>
          <w:color w:val="000000" w:themeColor="text1"/>
          <w:sz w:val="24"/>
          <w:szCs w:val="24"/>
        </w:rPr>
        <w:t>the privacy risk that is being mitigated.  As a result, the Department supports the Rules being more principles-based.</w:t>
      </w:r>
    </w:p>
    <w:p w14:paraId="329C8ED5" w14:textId="77777777" w:rsidR="008F2666" w:rsidRDefault="008F2666" w:rsidP="008F2666">
      <w:pPr>
        <w:pStyle w:val="ListNumber2"/>
        <w:numPr>
          <w:ilvl w:val="0"/>
          <w:numId w:val="0"/>
        </w:numPr>
        <w:spacing w:after="0"/>
        <w:ind w:left="142"/>
        <w:rPr>
          <w:rFonts w:ascii="Book Antiqua" w:hAnsi="Book Antiqua"/>
          <w:sz w:val="24"/>
          <w:szCs w:val="24"/>
        </w:rPr>
      </w:pPr>
    </w:p>
    <w:p w14:paraId="3F5A43D3" w14:textId="205FE923" w:rsidR="008F2666" w:rsidRDefault="00E94208" w:rsidP="008F2666">
      <w:pPr>
        <w:pStyle w:val="ListNumber2"/>
        <w:numPr>
          <w:ilvl w:val="0"/>
          <w:numId w:val="0"/>
        </w:numPr>
        <w:spacing w:after="0"/>
        <w:ind w:left="142"/>
        <w:rPr>
          <w:rFonts w:ascii="Book Antiqua" w:hAnsi="Book Antiqua"/>
          <w:sz w:val="24"/>
          <w:szCs w:val="24"/>
        </w:rPr>
      </w:pPr>
      <w:r>
        <w:rPr>
          <w:rFonts w:ascii="Book Antiqua" w:hAnsi="Book Antiqua"/>
          <w:sz w:val="24"/>
          <w:szCs w:val="24"/>
        </w:rPr>
        <w:t xml:space="preserve">The Department </w:t>
      </w:r>
      <w:r w:rsidR="005F2CA5">
        <w:rPr>
          <w:rFonts w:ascii="Book Antiqua" w:hAnsi="Book Antiqua"/>
          <w:sz w:val="24"/>
          <w:szCs w:val="24"/>
        </w:rPr>
        <w:t>also favours revisions to</w:t>
      </w:r>
      <w:r>
        <w:rPr>
          <w:rFonts w:ascii="Book Antiqua" w:hAnsi="Book Antiqua"/>
          <w:sz w:val="24"/>
          <w:szCs w:val="24"/>
        </w:rPr>
        <w:t xml:space="preserve"> </w:t>
      </w:r>
      <w:r w:rsidR="00052BFC">
        <w:rPr>
          <w:rFonts w:ascii="Book Antiqua" w:hAnsi="Book Antiqua"/>
          <w:sz w:val="24"/>
          <w:szCs w:val="24"/>
        </w:rPr>
        <w:t xml:space="preserve">Section 13 of the Rules </w:t>
      </w:r>
      <w:r w:rsidR="005F610E">
        <w:rPr>
          <w:rFonts w:ascii="Book Antiqua" w:hAnsi="Book Antiqua"/>
          <w:sz w:val="24"/>
          <w:szCs w:val="24"/>
        </w:rPr>
        <w:t>(or Section</w:t>
      </w:r>
      <w:r w:rsidR="00863A8A">
        <w:rPr>
          <w:rFonts w:ascii="Book Antiqua" w:hAnsi="Book Antiqua"/>
          <w:sz w:val="24"/>
          <w:szCs w:val="24"/>
        </w:rPr>
        <w:t>s</w:t>
      </w:r>
      <w:r w:rsidR="005F610E">
        <w:rPr>
          <w:rFonts w:ascii="Book Antiqua" w:hAnsi="Book Antiqua"/>
          <w:sz w:val="24"/>
          <w:szCs w:val="24"/>
        </w:rPr>
        <w:t xml:space="preserve"> 9 </w:t>
      </w:r>
      <w:r w:rsidR="00863A8A">
        <w:rPr>
          <w:rFonts w:ascii="Book Antiqua" w:hAnsi="Book Antiqua"/>
          <w:sz w:val="24"/>
          <w:szCs w:val="24"/>
        </w:rPr>
        <w:t xml:space="preserve">and 11 </w:t>
      </w:r>
      <w:r w:rsidR="0078313D">
        <w:rPr>
          <w:rFonts w:ascii="Book Antiqua" w:hAnsi="Book Antiqua"/>
          <w:sz w:val="24"/>
          <w:szCs w:val="24"/>
        </w:rPr>
        <w:t>as</w:t>
      </w:r>
      <w:r w:rsidR="005F610E">
        <w:rPr>
          <w:rFonts w:ascii="Book Antiqua" w:hAnsi="Book Antiqua"/>
          <w:sz w:val="24"/>
          <w:szCs w:val="24"/>
        </w:rPr>
        <w:t xml:space="preserve"> appropriate) </w:t>
      </w:r>
      <w:r w:rsidR="00052BFC">
        <w:rPr>
          <w:rFonts w:ascii="Book Antiqua" w:hAnsi="Book Antiqua"/>
          <w:sz w:val="24"/>
          <w:szCs w:val="24"/>
        </w:rPr>
        <w:t xml:space="preserve">as they relate to use </w:t>
      </w:r>
      <w:r w:rsidR="005F610E">
        <w:rPr>
          <w:rFonts w:ascii="Book Antiqua" w:hAnsi="Book Antiqua"/>
          <w:sz w:val="24"/>
          <w:szCs w:val="24"/>
        </w:rPr>
        <w:t xml:space="preserve">and linkage </w:t>
      </w:r>
      <w:r w:rsidR="00635130">
        <w:rPr>
          <w:rFonts w:ascii="Book Antiqua" w:hAnsi="Book Antiqua"/>
          <w:sz w:val="24"/>
          <w:szCs w:val="24"/>
        </w:rPr>
        <w:t xml:space="preserve">of MBS and PBS </w:t>
      </w:r>
      <w:r w:rsidR="00052BFC">
        <w:rPr>
          <w:rFonts w:ascii="Book Antiqua" w:hAnsi="Book Antiqua"/>
          <w:sz w:val="24"/>
          <w:szCs w:val="24"/>
        </w:rPr>
        <w:t>by the Department for p</w:t>
      </w:r>
      <w:r w:rsidR="00635130">
        <w:rPr>
          <w:rFonts w:ascii="Book Antiqua" w:hAnsi="Book Antiqua"/>
          <w:sz w:val="24"/>
          <w:szCs w:val="24"/>
        </w:rPr>
        <w:t>urposes other than compliance</w:t>
      </w:r>
      <w:r w:rsidR="00052BFC">
        <w:rPr>
          <w:rFonts w:ascii="Book Antiqua" w:hAnsi="Book Antiqua"/>
          <w:sz w:val="24"/>
          <w:szCs w:val="24"/>
        </w:rPr>
        <w:t xml:space="preserve">.  </w:t>
      </w:r>
      <w:r w:rsidR="00635130">
        <w:rPr>
          <w:rFonts w:ascii="Book Antiqua" w:hAnsi="Book Antiqua"/>
          <w:sz w:val="24"/>
          <w:szCs w:val="24"/>
        </w:rPr>
        <w:t xml:space="preserve">In particular, </w:t>
      </w:r>
      <w:r w:rsidR="004D1A04">
        <w:rPr>
          <w:rFonts w:ascii="Book Antiqua" w:hAnsi="Book Antiqua"/>
          <w:sz w:val="24"/>
          <w:szCs w:val="24"/>
        </w:rPr>
        <w:t xml:space="preserve">where a linked dataset is authorised by the Secretary, </w:t>
      </w:r>
      <w:r w:rsidR="00635130">
        <w:rPr>
          <w:rFonts w:ascii="Book Antiqua" w:hAnsi="Book Antiqua"/>
          <w:sz w:val="24"/>
          <w:szCs w:val="24"/>
        </w:rPr>
        <w:t xml:space="preserve">Section 13(3) </w:t>
      </w:r>
      <w:r w:rsidR="00052BFC">
        <w:rPr>
          <w:rFonts w:ascii="Book Antiqua" w:hAnsi="Book Antiqua"/>
          <w:sz w:val="24"/>
          <w:szCs w:val="24"/>
        </w:rPr>
        <w:t xml:space="preserve">effectively requires the creation of bespoke linked datasets which must </w:t>
      </w:r>
      <w:r w:rsidR="008D4E4A">
        <w:rPr>
          <w:rFonts w:ascii="Book Antiqua" w:hAnsi="Book Antiqua"/>
          <w:sz w:val="24"/>
          <w:szCs w:val="24"/>
        </w:rPr>
        <w:t xml:space="preserve">then </w:t>
      </w:r>
      <w:r w:rsidR="00052BFC">
        <w:rPr>
          <w:rFonts w:ascii="Book Antiqua" w:hAnsi="Book Antiqua"/>
          <w:sz w:val="24"/>
          <w:szCs w:val="24"/>
        </w:rPr>
        <w:t>be destroyed within one month of their creation.  The Depa</w:t>
      </w:r>
      <w:r w:rsidR="008D4E4A">
        <w:rPr>
          <w:rFonts w:ascii="Book Antiqua" w:hAnsi="Book Antiqua"/>
          <w:sz w:val="24"/>
          <w:szCs w:val="24"/>
        </w:rPr>
        <w:t>rtment has a r</w:t>
      </w:r>
      <w:r w:rsidR="00635130">
        <w:rPr>
          <w:rFonts w:ascii="Book Antiqua" w:hAnsi="Book Antiqua"/>
          <w:sz w:val="24"/>
          <w:szCs w:val="24"/>
        </w:rPr>
        <w:t>ange of r</w:t>
      </w:r>
      <w:r w:rsidR="008D4E4A">
        <w:rPr>
          <w:rFonts w:ascii="Book Antiqua" w:hAnsi="Book Antiqua"/>
          <w:sz w:val="24"/>
          <w:szCs w:val="24"/>
        </w:rPr>
        <w:t>equirement</w:t>
      </w:r>
      <w:r w:rsidR="00635130">
        <w:rPr>
          <w:rFonts w:ascii="Book Antiqua" w:hAnsi="Book Antiqua"/>
          <w:sz w:val="24"/>
          <w:szCs w:val="24"/>
        </w:rPr>
        <w:t>s</w:t>
      </w:r>
      <w:r w:rsidR="008D4E4A">
        <w:rPr>
          <w:rFonts w:ascii="Book Antiqua" w:hAnsi="Book Antiqua"/>
          <w:sz w:val="24"/>
          <w:szCs w:val="24"/>
        </w:rPr>
        <w:t xml:space="preserve"> for </w:t>
      </w:r>
      <w:r w:rsidR="00635130">
        <w:rPr>
          <w:rFonts w:ascii="Book Antiqua" w:hAnsi="Book Antiqua"/>
          <w:sz w:val="24"/>
          <w:szCs w:val="24"/>
        </w:rPr>
        <w:t xml:space="preserve">regular or </w:t>
      </w:r>
      <w:r w:rsidR="008D4E4A">
        <w:rPr>
          <w:rFonts w:ascii="Book Antiqua" w:hAnsi="Book Antiqua"/>
          <w:sz w:val="24"/>
          <w:szCs w:val="24"/>
        </w:rPr>
        <w:t xml:space="preserve">ongoing longitudinal analyses </w:t>
      </w:r>
      <w:r w:rsidR="00635130">
        <w:rPr>
          <w:rFonts w:ascii="Book Antiqua" w:hAnsi="Book Antiqua"/>
          <w:sz w:val="24"/>
          <w:szCs w:val="24"/>
        </w:rPr>
        <w:t xml:space="preserve">of linked MBS and PBS data, </w:t>
      </w:r>
      <w:r w:rsidR="008D4E4A">
        <w:rPr>
          <w:rFonts w:ascii="Book Antiqua" w:hAnsi="Book Antiqua"/>
          <w:sz w:val="24"/>
          <w:szCs w:val="24"/>
        </w:rPr>
        <w:t xml:space="preserve">and to be able to refresh </w:t>
      </w:r>
      <w:r w:rsidR="00635130">
        <w:rPr>
          <w:rFonts w:ascii="Book Antiqua" w:hAnsi="Book Antiqua"/>
          <w:sz w:val="24"/>
          <w:szCs w:val="24"/>
        </w:rPr>
        <w:t xml:space="preserve">and update </w:t>
      </w:r>
      <w:r w:rsidR="008D4E4A">
        <w:rPr>
          <w:rFonts w:ascii="Book Antiqua" w:hAnsi="Book Antiqua"/>
          <w:sz w:val="24"/>
          <w:szCs w:val="24"/>
        </w:rPr>
        <w:t>the linked dataset as needed</w:t>
      </w:r>
      <w:r w:rsidR="00635130">
        <w:rPr>
          <w:rFonts w:ascii="Book Antiqua" w:hAnsi="Book Antiqua"/>
          <w:sz w:val="24"/>
          <w:szCs w:val="24"/>
        </w:rPr>
        <w:t>. The purpose</w:t>
      </w:r>
      <w:r w:rsidR="00A4350A">
        <w:rPr>
          <w:rFonts w:ascii="Book Antiqua" w:hAnsi="Book Antiqua"/>
          <w:sz w:val="24"/>
          <w:szCs w:val="24"/>
        </w:rPr>
        <w:t>s</w:t>
      </w:r>
      <w:r w:rsidR="00635130">
        <w:rPr>
          <w:rFonts w:ascii="Book Antiqua" w:hAnsi="Book Antiqua"/>
          <w:sz w:val="24"/>
          <w:szCs w:val="24"/>
        </w:rPr>
        <w:t xml:space="preserve"> for linkage include policy development, service planning and delivery, modelling and costings, evaluations, and analyses for committees such as Medical Services Advisory Committee and the </w:t>
      </w:r>
      <w:r w:rsidR="00F66CF9">
        <w:rPr>
          <w:rFonts w:ascii="Book Antiqua" w:hAnsi="Book Antiqua"/>
          <w:sz w:val="24"/>
          <w:szCs w:val="24"/>
        </w:rPr>
        <w:t>Pharma</w:t>
      </w:r>
      <w:r w:rsidR="00635130">
        <w:rPr>
          <w:rFonts w:ascii="Book Antiqua" w:hAnsi="Book Antiqua"/>
          <w:sz w:val="24"/>
          <w:szCs w:val="24"/>
        </w:rPr>
        <w:t>c</w:t>
      </w:r>
      <w:r w:rsidR="00F66CF9">
        <w:rPr>
          <w:rFonts w:ascii="Book Antiqua" w:hAnsi="Book Antiqua"/>
          <w:sz w:val="24"/>
          <w:szCs w:val="24"/>
        </w:rPr>
        <w:t>e</w:t>
      </w:r>
      <w:r w:rsidR="00635130">
        <w:rPr>
          <w:rFonts w:ascii="Book Antiqua" w:hAnsi="Book Antiqua"/>
          <w:sz w:val="24"/>
          <w:szCs w:val="24"/>
        </w:rPr>
        <w:t xml:space="preserve">utical Benefits Advisory Committee. </w:t>
      </w:r>
      <w:r w:rsidR="008D4E4A">
        <w:rPr>
          <w:rFonts w:ascii="Book Antiqua" w:hAnsi="Book Antiqua"/>
          <w:sz w:val="24"/>
          <w:szCs w:val="24"/>
        </w:rPr>
        <w:t xml:space="preserve"> It is inefficient to destroy </w:t>
      </w:r>
      <w:r w:rsidR="00E57A4C">
        <w:rPr>
          <w:rFonts w:ascii="Book Antiqua" w:hAnsi="Book Antiqua"/>
          <w:sz w:val="24"/>
          <w:szCs w:val="24"/>
        </w:rPr>
        <w:t>a</w:t>
      </w:r>
      <w:r w:rsidR="008D4E4A">
        <w:rPr>
          <w:rFonts w:ascii="Book Antiqua" w:hAnsi="Book Antiqua"/>
          <w:sz w:val="24"/>
          <w:szCs w:val="24"/>
        </w:rPr>
        <w:t xml:space="preserve"> linked dataset </w:t>
      </w:r>
      <w:r w:rsidR="00655538">
        <w:rPr>
          <w:rFonts w:ascii="Book Antiqua" w:hAnsi="Book Antiqua"/>
          <w:sz w:val="24"/>
          <w:szCs w:val="24"/>
        </w:rPr>
        <w:t xml:space="preserve">and </w:t>
      </w:r>
      <w:r w:rsidR="00E655D0">
        <w:rPr>
          <w:rFonts w:ascii="Book Antiqua" w:hAnsi="Book Antiqua"/>
          <w:sz w:val="24"/>
          <w:szCs w:val="24"/>
        </w:rPr>
        <w:t xml:space="preserve">then </w:t>
      </w:r>
      <w:r w:rsidR="00655538">
        <w:rPr>
          <w:rFonts w:ascii="Book Antiqua" w:hAnsi="Book Antiqua"/>
          <w:sz w:val="24"/>
          <w:szCs w:val="24"/>
        </w:rPr>
        <w:t xml:space="preserve">re-create </w:t>
      </w:r>
      <w:r w:rsidR="00E655D0">
        <w:rPr>
          <w:rFonts w:ascii="Book Antiqua" w:hAnsi="Book Antiqua"/>
          <w:sz w:val="24"/>
          <w:szCs w:val="24"/>
        </w:rPr>
        <w:t>g</w:t>
      </w:r>
      <w:r w:rsidR="008D4E4A">
        <w:rPr>
          <w:rFonts w:ascii="Book Antiqua" w:hAnsi="Book Antiqua"/>
          <w:sz w:val="24"/>
          <w:szCs w:val="24"/>
        </w:rPr>
        <w:t xml:space="preserve">iven this ongoing use, and we are keen to explore options for the Rules </w:t>
      </w:r>
      <w:r w:rsidR="00F66CF9">
        <w:rPr>
          <w:rFonts w:ascii="Book Antiqua" w:hAnsi="Book Antiqua"/>
          <w:sz w:val="24"/>
          <w:szCs w:val="24"/>
        </w:rPr>
        <w:t xml:space="preserve">to </w:t>
      </w:r>
      <w:r w:rsidR="008D4E4A">
        <w:rPr>
          <w:rFonts w:ascii="Book Antiqua" w:hAnsi="Book Antiqua"/>
          <w:sz w:val="24"/>
          <w:szCs w:val="24"/>
        </w:rPr>
        <w:t>authoris</w:t>
      </w:r>
      <w:r w:rsidR="00F66CF9">
        <w:rPr>
          <w:rFonts w:ascii="Book Antiqua" w:hAnsi="Book Antiqua"/>
          <w:sz w:val="24"/>
          <w:szCs w:val="24"/>
        </w:rPr>
        <w:t>e</w:t>
      </w:r>
      <w:r w:rsidR="008D4E4A">
        <w:rPr>
          <w:rFonts w:ascii="Book Antiqua" w:hAnsi="Book Antiqua"/>
          <w:sz w:val="24"/>
          <w:szCs w:val="24"/>
        </w:rPr>
        <w:t xml:space="preserve"> the retention </w:t>
      </w:r>
      <w:r>
        <w:rPr>
          <w:rFonts w:ascii="Book Antiqua" w:hAnsi="Book Antiqua"/>
          <w:sz w:val="24"/>
          <w:szCs w:val="24"/>
        </w:rPr>
        <w:t xml:space="preserve">of a linked </w:t>
      </w:r>
      <w:r w:rsidR="004D1A04">
        <w:rPr>
          <w:rFonts w:ascii="Book Antiqua" w:hAnsi="Book Antiqua"/>
          <w:sz w:val="24"/>
          <w:szCs w:val="24"/>
        </w:rPr>
        <w:t xml:space="preserve">dataset </w:t>
      </w:r>
      <w:r w:rsidR="008D4E4A">
        <w:rPr>
          <w:rFonts w:ascii="Book Antiqua" w:hAnsi="Book Antiqua"/>
          <w:sz w:val="24"/>
          <w:szCs w:val="24"/>
        </w:rPr>
        <w:t>with appropriate safeguards</w:t>
      </w:r>
      <w:r w:rsidR="004D1A04">
        <w:rPr>
          <w:rFonts w:ascii="Book Antiqua" w:hAnsi="Book Antiqua"/>
          <w:sz w:val="24"/>
          <w:szCs w:val="24"/>
        </w:rPr>
        <w:t>, where there is a requirement for ongoing use</w:t>
      </w:r>
      <w:r w:rsidR="008F2666">
        <w:rPr>
          <w:rFonts w:ascii="Book Antiqua" w:hAnsi="Book Antiqua"/>
          <w:sz w:val="24"/>
          <w:szCs w:val="24"/>
        </w:rPr>
        <w:t>.</w:t>
      </w:r>
    </w:p>
    <w:p w14:paraId="743D3EBF" w14:textId="579BE247" w:rsidR="008F2666" w:rsidRDefault="008F2666" w:rsidP="008F2666">
      <w:pPr>
        <w:pStyle w:val="ListNumber2"/>
        <w:numPr>
          <w:ilvl w:val="0"/>
          <w:numId w:val="0"/>
        </w:numPr>
        <w:spacing w:after="0"/>
        <w:ind w:left="142"/>
        <w:rPr>
          <w:rFonts w:ascii="Book Antiqua" w:hAnsi="Book Antiqua"/>
          <w:sz w:val="24"/>
          <w:szCs w:val="24"/>
        </w:rPr>
      </w:pPr>
    </w:p>
    <w:p w14:paraId="1244B54F" w14:textId="39897AD2" w:rsidR="008F2666" w:rsidRDefault="008F2666" w:rsidP="008F2666">
      <w:pPr>
        <w:pStyle w:val="ListNumber2"/>
        <w:numPr>
          <w:ilvl w:val="0"/>
          <w:numId w:val="0"/>
        </w:numPr>
        <w:spacing w:after="0"/>
        <w:ind w:left="142"/>
        <w:rPr>
          <w:rFonts w:ascii="Book Antiqua" w:hAnsi="Book Antiqua"/>
          <w:sz w:val="24"/>
          <w:szCs w:val="24"/>
        </w:rPr>
      </w:pPr>
      <w:r>
        <w:rPr>
          <w:rFonts w:ascii="Book Antiqua" w:hAnsi="Book Antiqua"/>
          <w:sz w:val="24"/>
          <w:szCs w:val="24"/>
        </w:rPr>
        <w:t xml:space="preserve">The Department notes that the Rules only </w:t>
      </w:r>
      <w:r w:rsidRPr="00591FA5">
        <w:rPr>
          <w:rFonts w:ascii="Book Antiqua" w:hAnsi="Book Antiqua"/>
          <w:sz w:val="24"/>
          <w:szCs w:val="24"/>
        </w:rPr>
        <w:t xml:space="preserve">apply to use of </w:t>
      </w:r>
      <w:r>
        <w:rPr>
          <w:rFonts w:ascii="Book Antiqua" w:hAnsi="Book Antiqua"/>
          <w:sz w:val="24"/>
          <w:szCs w:val="24"/>
        </w:rPr>
        <w:t xml:space="preserve">MBS and PBS claims </w:t>
      </w:r>
      <w:r w:rsidRPr="00591FA5">
        <w:rPr>
          <w:rFonts w:ascii="Book Antiqua" w:hAnsi="Book Antiqua"/>
          <w:sz w:val="24"/>
          <w:szCs w:val="24"/>
        </w:rPr>
        <w:t xml:space="preserve">information by the Commonwealth.  </w:t>
      </w:r>
      <w:r>
        <w:rPr>
          <w:rFonts w:ascii="Book Antiqua" w:hAnsi="Book Antiqua"/>
          <w:sz w:val="24"/>
          <w:szCs w:val="24"/>
        </w:rPr>
        <w:t xml:space="preserve">Consistent with provisions for disclosure in the primary legislation, </w:t>
      </w:r>
      <w:r w:rsidRPr="00591FA5">
        <w:rPr>
          <w:rFonts w:ascii="Book Antiqua" w:hAnsi="Book Antiqua"/>
          <w:sz w:val="24"/>
          <w:szCs w:val="24"/>
        </w:rPr>
        <w:t xml:space="preserve">MBS and PBS data </w:t>
      </w:r>
      <w:r>
        <w:rPr>
          <w:rFonts w:ascii="Book Antiqua" w:hAnsi="Book Antiqua"/>
          <w:sz w:val="24"/>
          <w:szCs w:val="24"/>
        </w:rPr>
        <w:t xml:space="preserve">has been authorised for release to </w:t>
      </w:r>
      <w:r w:rsidRPr="00591FA5">
        <w:rPr>
          <w:rFonts w:ascii="Book Antiqua" w:hAnsi="Book Antiqua"/>
          <w:sz w:val="24"/>
          <w:szCs w:val="24"/>
        </w:rPr>
        <w:t>organisation</w:t>
      </w:r>
      <w:r>
        <w:rPr>
          <w:rFonts w:ascii="Book Antiqua" w:hAnsi="Book Antiqua"/>
          <w:sz w:val="24"/>
          <w:szCs w:val="24"/>
        </w:rPr>
        <w:t>s</w:t>
      </w:r>
      <w:r w:rsidRPr="00591FA5">
        <w:rPr>
          <w:rFonts w:ascii="Book Antiqua" w:hAnsi="Book Antiqua"/>
          <w:sz w:val="24"/>
          <w:szCs w:val="24"/>
        </w:rPr>
        <w:t xml:space="preserve"> outside of the Commonwealth (States and Territories, universities, research institutes, etc</w:t>
      </w:r>
      <w:r>
        <w:rPr>
          <w:rFonts w:ascii="Book Antiqua" w:hAnsi="Book Antiqua"/>
          <w:sz w:val="24"/>
          <w:szCs w:val="24"/>
        </w:rPr>
        <w:t>.</w:t>
      </w:r>
      <w:r w:rsidRPr="00591FA5">
        <w:rPr>
          <w:rFonts w:ascii="Book Antiqua" w:hAnsi="Book Antiqua"/>
          <w:sz w:val="24"/>
          <w:szCs w:val="24"/>
        </w:rPr>
        <w:t xml:space="preserve">) </w:t>
      </w:r>
      <w:r w:rsidR="008B2E62">
        <w:rPr>
          <w:rFonts w:ascii="Book Antiqua" w:hAnsi="Book Antiqua"/>
          <w:sz w:val="24"/>
          <w:szCs w:val="24"/>
        </w:rPr>
        <w:t xml:space="preserve">where appropriate safeguards are in place, </w:t>
      </w:r>
      <w:r w:rsidRPr="00591FA5">
        <w:rPr>
          <w:rFonts w:ascii="Book Antiqua" w:hAnsi="Book Antiqua"/>
          <w:sz w:val="24"/>
          <w:szCs w:val="24"/>
        </w:rPr>
        <w:t xml:space="preserve">and they are capable of storing the data together and undertaking direct linkage for as long as they need the data to be linked. </w:t>
      </w:r>
      <w:r>
        <w:rPr>
          <w:rFonts w:ascii="Book Antiqua" w:hAnsi="Book Antiqua"/>
          <w:sz w:val="24"/>
          <w:szCs w:val="24"/>
        </w:rPr>
        <w:t xml:space="preserve"> The Rules do not apply to other health datasets that the department holds which are equally sensitive.  </w:t>
      </w:r>
    </w:p>
    <w:p w14:paraId="6FA02C95" w14:textId="77777777" w:rsidR="00390C11" w:rsidRDefault="00390C11" w:rsidP="008F2666">
      <w:pPr>
        <w:pStyle w:val="ListNumber2"/>
        <w:numPr>
          <w:ilvl w:val="0"/>
          <w:numId w:val="0"/>
        </w:numPr>
        <w:spacing w:after="0"/>
        <w:ind w:left="142"/>
        <w:rPr>
          <w:rFonts w:ascii="Book Antiqua" w:hAnsi="Book Antiqua"/>
          <w:i/>
        </w:rPr>
      </w:pPr>
    </w:p>
    <w:p w14:paraId="66C59EC5" w14:textId="77777777" w:rsidR="00271D04"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 xml:space="preserve">How could the Rules be updated to better accommodate current information technologies and modern data practices in a way that continues to protect privacy? </w:t>
      </w:r>
    </w:p>
    <w:p w14:paraId="4668D883" w14:textId="77777777" w:rsidR="00271D04"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Which parts of the Rules are no longer fit for purpose due to technological change or need adjustment?</w:t>
      </w:r>
    </w:p>
    <w:p w14:paraId="3F46F77A" w14:textId="77777777" w:rsidR="00FC3D21" w:rsidRDefault="00FC3D21" w:rsidP="008F2666">
      <w:pPr>
        <w:pStyle w:val="ListNumber"/>
        <w:numPr>
          <w:ilvl w:val="0"/>
          <w:numId w:val="0"/>
        </w:numPr>
        <w:spacing w:after="0"/>
        <w:ind w:left="57"/>
        <w:rPr>
          <w:rFonts w:ascii="Book Antiqua" w:hAnsi="Book Antiqua"/>
          <w:sz w:val="24"/>
          <w:szCs w:val="24"/>
        </w:rPr>
      </w:pPr>
    </w:p>
    <w:p w14:paraId="3BBDD12C" w14:textId="77777777" w:rsidR="00324B09" w:rsidRDefault="00324B09">
      <w:pPr>
        <w:rPr>
          <w:rFonts w:eastAsiaTheme="minorEastAsia"/>
          <w:lang w:eastAsia="en-US"/>
        </w:rPr>
      </w:pPr>
      <w:r>
        <w:br w:type="page"/>
      </w:r>
    </w:p>
    <w:p w14:paraId="7B084D21" w14:textId="77777777" w:rsidR="00324B09" w:rsidRDefault="00324B09" w:rsidP="008F2666">
      <w:pPr>
        <w:pStyle w:val="ListNumber"/>
        <w:numPr>
          <w:ilvl w:val="0"/>
          <w:numId w:val="0"/>
        </w:numPr>
        <w:spacing w:after="0"/>
        <w:ind w:left="57"/>
        <w:rPr>
          <w:rFonts w:ascii="Book Antiqua" w:hAnsi="Book Antiqua"/>
          <w:sz w:val="24"/>
          <w:szCs w:val="24"/>
        </w:rPr>
      </w:pPr>
    </w:p>
    <w:p w14:paraId="7286BDEF" w14:textId="1A7FB324" w:rsidR="00E655D0" w:rsidRPr="009A0B27" w:rsidRDefault="00FC3D21" w:rsidP="008F2666">
      <w:pPr>
        <w:pStyle w:val="ListNumber"/>
        <w:numPr>
          <w:ilvl w:val="0"/>
          <w:numId w:val="0"/>
        </w:numPr>
        <w:spacing w:after="0"/>
        <w:ind w:left="57"/>
        <w:rPr>
          <w:rFonts w:ascii="Book Antiqua" w:hAnsi="Book Antiqua"/>
          <w:color w:val="000000" w:themeColor="text1"/>
          <w:sz w:val="24"/>
          <w:szCs w:val="24"/>
        </w:rPr>
      </w:pPr>
      <w:r>
        <w:rPr>
          <w:rFonts w:ascii="Book Antiqua" w:hAnsi="Book Antiqua"/>
          <w:sz w:val="24"/>
          <w:szCs w:val="24"/>
        </w:rPr>
        <w:t>T</w:t>
      </w:r>
      <w:r w:rsidR="003E5FC3" w:rsidRPr="00FC3D21">
        <w:rPr>
          <w:rFonts w:ascii="Book Antiqua" w:hAnsi="Book Antiqua"/>
          <w:sz w:val="24"/>
          <w:szCs w:val="24"/>
        </w:rPr>
        <w:t xml:space="preserve">he Department agrees that some of the provisions in the Rules </w:t>
      </w:r>
      <w:r w:rsidR="008B2E62">
        <w:rPr>
          <w:rFonts w:ascii="Book Antiqua" w:hAnsi="Book Antiqua"/>
          <w:sz w:val="24"/>
          <w:szCs w:val="24"/>
        </w:rPr>
        <w:t>do not take account of</w:t>
      </w:r>
      <w:r w:rsidR="003E5FC3" w:rsidRPr="00FC3D21">
        <w:rPr>
          <w:rFonts w:ascii="Book Antiqua" w:hAnsi="Book Antiqua"/>
          <w:sz w:val="24"/>
          <w:szCs w:val="24"/>
        </w:rPr>
        <w:t xml:space="preserve"> modern technology and data practices.  The references to paper copies and databases are clearly outdated.  </w:t>
      </w:r>
      <w:r w:rsidR="00390C11">
        <w:rPr>
          <w:rFonts w:ascii="Book Antiqua" w:hAnsi="Book Antiqua"/>
          <w:sz w:val="24"/>
          <w:szCs w:val="24"/>
        </w:rPr>
        <w:t xml:space="preserve">Within the limits set out in </w:t>
      </w:r>
      <w:r w:rsidR="00E655D0">
        <w:rPr>
          <w:rFonts w:ascii="Book Antiqua" w:hAnsi="Book Antiqua"/>
          <w:sz w:val="24"/>
          <w:szCs w:val="24"/>
        </w:rPr>
        <w:t>the National Health Act (</w:t>
      </w:r>
      <w:r w:rsidR="00390C11">
        <w:rPr>
          <w:rFonts w:ascii="Book Antiqua" w:hAnsi="Book Antiqua"/>
          <w:sz w:val="24"/>
          <w:szCs w:val="24"/>
        </w:rPr>
        <w:t>s 135AA(5)(a) with respect to the creation of paper copies</w:t>
      </w:r>
      <w:r w:rsidR="00E655D0">
        <w:rPr>
          <w:rFonts w:ascii="Book Antiqua" w:hAnsi="Book Antiqua"/>
          <w:sz w:val="24"/>
          <w:szCs w:val="24"/>
        </w:rPr>
        <w:t>,</w:t>
      </w:r>
      <w:r w:rsidR="00390C11">
        <w:rPr>
          <w:rFonts w:ascii="Book Antiqua" w:hAnsi="Book Antiqua"/>
          <w:sz w:val="24"/>
          <w:szCs w:val="24"/>
        </w:rPr>
        <w:t xml:space="preserve"> and s 135AA(5)(d) and (e) with respect to databases</w:t>
      </w:r>
      <w:r w:rsidR="00E655D0">
        <w:rPr>
          <w:rFonts w:ascii="Book Antiqua" w:hAnsi="Book Antiqua"/>
          <w:sz w:val="24"/>
          <w:szCs w:val="24"/>
        </w:rPr>
        <w:t>)</w:t>
      </w:r>
      <w:r w:rsidR="00772F9B">
        <w:rPr>
          <w:rFonts w:ascii="Book Antiqua" w:hAnsi="Book Antiqua"/>
          <w:sz w:val="24"/>
          <w:szCs w:val="24"/>
        </w:rPr>
        <w:t>, there w</w:t>
      </w:r>
      <w:r w:rsidR="00390C11">
        <w:rPr>
          <w:rFonts w:ascii="Book Antiqua" w:hAnsi="Book Antiqua"/>
          <w:sz w:val="24"/>
          <w:szCs w:val="24"/>
        </w:rPr>
        <w:t>ould be</w:t>
      </w:r>
      <w:r w:rsidR="00390C11" w:rsidRPr="00FC3D21">
        <w:rPr>
          <w:rFonts w:ascii="Book Antiqua" w:hAnsi="Book Antiqua"/>
          <w:sz w:val="24"/>
          <w:szCs w:val="24"/>
        </w:rPr>
        <w:t xml:space="preserve"> </w:t>
      </w:r>
      <w:r w:rsidR="00390C11">
        <w:rPr>
          <w:rFonts w:ascii="Book Antiqua" w:hAnsi="Book Antiqua"/>
          <w:sz w:val="24"/>
          <w:szCs w:val="24"/>
        </w:rPr>
        <w:t xml:space="preserve">benefit in </w:t>
      </w:r>
      <w:r w:rsidR="00F66CF9" w:rsidRPr="00FC3D21">
        <w:rPr>
          <w:rFonts w:ascii="Book Antiqua" w:hAnsi="Book Antiqua"/>
          <w:sz w:val="24"/>
          <w:szCs w:val="24"/>
        </w:rPr>
        <w:t xml:space="preserve"> moving to a more principles-based approach</w:t>
      </w:r>
      <w:r w:rsidR="00390C11">
        <w:rPr>
          <w:rFonts w:ascii="Book Antiqua" w:hAnsi="Book Antiqua"/>
          <w:sz w:val="24"/>
          <w:szCs w:val="24"/>
        </w:rPr>
        <w:t xml:space="preserve">, being </w:t>
      </w:r>
      <w:r w:rsidR="00F66CF9" w:rsidRPr="00FC3D21">
        <w:rPr>
          <w:rFonts w:ascii="Book Antiqua" w:hAnsi="Book Antiqua"/>
          <w:sz w:val="24"/>
          <w:szCs w:val="24"/>
        </w:rPr>
        <w:t xml:space="preserve"> that </w:t>
      </w:r>
      <w:r w:rsidR="003E5FC3" w:rsidRPr="00FC3D21">
        <w:rPr>
          <w:rFonts w:ascii="Book Antiqua" w:hAnsi="Book Antiqua"/>
          <w:sz w:val="24"/>
          <w:szCs w:val="24"/>
        </w:rPr>
        <w:t>changes in t</w:t>
      </w:r>
      <w:r w:rsidR="00F66CF9" w:rsidRPr="00FC3D21">
        <w:rPr>
          <w:rFonts w:ascii="Book Antiqua" w:hAnsi="Book Antiqua"/>
          <w:sz w:val="24"/>
          <w:szCs w:val="24"/>
        </w:rPr>
        <w:t xml:space="preserve">echnology </w:t>
      </w:r>
      <w:r>
        <w:rPr>
          <w:rFonts w:ascii="Book Antiqua" w:hAnsi="Book Antiqua"/>
          <w:sz w:val="24"/>
          <w:szCs w:val="24"/>
        </w:rPr>
        <w:t xml:space="preserve">(e.g. new storage) </w:t>
      </w:r>
      <w:r w:rsidR="00F66CF9" w:rsidRPr="00FC3D21">
        <w:rPr>
          <w:rFonts w:ascii="Book Antiqua" w:hAnsi="Book Antiqua"/>
          <w:sz w:val="24"/>
          <w:szCs w:val="24"/>
        </w:rPr>
        <w:t xml:space="preserve">and process steps </w:t>
      </w:r>
      <w:r>
        <w:rPr>
          <w:rFonts w:ascii="Book Antiqua" w:hAnsi="Book Antiqua"/>
          <w:sz w:val="24"/>
          <w:szCs w:val="24"/>
        </w:rPr>
        <w:t>(e.g.</w:t>
      </w:r>
      <w:r w:rsidR="00E94208">
        <w:rPr>
          <w:rFonts w:ascii="Book Antiqua" w:hAnsi="Book Antiqua"/>
          <w:sz w:val="24"/>
          <w:szCs w:val="24"/>
        </w:rPr>
        <w:t xml:space="preserve"> </w:t>
      </w:r>
      <w:r>
        <w:rPr>
          <w:rFonts w:ascii="Book Antiqua" w:hAnsi="Book Antiqua"/>
          <w:sz w:val="24"/>
          <w:szCs w:val="24"/>
        </w:rPr>
        <w:t xml:space="preserve">linkage or de-identification) </w:t>
      </w:r>
      <w:r w:rsidR="003E5FC3" w:rsidRPr="00FC3D21">
        <w:rPr>
          <w:rFonts w:ascii="Book Antiqua" w:hAnsi="Book Antiqua"/>
          <w:sz w:val="24"/>
          <w:szCs w:val="24"/>
        </w:rPr>
        <w:t xml:space="preserve">could be adapted to </w:t>
      </w:r>
      <w:r w:rsidRPr="00FC3D21">
        <w:rPr>
          <w:rFonts w:ascii="Book Antiqua" w:hAnsi="Book Antiqua"/>
          <w:sz w:val="24"/>
          <w:szCs w:val="24"/>
        </w:rPr>
        <w:t xml:space="preserve">the </w:t>
      </w:r>
      <w:r w:rsidR="003E5FC3" w:rsidRPr="00FC3D21">
        <w:rPr>
          <w:rFonts w:ascii="Book Antiqua" w:hAnsi="Book Antiqua"/>
          <w:sz w:val="24"/>
          <w:szCs w:val="24"/>
        </w:rPr>
        <w:t xml:space="preserve">Rules and could </w:t>
      </w:r>
      <w:r w:rsidRPr="00FC3D21">
        <w:rPr>
          <w:rFonts w:ascii="Book Antiqua" w:hAnsi="Book Antiqua"/>
          <w:sz w:val="24"/>
          <w:szCs w:val="24"/>
        </w:rPr>
        <w:t>result in improved privacy and security</w:t>
      </w:r>
      <w:r w:rsidRPr="009A0B27">
        <w:rPr>
          <w:rFonts w:ascii="Book Antiqua" w:hAnsi="Book Antiqua"/>
          <w:color w:val="000000" w:themeColor="text1"/>
          <w:sz w:val="24"/>
          <w:szCs w:val="24"/>
        </w:rPr>
        <w:t>.</w:t>
      </w:r>
      <w:r w:rsidR="00772F9B" w:rsidRPr="009A0B27">
        <w:rPr>
          <w:rFonts w:ascii="Book Antiqua" w:hAnsi="Book Antiqua"/>
          <w:color w:val="000000" w:themeColor="text1"/>
          <w:sz w:val="24"/>
          <w:szCs w:val="24"/>
        </w:rPr>
        <w:t xml:space="preserve">  </w:t>
      </w:r>
      <w:r w:rsidR="00A860C5" w:rsidRPr="009A0B27">
        <w:rPr>
          <w:rFonts w:ascii="Book Antiqua" w:hAnsi="Book Antiqua"/>
          <w:color w:val="000000" w:themeColor="text1"/>
          <w:sz w:val="24"/>
          <w:szCs w:val="24"/>
        </w:rPr>
        <w:t xml:space="preserve"> For example, t</w:t>
      </w:r>
      <w:r w:rsidR="00772F9B" w:rsidRPr="009A0B27">
        <w:rPr>
          <w:rFonts w:ascii="Book Antiqua" w:hAnsi="Book Antiqua"/>
          <w:color w:val="000000" w:themeColor="text1"/>
          <w:sz w:val="24"/>
          <w:szCs w:val="24"/>
        </w:rPr>
        <w:t xml:space="preserve">he Department notes </w:t>
      </w:r>
      <w:r w:rsidR="00A860C5" w:rsidRPr="009A0B27">
        <w:rPr>
          <w:rFonts w:ascii="Book Antiqua" w:hAnsi="Book Antiqua"/>
          <w:color w:val="000000" w:themeColor="text1"/>
          <w:sz w:val="24"/>
          <w:szCs w:val="24"/>
        </w:rPr>
        <w:t>that</w:t>
      </w:r>
      <w:r w:rsidR="00092300" w:rsidRPr="009A0B27">
        <w:rPr>
          <w:rFonts w:ascii="Book Antiqua" w:hAnsi="Book Antiqua"/>
          <w:color w:val="000000" w:themeColor="text1"/>
          <w:sz w:val="24"/>
          <w:szCs w:val="24"/>
        </w:rPr>
        <w:t xml:space="preserve"> the De-identification Decision</w:t>
      </w:r>
      <w:r w:rsidR="00A860C5" w:rsidRPr="009A0B27">
        <w:rPr>
          <w:rFonts w:ascii="Book Antiqua" w:hAnsi="Book Antiqua"/>
          <w:color w:val="000000" w:themeColor="text1"/>
          <w:sz w:val="24"/>
          <w:szCs w:val="24"/>
        </w:rPr>
        <w:t>–Making Framework released by the</w:t>
      </w:r>
      <w:r w:rsidR="00092300" w:rsidRPr="009A0B27">
        <w:rPr>
          <w:rFonts w:ascii="Book Antiqua" w:hAnsi="Book Antiqua"/>
          <w:color w:val="000000" w:themeColor="text1"/>
          <w:sz w:val="24"/>
          <w:szCs w:val="24"/>
        </w:rPr>
        <w:t xml:space="preserve"> OAIC and CSIRO Data 61 </w:t>
      </w:r>
      <w:r w:rsidR="00A860C5" w:rsidRPr="009A0B27">
        <w:rPr>
          <w:rFonts w:ascii="Book Antiqua" w:hAnsi="Book Antiqua"/>
          <w:color w:val="000000" w:themeColor="text1"/>
          <w:sz w:val="24"/>
          <w:szCs w:val="24"/>
        </w:rPr>
        <w:t xml:space="preserve">provides guidance to assist organisations to de-identify their data effectively. </w:t>
      </w:r>
    </w:p>
    <w:p w14:paraId="71D974E8" w14:textId="77777777" w:rsidR="008F2666" w:rsidRDefault="008F2666" w:rsidP="008F2666">
      <w:pPr>
        <w:pStyle w:val="ListNumber"/>
        <w:numPr>
          <w:ilvl w:val="0"/>
          <w:numId w:val="0"/>
        </w:numPr>
        <w:spacing w:after="0"/>
        <w:ind w:left="57"/>
        <w:rPr>
          <w:rFonts w:ascii="Book Antiqua" w:hAnsi="Book Antiqua"/>
          <w:sz w:val="24"/>
          <w:szCs w:val="24"/>
        </w:rPr>
      </w:pPr>
    </w:p>
    <w:p w14:paraId="09FBB761" w14:textId="2C4ACFCF" w:rsidR="00E655D0" w:rsidRDefault="003E5FC3" w:rsidP="008F2666">
      <w:pPr>
        <w:pStyle w:val="ListNumber"/>
        <w:numPr>
          <w:ilvl w:val="0"/>
          <w:numId w:val="0"/>
        </w:numPr>
        <w:spacing w:after="0"/>
        <w:ind w:left="57"/>
        <w:rPr>
          <w:rFonts w:ascii="Book Antiqua" w:hAnsi="Book Antiqua"/>
          <w:i/>
          <w:sz w:val="24"/>
          <w:szCs w:val="24"/>
        </w:rPr>
      </w:pPr>
      <w:r w:rsidRPr="00FC3D21">
        <w:rPr>
          <w:rFonts w:ascii="Book Antiqua" w:hAnsi="Book Antiqua"/>
          <w:sz w:val="24"/>
          <w:szCs w:val="24"/>
        </w:rPr>
        <w:t xml:space="preserve">In addition, the </w:t>
      </w:r>
      <w:r w:rsidR="00F66CF9" w:rsidRPr="00FC3D21">
        <w:rPr>
          <w:rFonts w:ascii="Book Antiqua" w:hAnsi="Book Antiqua"/>
          <w:sz w:val="24"/>
          <w:szCs w:val="24"/>
        </w:rPr>
        <w:t>references to th</w:t>
      </w:r>
      <w:r w:rsidRPr="00FC3D21">
        <w:rPr>
          <w:rFonts w:ascii="Book Antiqua" w:hAnsi="Book Antiqua"/>
          <w:sz w:val="24"/>
          <w:szCs w:val="24"/>
        </w:rPr>
        <w:t xml:space="preserve">e Department of Health </w:t>
      </w:r>
      <w:r w:rsidR="00F66CF9" w:rsidRPr="00FC3D21">
        <w:rPr>
          <w:rFonts w:ascii="Book Antiqua" w:hAnsi="Book Antiqua"/>
          <w:sz w:val="24"/>
          <w:szCs w:val="24"/>
        </w:rPr>
        <w:t>and the Department of Human Ser</w:t>
      </w:r>
      <w:r w:rsidRPr="00FC3D21">
        <w:rPr>
          <w:rFonts w:ascii="Book Antiqua" w:hAnsi="Book Antiqua"/>
          <w:sz w:val="24"/>
          <w:szCs w:val="24"/>
        </w:rPr>
        <w:t xml:space="preserve">vices (now Services Australia) were nominally </w:t>
      </w:r>
      <w:r w:rsidR="00F66CF9" w:rsidRPr="00FC3D21">
        <w:rPr>
          <w:rFonts w:ascii="Book Antiqua" w:hAnsi="Book Antiqua"/>
          <w:sz w:val="24"/>
          <w:szCs w:val="24"/>
        </w:rPr>
        <w:t xml:space="preserve">updated to reflect </w:t>
      </w:r>
      <w:r w:rsidRPr="00FC3D21">
        <w:rPr>
          <w:rFonts w:ascii="Book Antiqua" w:hAnsi="Book Antiqua"/>
          <w:sz w:val="24"/>
          <w:szCs w:val="24"/>
        </w:rPr>
        <w:t>the 2015 Machinery of G</w:t>
      </w:r>
      <w:r w:rsidR="00F66CF9" w:rsidRPr="00FC3D21">
        <w:rPr>
          <w:rFonts w:ascii="Book Antiqua" w:hAnsi="Book Antiqua"/>
          <w:sz w:val="24"/>
          <w:szCs w:val="24"/>
        </w:rPr>
        <w:t>overn</w:t>
      </w:r>
      <w:r w:rsidRPr="00FC3D21">
        <w:rPr>
          <w:rFonts w:ascii="Book Antiqua" w:hAnsi="Book Antiqua"/>
          <w:sz w:val="24"/>
          <w:szCs w:val="24"/>
        </w:rPr>
        <w:t xml:space="preserve">ment changes, but </w:t>
      </w:r>
      <w:r w:rsidR="00E94208">
        <w:rPr>
          <w:rFonts w:ascii="Book Antiqua" w:hAnsi="Book Antiqua"/>
          <w:sz w:val="24"/>
          <w:szCs w:val="24"/>
        </w:rPr>
        <w:t>are now out of date</w:t>
      </w:r>
      <w:r w:rsidRPr="00FC3D21">
        <w:rPr>
          <w:rFonts w:ascii="Book Antiqua" w:hAnsi="Book Antiqua"/>
          <w:sz w:val="24"/>
          <w:szCs w:val="24"/>
        </w:rPr>
        <w:t xml:space="preserve">.  </w:t>
      </w:r>
      <w:r w:rsidR="00FC3D21" w:rsidRPr="00FC3D21">
        <w:rPr>
          <w:rFonts w:ascii="Book Antiqua" w:hAnsi="Book Antiqua"/>
          <w:sz w:val="24"/>
          <w:szCs w:val="24"/>
        </w:rPr>
        <w:t xml:space="preserve">It would be helpful to have a </w:t>
      </w:r>
      <w:r w:rsidR="00E655D0">
        <w:rPr>
          <w:rFonts w:ascii="Book Antiqua" w:hAnsi="Book Antiqua"/>
          <w:sz w:val="24"/>
          <w:szCs w:val="24"/>
        </w:rPr>
        <w:t xml:space="preserve">framework for updating </w:t>
      </w:r>
      <w:r w:rsidR="00390C11">
        <w:rPr>
          <w:rFonts w:ascii="Book Antiqua" w:hAnsi="Book Antiqua"/>
          <w:sz w:val="24"/>
          <w:szCs w:val="24"/>
        </w:rPr>
        <w:t xml:space="preserve">references to agencies when machinery of government changes occur (perhaps drawing on s 19B of the </w:t>
      </w:r>
      <w:r w:rsidR="00390C11">
        <w:rPr>
          <w:rFonts w:ascii="Book Antiqua" w:hAnsi="Book Antiqua"/>
          <w:i/>
          <w:sz w:val="24"/>
          <w:szCs w:val="24"/>
        </w:rPr>
        <w:t>Acts Interpretation Act 1901</w:t>
      </w:r>
      <w:r w:rsidR="00390C11">
        <w:rPr>
          <w:rFonts w:ascii="Book Antiqua" w:hAnsi="Book Antiqua"/>
          <w:sz w:val="24"/>
          <w:szCs w:val="24"/>
        </w:rPr>
        <w:t>)</w:t>
      </w:r>
      <w:r w:rsidR="00390C11">
        <w:rPr>
          <w:rFonts w:ascii="Book Antiqua" w:hAnsi="Book Antiqua"/>
          <w:i/>
          <w:sz w:val="24"/>
          <w:szCs w:val="24"/>
        </w:rPr>
        <w:t xml:space="preserve">. </w:t>
      </w:r>
    </w:p>
    <w:p w14:paraId="53357E1F" w14:textId="77777777" w:rsidR="00E655D0" w:rsidRPr="00FC3D21" w:rsidRDefault="00E655D0" w:rsidP="008F2666">
      <w:pPr>
        <w:pStyle w:val="ListNumber"/>
        <w:numPr>
          <w:ilvl w:val="0"/>
          <w:numId w:val="0"/>
        </w:numPr>
        <w:spacing w:after="0"/>
        <w:ind w:left="57"/>
        <w:rPr>
          <w:rFonts w:ascii="Book Antiqua" w:hAnsi="Book Antiqua"/>
          <w:sz w:val="24"/>
          <w:szCs w:val="24"/>
        </w:rPr>
      </w:pPr>
    </w:p>
    <w:p w14:paraId="2FDFBB94" w14:textId="77777777" w:rsidR="00271D04"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 xml:space="preserve">What additional requirements should apply to MBS and PBS information over and above the APPs? Why? </w:t>
      </w:r>
    </w:p>
    <w:p w14:paraId="352BF69B" w14:textId="77777777" w:rsidR="00271D04" w:rsidRPr="00143239" w:rsidRDefault="00271D04" w:rsidP="008F2666">
      <w:pPr>
        <w:pStyle w:val="ListNumber"/>
        <w:spacing w:after="0"/>
        <w:ind w:left="511" w:hanging="454"/>
        <w:rPr>
          <w:rFonts w:ascii="Book Antiqua" w:hAnsi="Book Antiqua"/>
          <w:sz w:val="24"/>
          <w:szCs w:val="24"/>
        </w:rPr>
      </w:pPr>
      <w:r w:rsidRPr="00F328D2">
        <w:rPr>
          <w:rFonts w:ascii="Book Antiqua" w:hAnsi="Book Antiqua"/>
          <w:i/>
          <w:sz w:val="24"/>
          <w:szCs w:val="24"/>
        </w:rPr>
        <w:t>Which provisions in the Rules (if any) should be removed or adjusted in light of the APPs</w:t>
      </w:r>
      <w:r w:rsidRPr="00143239">
        <w:rPr>
          <w:rFonts w:ascii="Book Antiqua" w:hAnsi="Book Antiqua"/>
          <w:sz w:val="24"/>
          <w:szCs w:val="24"/>
        </w:rPr>
        <w:t>?</w:t>
      </w:r>
    </w:p>
    <w:p w14:paraId="72A069FA" w14:textId="77777777" w:rsidR="00F66CF9" w:rsidRDefault="00F66CF9" w:rsidP="008F2666">
      <w:pPr>
        <w:pStyle w:val="ListNumber"/>
        <w:numPr>
          <w:ilvl w:val="0"/>
          <w:numId w:val="0"/>
        </w:numPr>
        <w:spacing w:after="0"/>
        <w:ind w:left="57"/>
        <w:rPr>
          <w:rFonts w:ascii="Book Antiqua" w:hAnsi="Book Antiqua"/>
          <w:sz w:val="24"/>
          <w:szCs w:val="24"/>
        </w:rPr>
      </w:pPr>
    </w:p>
    <w:p w14:paraId="6032A6C8" w14:textId="3008343C" w:rsidR="00390C11" w:rsidRPr="009A0B27" w:rsidRDefault="00F66CF9"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 xml:space="preserve">The Department </w:t>
      </w:r>
      <w:r w:rsidR="00FA6717">
        <w:rPr>
          <w:rFonts w:ascii="Book Antiqua" w:hAnsi="Book Antiqua"/>
          <w:sz w:val="24"/>
          <w:szCs w:val="24"/>
        </w:rPr>
        <w:t>consider</w:t>
      </w:r>
      <w:r w:rsidR="00E94208">
        <w:rPr>
          <w:rFonts w:ascii="Book Antiqua" w:hAnsi="Book Antiqua"/>
          <w:sz w:val="24"/>
          <w:szCs w:val="24"/>
        </w:rPr>
        <w:t>s</w:t>
      </w:r>
      <w:r w:rsidR="00FA6717">
        <w:rPr>
          <w:rFonts w:ascii="Book Antiqua" w:hAnsi="Book Antiqua"/>
          <w:sz w:val="24"/>
          <w:szCs w:val="24"/>
        </w:rPr>
        <w:t xml:space="preserve"> that the </w:t>
      </w:r>
      <w:r>
        <w:rPr>
          <w:rFonts w:ascii="Book Antiqua" w:hAnsi="Book Antiqua"/>
          <w:sz w:val="24"/>
          <w:szCs w:val="24"/>
        </w:rPr>
        <w:t xml:space="preserve">APPs provide a high level of privacy protection.  In addition, the Department complies with whole of government arrangements </w:t>
      </w:r>
      <w:r w:rsidR="00E94208">
        <w:rPr>
          <w:rFonts w:ascii="Book Antiqua" w:hAnsi="Book Antiqua"/>
          <w:sz w:val="24"/>
          <w:szCs w:val="24"/>
        </w:rPr>
        <w:t>in relation</w:t>
      </w:r>
      <w:r>
        <w:rPr>
          <w:rFonts w:ascii="Book Antiqua" w:hAnsi="Book Antiqua"/>
          <w:sz w:val="24"/>
          <w:szCs w:val="24"/>
        </w:rPr>
        <w:t xml:space="preserve"> to privacy and security requirements, and our internal data governance arrangements </w:t>
      </w:r>
      <w:r w:rsidR="00E94208">
        <w:rPr>
          <w:rFonts w:ascii="Book Antiqua" w:hAnsi="Book Antiqua"/>
          <w:sz w:val="24"/>
          <w:szCs w:val="24"/>
        </w:rPr>
        <w:t>provide additional protection</w:t>
      </w:r>
      <w:r w:rsidR="00E94208" w:rsidRPr="009A0B27">
        <w:rPr>
          <w:rFonts w:ascii="Book Antiqua" w:hAnsi="Book Antiqua"/>
          <w:sz w:val="24"/>
          <w:szCs w:val="24"/>
        </w:rPr>
        <w:t xml:space="preserve">.  </w:t>
      </w:r>
      <w:r w:rsidR="00A860C5" w:rsidRPr="009A0B27">
        <w:rPr>
          <w:rFonts w:ascii="Book Antiqua" w:hAnsi="Book Antiqua"/>
          <w:sz w:val="24"/>
          <w:szCs w:val="24"/>
        </w:rPr>
        <w:t xml:space="preserve">Given the strength of these protections, </w:t>
      </w:r>
      <w:r w:rsidR="008B2E62">
        <w:rPr>
          <w:rFonts w:ascii="Book Antiqua" w:hAnsi="Book Antiqua"/>
          <w:sz w:val="24"/>
          <w:szCs w:val="24"/>
        </w:rPr>
        <w:t xml:space="preserve">a case </w:t>
      </w:r>
      <w:r w:rsidR="00A860C5" w:rsidRPr="009A0B27">
        <w:rPr>
          <w:rFonts w:ascii="Book Antiqua" w:hAnsi="Book Antiqua"/>
          <w:sz w:val="24"/>
          <w:szCs w:val="24"/>
        </w:rPr>
        <w:t xml:space="preserve">for </w:t>
      </w:r>
      <w:r w:rsidR="00E94208" w:rsidRPr="009A0B27">
        <w:rPr>
          <w:rFonts w:ascii="Book Antiqua" w:hAnsi="Book Antiqua"/>
          <w:sz w:val="24"/>
          <w:szCs w:val="24"/>
        </w:rPr>
        <w:t>additional requirements</w:t>
      </w:r>
      <w:r w:rsidR="00BC1611" w:rsidRPr="009A0B27">
        <w:rPr>
          <w:rFonts w:ascii="Book Antiqua" w:hAnsi="Book Antiqua"/>
          <w:sz w:val="24"/>
          <w:szCs w:val="24"/>
        </w:rPr>
        <w:t xml:space="preserve"> in the Rules for MBS and PBS data</w:t>
      </w:r>
      <w:r w:rsidR="008B2E62">
        <w:rPr>
          <w:rFonts w:ascii="Book Antiqua" w:hAnsi="Book Antiqua"/>
          <w:sz w:val="24"/>
          <w:szCs w:val="24"/>
        </w:rPr>
        <w:t xml:space="preserve"> has not been made</w:t>
      </w:r>
      <w:r w:rsidR="00A860C5" w:rsidRPr="009A0B27">
        <w:rPr>
          <w:rFonts w:ascii="Book Antiqua" w:hAnsi="Book Antiqua"/>
          <w:sz w:val="24"/>
          <w:szCs w:val="24"/>
        </w:rPr>
        <w:t>.  It is also worth noting t</w:t>
      </w:r>
      <w:r w:rsidR="00863A8A" w:rsidRPr="009A0B27">
        <w:rPr>
          <w:rFonts w:ascii="Book Antiqua" w:hAnsi="Book Antiqua"/>
          <w:sz w:val="24"/>
          <w:szCs w:val="24"/>
        </w:rPr>
        <w:t>he Department is subject to the secrecy provisions in primary legislation that apply to claims information.</w:t>
      </w:r>
    </w:p>
    <w:p w14:paraId="3E70F1B9" w14:textId="77777777" w:rsidR="00D21FCD" w:rsidRDefault="00D21FCD" w:rsidP="008F2666">
      <w:pPr>
        <w:pStyle w:val="ListNumber"/>
        <w:numPr>
          <w:ilvl w:val="0"/>
          <w:numId w:val="0"/>
        </w:numPr>
        <w:spacing w:after="0"/>
        <w:ind w:left="57"/>
        <w:rPr>
          <w:rFonts w:ascii="Book Antiqua" w:hAnsi="Book Antiqua"/>
          <w:sz w:val="24"/>
          <w:szCs w:val="24"/>
        </w:rPr>
      </w:pPr>
    </w:p>
    <w:p w14:paraId="46C98064" w14:textId="5C43AF54" w:rsidR="0041662A" w:rsidRDefault="0041662A"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The Department is interested to hear the views of stakeholders on this issue.</w:t>
      </w:r>
    </w:p>
    <w:p w14:paraId="78556F34" w14:textId="77777777" w:rsidR="00E655D0" w:rsidRDefault="00E655D0" w:rsidP="008F2666">
      <w:pPr>
        <w:pStyle w:val="ListNumber"/>
        <w:numPr>
          <w:ilvl w:val="0"/>
          <w:numId w:val="0"/>
        </w:numPr>
        <w:spacing w:after="0"/>
        <w:ind w:left="57"/>
        <w:rPr>
          <w:rFonts w:ascii="Book Antiqua" w:hAnsi="Book Antiqua"/>
          <w:sz w:val="24"/>
          <w:szCs w:val="24"/>
        </w:rPr>
      </w:pPr>
    </w:p>
    <w:p w14:paraId="3B4F5D96" w14:textId="77777777" w:rsidR="00271D04"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How can the Rules be modernised or made more effective, while remaining within the parameters of the primary legislation?</w:t>
      </w:r>
    </w:p>
    <w:p w14:paraId="6EC6147D" w14:textId="77777777" w:rsidR="00271D04"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How might the Rules better align with current government policies pertaining to information use, re-use and sharing while still protecting privacy?</w:t>
      </w:r>
    </w:p>
    <w:p w14:paraId="400CE6D0" w14:textId="77777777" w:rsidR="00591FA5" w:rsidRDefault="00591FA5" w:rsidP="008F2666">
      <w:pPr>
        <w:pStyle w:val="ListNumber"/>
        <w:numPr>
          <w:ilvl w:val="0"/>
          <w:numId w:val="0"/>
        </w:numPr>
        <w:spacing w:after="0"/>
        <w:ind w:left="57"/>
        <w:rPr>
          <w:rFonts w:ascii="Book Antiqua" w:hAnsi="Book Antiqua"/>
          <w:sz w:val="24"/>
          <w:szCs w:val="24"/>
        </w:rPr>
      </w:pPr>
    </w:p>
    <w:p w14:paraId="5CF21FDF" w14:textId="7BBB596A" w:rsidR="008F2666" w:rsidRDefault="00816ED3" w:rsidP="008F2666">
      <w:pPr>
        <w:pStyle w:val="ListNumber"/>
        <w:numPr>
          <w:ilvl w:val="0"/>
          <w:numId w:val="0"/>
        </w:numPr>
        <w:spacing w:after="0"/>
        <w:ind w:left="57"/>
        <w:rPr>
          <w:i/>
        </w:rPr>
      </w:pPr>
      <w:r>
        <w:rPr>
          <w:rFonts w:ascii="Book Antiqua" w:hAnsi="Book Antiqua"/>
          <w:sz w:val="24"/>
          <w:szCs w:val="24"/>
        </w:rPr>
        <w:t xml:space="preserve">As discussed above, there are </w:t>
      </w:r>
      <w:r w:rsidR="00591FA5">
        <w:rPr>
          <w:rFonts w:ascii="Book Antiqua" w:hAnsi="Book Antiqua"/>
          <w:sz w:val="24"/>
          <w:szCs w:val="24"/>
        </w:rPr>
        <w:t>benefits in the Rules moving to a more</w:t>
      </w:r>
      <w:r w:rsidR="00613C74">
        <w:rPr>
          <w:rFonts w:ascii="Book Antiqua" w:hAnsi="Book Antiqua"/>
          <w:sz w:val="24"/>
          <w:szCs w:val="24"/>
        </w:rPr>
        <w:t xml:space="preserve"> principles-based </w:t>
      </w:r>
      <w:r w:rsidR="00613C74" w:rsidRPr="009A0B27">
        <w:rPr>
          <w:rFonts w:ascii="Book Antiqua" w:hAnsi="Book Antiqua"/>
          <w:color w:val="000000" w:themeColor="text1"/>
          <w:sz w:val="24"/>
          <w:szCs w:val="24"/>
        </w:rPr>
        <w:t xml:space="preserve">approach, to improve their effectiveness and </w:t>
      </w:r>
      <w:r w:rsidR="00591FA5" w:rsidRPr="009A0B27">
        <w:rPr>
          <w:rFonts w:ascii="Book Antiqua" w:hAnsi="Book Antiqua"/>
          <w:color w:val="000000" w:themeColor="text1"/>
          <w:sz w:val="24"/>
          <w:szCs w:val="24"/>
        </w:rPr>
        <w:t>align</w:t>
      </w:r>
      <w:r w:rsidR="00613C74" w:rsidRPr="009A0B27">
        <w:rPr>
          <w:rFonts w:ascii="Book Antiqua" w:hAnsi="Book Antiqua"/>
          <w:color w:val="000000" w:themeColor="text1"/>
          <w:sz w:val="24"/>
          <w:szCs w:val="24"/>
        </w:rPr>
        <w:t>ment</w:t>
      </w:r>
      <w:r w:rsidR="00591FA5" w:rsidRPr="009A0B27">
        <w:rPr>
          <w:rFonts w:ascii="Book Antiqua" w:hAnsi="Book Antiqua"/>
          <w:color w:val="000000" w:themeColor="text1"/>
          <w:sz w:val="24"/>
          <w:szCs w:val="24"/>
        </w:rPr>
        <w:t xml:space="preserve"> with current government policies</w:t>
      </w:r>
      <w:r w:rsidR="00E67E4A" w:rsidRPr="009A0B27">
        <w:rPr>
          <w:rFonts w:ascii="Book Antiqua" w:hAnsi="Book Antiqua"/>
          <w:color w:val="000000" w:themeColor="text1"/>
          <w:sz w:val="24"/>
          <w:szCs w:val="24"/>
        </w:rPr>
        <w:t xml:space="preserve"> pertaining to information use, re-use and sharing while protecting privacy</w:t>
      </w:r>
      <w:r w:rsidR="00591FA5" w:rsidRPr="009A0B27">
        <w:rPr>
          <w:rFonts w:ascii="Book Antiqua" w:hAnsi="Book Antiqua"/>
          <w:color w:val="000000" w:themeColor="text1"/>
          <w:sz w:val="24"/>
          <w:szCs w:val="24"/>
        </w:rPr>
        <w:t xml:space="preserve">.  </w:t>
      </w:r>
      <w:r w:rsidRPr="009A0B27">
        <w:rPr>
          <w:rFonts w:ascii="Book Antiqua" w:hAnsi="Book Antiqua"/>
          <w:color w:val="000000" w:themeColor="text1"/>
          <w:sz w:val="24"/>
          <w:szCs w:val="24"/>
        </w:rPr>
        <w:t xml:space="preserve"> </w:t>
      </w:r>
    </w:p>
    <w:p w14:paraId="37E8231B" w14:textId="77777777" w:rsidR="008F2666" w:rsidRDefault="008F2666" w:rsidP="008F2666">
      <w:pPr>
        <w:pStyle w:val="ListNumber"/>
        <w:numPr>
          <w:ilvl w:val="0"/>
          <w:numId w:val="0"/>
        </w:numPr>
        <w:spacing w:after="0"/>
        <w:ind w:left="57"/>
        <w:rPr>
          <w:rFonts w:ascii="Book Antiqua" w:hAnsi="Book Antiqua"/>
          <w:i/>
          <w:sz w:val="24"/>
          <w:szCs w:val="24"/>
        </w:rPr>
      </w:pPr>
    </w:p>
    <w:p w14:paraId="6AD83E55" w14:textId="70AD000F" w:rsidR="005A5C7E"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Should these requirements (about separation of claims information from enrolments and entitlements and exclusion of personal identification components) stay the same or be changed? Why?</w:t>
      </w:r>
    </w:p>
    <w:p w14:paraId="3B14062C" w14:textId="77777777" w:rsidR="008F2666" w:rsidRDefault="008F2666" w:rsidP="008F2666">
      <w:pPr>
        <w:pStyle w:val="ListNumber"/>
        <w:numPr>
          <w:ilvl w:val="0"/>
          <w:numId w:val="0"/>
        </w:numPr>
        <w:spacing w:after="0"/>
        <w:ind w:left="57"/>
        <w:rPr>
          <w:rFonts w:ascii="Book Antiqua" w:hAnsi="Book Antiqua"/>
          <w:sz w:val="24"/>
          <w:szCs w:val="24"/>
        </w:rPr>
      </w:pPr>
    </w:p>
    <w:p w14:paraId="04DC2E8E" w14:textId="29F51ADB" w:rsidR="00F328D2" w:rsidRDefault="002C2A2F"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In general t</w:t>
      </w:r>
      <w:r w:rsidR="00F328D2">
        <w:rPr>
          <w:rFonts w:ascii="Book Antiqua" w:hAnsi="Book Antiqua"/>
          <w:sz w:val="24"/>
          <w:szCs w:val="24"/>
        </w:rPr>
        <w:t xml:space="preserve">he Department notes that the separation principle is a privacy preserving measure and considers that it should continue to apply where practicable. </w:t>
      </w:r>
    </w:p>
    <w:p w14:paraId="42014B15" w14:textId="77777777" w:rsidR="008F2666" w:rsidRDefault="008F2666" w:rsidP="008F2666">
      <w:pPr>
        <w:pStyle w:val="ListNumber"/>
        <w:numPr>
          <w:ilvl w:val="0"/>
          <w:numId w:val="0"/>
        </w:numPr>
        <w:spacing w:after="0"/>
        <w:rPr>
          <w:rFonts w:ascii="Book Antiqua" w:hAnsi="Book Antiqua"/>
          <w:sz w:val="24"/>
          <w:szCs w:val="24"/>
        </w:rPr>
      </w:pPr>
    </w:p>
    <w:p w14:paraId="66C7A0D6" w14:textId="361CFC3D" w:rsidR="00E655D0" w:rsidRDefault="00EF3935" w:rsidP="008F2666">
      <w:pPr>
        <w:pStyle w:val="ListNumber"/>
        <w:numPr>
          <w:ilvl w:val="0"/>
          <w:numId w:val="0"/>
        </w:numPr>
        <w:spacing w:after="0"/>
        <w:rPr>
          <w:rFonts w:ascii="Book Antiqua" w:hAnsi="Book Antiqua"/>
          <w:sz w:val="24"/>
          <w:szCs w:val="24"/>
        </w:rPr>
      </w:pPr>
      <w:r>
        <w:rPr>
          <w:rFonts w:ascii="Book Antiqua" w:hAnsi="Book Antiqua"/>
          <w:sz w:val="24"/>
          <w:szCs w:val="24"/>
        </w:rPr>
        <w:t>The D</w:t>
      </w:r>
      <w:r w:rsidR="00F328D2">
        <w:rPr>
          <w:rFonts w:ascii="Book Antiqua" w:hAnsi="Book Antiqua"/>
          <w:sz w:val="24"/>
          <w:szCs w:val="24"/>
        </w:rPr>
        <w:t>epartment require</w:t>
      </w:r>
      <w:r>
        <w:rPr>
          <w:rFonts w:ascii="Book Antiqua" w:hAnsi="Book Antiqua"/>
          <w:sz w:val="24"/>
          <w:szCs w:val="24"/>
        </w:rPr>
        <w:t>s</w:t>
      </w:r>
      <w:r w:rsidR="00F328D2">
        <w:rPr>
          <w:rFonts w:ascii="Book Antiqua" w:hAnsi="Book Antiqua"/>
          <w:sz w:val="24"/>
          <w:szCs w:val="24"/>
        </w:rPr>
        <w:t xml:space="preserve"> persona</w:t>
      </w:r>
      <w:r>
        <w:rPr>
          <w:rFonts w:ascii="Book Antiqua" w:hAnsi="Book Antiqua"/>
          <w:sz w:val="24"/>
          <w:szCs w:val="24"/>
        </w:rPr>
        <w:t xml:space="preserve">l identification components to support linkage (particularly with datasets that do not have the </w:t>
      </w:r>
      <w:r w:rsidR="002C2A2F">
        <w:rPr>
          <w:rFonts w:ascii="Book Antiqua" w:hAnsi="Book Antiqua"/>
          <w:sz w:val="24"/>
          <w:szCs w:val="24"/>
        </w:rPr>
        <w:t xml:space="preserve">Medicare </w:t>
      </w:r>
      <w:r>
        <w:rPr>
          <w:rFonts w:ascii="Book Antiqua" w:hAnsi="Book Antiqua"/>
          <w:sz w:val="24"/>
          <w:szCs w:val="24"/>
        </w:rPr>
        <w:t>PIN), but does not require personal identification components to be included in the resulting linked dataset</w:t>
      </w:r>
      <w:r w:rsidR="00536EEA">
        <w:rPr>
          <w:rFonts w:ascii="Book Antiqua" w:hAnsi="Book Antiqua"/>
          <w:sz w:val="24"/>
          <w:szCs w:val="24"/>
        </w:rPr>
        <w:t xml:space="preserve">.  </w:t>
      </w:r>
      <w:r>
        <w:rPr>
          <w:rFonts w:ascii="Book Antiqua" w:hAnsi="Book Antiqua"/>
          <w:sz w:val="24"/>
          <w:szCs w:val="24"/>
        </w:rPr>
        <w:t xml:space="preserve">  </w:t>
      </w:r>
    </w:p>
    <w:p w14:paraId="110583DC" w14:textId="77777777" w:rsidR="008F2666" w:rsidRDefault="008F2666" w:rsidP="008F2666">
      <w:pPr>
        <w:pStyle w:val="ListNumber"/>
        <w:numPr>
          <w:ilvl w:val="0"/>
          <w:numId w:val="0"/>
        </w:numPr>
        <w:spacing w:after="0"/>
        <w:rPr>
          <w:i/>
        </w:rPr>
      </w:pPr>
    </w:p>
    <w:p w14:paraId="329C4331" w14:textId="2A1E4847" w:rsidR="005A5C7E"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Is having dedicated detailed technical standards for MBS and PBS claims databases necessary given the range of other information security requirements applying to Services Australia?</w:t>
      </w:r>
    </w:p>
    <w:p w14:paraId="2FCA8558" w14:textId="77777777" w:rsidR="00271D04"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Should the technical standards cover any other matters?</w:t>
      </w:r>
    </w:p>
    <w:p w14:paraId="076A52F2" w14:textId="77777777" w:rsidR="005A5C7E"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Should any other agencies be required to have technical standards of this sort? Which agencies and why?</w:t>
      </w:r>
    </w:p>
    <w:p w14:paraId="137B01CC" w14:textId="77777777" w:rsidR="008F2666" w:rsidRDefault="008F2666" w:rsidP="008F2666">
      <w:pPr>
        <w:pStyle w:val="ListNumber"/>
        <w:numPr>
          <w:ilvl w:val="0"/>
          <w:numId w:val="0"/>
        </w:numPr>
        <w:spacing w:after="0"/>
        <w:ind w:left="57"/>
        <w:rPr>
          <w:rFonts w:ascii="Book Antiqua" w:hAnsi="Book Antiqua"/>
          <w:sz w:val="24"/>
          <w:szCs w:val="24"/>
        </w:rPr>
      </w:pPr>
    </w:p>
    <w:p w14:paraId="4482D45A" w14:textId="6C4C2CED" w:rsidR="002C2A2F" w:rsidRDefault="008B2E62"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S</w:t>
      </w:r>
      <w:r w:rsidR="00256943">
        <w:rPr>
          <w:rFonts w:ascii="Book Antiqua" w:hAnsi="Book Antiqua"/>
          <w:sz w:val="24"/>
          <w:szCs w:val="24"/>
        </w:rPr>
        <w:t>pecif</w:t>
      </w:r>
      <w:r>
        <w:rPr>
          <w:rFonts w:ascii="Book Antiqua" w:hAnsi="Book Antiqua"/>
          <w:sz w:val="24"/>
          <w:szCs w:val="24"/>
        </w:rPr>
        <w:t>ic</w:t>
      </w:r>
      <w:r w:rsidR="00256943">
        <w:rPr>
          <w:rFonts w:ascii="Book Antiqua" w:hAnsi="Book Antiqua"/>
          <w:sz w:val="24"/>
          <w:szCs w:val="24"/>
        </w:rPr>
        <w:t xml:space="preserve"> de</w:t>
      </w:r>
      <w:r w:rsidR="00EF3935">
        <w:rPr>
          <w:rFonts w:ascii="Book Antiqua" w:hAnsi="Book Antiqua"/>
          <w:sz w:val="24"/>
          <w:szCs w:val="24"/>
        </w:rPr>
        <w:t>tailed technical standards</w:t>
      </w:r>
      <w:r w:rsidR="00E655D0">
        <w:rPr>
          <w:rFonts w:ascii="Book Antiqua" w:hAnsi="Book Antiqua"/>
          <w:sz w:val="24"/>
          <w:szCs w:val="24"/>
        </w:rPr>
        <w:t xml:space="preserve"> and</w:t>
      </w:r>
      <w:r w:rsidR="00EF3935">
        <w:rPr>
          <w:rFonts w:ascii="Book Antiqua" w:hAnsi="Book Antiqua"/>
          <w:sz w:val="24"/>
          <w:szCs w:val="24"/>
        </w:rPr>
        <w:t xml:space="preserve"> </w:t>
      </w:r>
      <w:r>
        <w:rPr>
          <w:rFonts w:ascii="Book Antiqua" w:hAnsi="Book Antiqua"/>
          <w:sz w:val="24"/>
          <w:szCs w:val="24"/>
        </w:rPr>
        <w:t xml:space="preserve">the requirement </w:t>
      </w:r>
      <w:r w:rsidR="00EF3935">
        <w:rPr>
          <w:rFonts w:ascii="Book Antiqua" w:hAnsi="Book Antiqua"/>
          <w:sz w:val="24"/>
          <w:szCs w:val="24"/>
        </w:rPr>
        <w:t xml:space="preserve">to report any changes to the </w:t>
      </w:r>
      <w:r w:rsidR="00256943">
        <w:rPr>
          <w:rFonts w:ascii="Book Antiqua" w:hAnsi="Book Antiqua"/>
          <w:sz w:val="24"/>
          <w:szCs w:val="24"/>
        </w:rPr>
        <w:t xml:space="preserve">standards to the </w:t>
      </w:r>
      <w:r w:rsidR="00EF3935">
        <w:rPr>
          <w:rFonts w:ascii="Book Antiqua" w:hAnsi="Book Antiqua"/>
          <w:sz w:val="24"/>
          <w:szCs w:val="24"/>
        </w:rPr>
        <w:t>OAIC</w:t>
      </w:r>
      <w:r>
        <w:rPr>
          <w:rFonts w:ascii="Book Antiqua" w:hAnsi="Book Antiqua"/>
          <w:sz w:val="24"/>
          <w:szCs w:val="24"/>
        </w:rPr>
        <w:t xml:space="preserve"> may be able to be dispensed with</w:t>
      </w:r>
      <w:r w:rsidR="00EF3935">
        <w:rPr>
          <w:rFonts w:ascii="Book Antiqua" w:hAnsi="Book Antiqua"/>
          <w:sz w:val="24"/>
          <w:szCs w:val="24"/>
        </w:rPr>
        <w:t xml:space="preserve"> given that Commonwealth agencies are subject to the APPs, the Australian Government Protective Security </w:t>
      </w:r>
      <w:r w:rsidR="007942CF">
        <w:rPr>
          <w:rFonts w:ascii="Book Antiqua" w:hAnsi="Book Antiqua"/>
          <w:sz w:val="24"/>
          <w:szCs w:val="24"/>
        </w:rPr>
        <w:t xml:space="preserve">Policy </w:t>
      </w:r>
      <w:r w:rsidR="00EF3935">
        <w:rPr>
          <w:rFonts w:ascii="Book Antiqua" w:hAnsi="Book Antiqua"/>
          <w:sz w:val="24"/>
          <w:szCs w:val="24"/>
        </w:rPr>
        <w:t>Framework</w:t>
      </w:r>
      <w:r w:rsidR="002C2A2F">
        <w:rPr>
          <w:rFonts w:ascii="Book Antiqua" w:hAnsi="Book Antiqua"/>
          <w:sz w:val="24"/>
          <w:szCs w:val="24"/>
        </w:rPr>
        <w:t>, the Australian Government Information Security Manual</w:t>
      </w:r>
      <w:r w:rsidR="00EF3935">
        <w:rPr>
          <w:rFonts w:ascii="Book Antiqua" w:hAnsi="Book Antiqua"/>
          <w:sz w:val="24"/>
          <w:szCs w:val="24"/>
        </w:rPr>
        <w:t xml:space="preserve"> and other </w:t>
      </w:r>
      <w:r w:rsidR="002C2A2F">
        <w:rPr>
          <w:rFonts w:ascii="Book Antiqua" w:hAnsi="Book Antiqua"/>
          <w:sz w:val="24"/>
          <w:szCs w:val="24"/>
        </w:rPr>
        <w:t xml:space="preserve">Commonwealth </w:t>
      </w:r>
      <w:r w:rsidR="00EF3935">
        <w:rPr>
          <w:rFonts w:ascii="Book Antiqua" w:hAnsi="Book Antiqua"/>
          <w:sz w:val="24"/>
          <w:szCs w:val="24"/>
        </w:rPr>
        <w:t>requirements</w:t>
      </w:r>
      <w:r w:rsidR="002C2A2F">
        <w:rPr>
          <w:rFonts w:ascii="Book Antiqua" w:hAnsi="Book Antiqua"/>
          <w:sz w:val="24"/>
          <w:szCs w:val="24"/>
        </w:rPr>
        <w:t xml:space="preserve"> that may exist and vary from time to time</w:t>
      </w:r>
      <w:r w:rsidR="00EF3935">
        <w:rPr>
          <w:rFonts w:ascii="Book Antiqua" w:hAnsi="Book Antiqua"/>
          <w:sz w:val="24"/>
          <w:szCs w:val="24"/>
        </w:rPr>
        <w:t xml:space="preserve">. </w:t>
      </w:r>
      <w:r w:rsidR="002C2A2F">
        <w:rPr>
          <w:rFonts w:ascii="Book Antiqua" w:hAnsi="Book Antiqua"/>
          <w:sz w:val="24"/>
          <w:szCs w:val="24"/>
        </w:rPr>
        <w:t xml:space="preserve">The need for other </w:t>
      </w:r>
      <w:r w:rsidR="005267FF">
        <w:rPr>
          <w:rFonts w:ascii="Book Antiqua" w:hAnsi="Book Antiqua"/>
          <w:sz w:val="24"/>
          <w:szCs w:val="24"/>
        </w:rPr>
        <w:t xml:space="preserve">Commonwealth </w:t>
      </w:r>
      <w:r w:rsidR="002C2A2F">
        <w:rPr>
          <w:rFonts w:ascii="Book Antiqua" w:hAnsi="Book Antiqua"/>
          <w:sz w:val="24"/>
          <w:szCs w:val="24"/>
        </w:rPr>
        <w:t xml:space="preserve">agencies who hold MBS and PBS claims information and personal identification components to adhere to technical standards </w:t>
      </w:r>
      <w:r>
        <w:rPr>
          <w:rFonts w:ascii="Book Antiqua" w:hAnsi="Book Antiqua"/>
          <w:sz w:val="24"/>
          <w:szCs w:val="24"/>
        </w:rPr>
        <w:t>could be required only where necessary</w:t>
      </w:r>
      <w:r w:rsidR="002C2A2F">
        <w:rPr>
          <w:rFonts w:ascii="Book Antiqua" w:hAnsi="Book Antiqua"/>
          <w:sz w:val="24"/>
          <w:szCs w:val="24"/>
        </w:rPr>
        <w:t xml:space="preserve"> </w:t>
      </w:r>
      <w:r w:rsidR="00C55A1B">
        <w:rPr>
          <w:rFonts w:ascii="Book Antiqua" w:hAnsi="Book Antiqua"/>
          <w:sz w:val="24"/>
          <w:szCs w:val="24"/>
        </w:rPr>
        <w:t>based on</w:t>
      </w:r>
      <w:r w:rsidR="002C2A2F">
        <w:rPr>
          <w:rFonts w:ascii="Book Antiqua" w:hAnsi="Book Antiqua"/>
          <w:sz w:val="24"/>
          <w:szCs w:val="24"/>
        </w:rPr>
        <w:t xml:space="preserve"> the identified privacy risk.</w:t>
      </w:r>
    </w:p>
    <w:p w14:paraId="23C86091" w14:textId="77777777" w:rsidR="00E655D0" w:rsidRDefault="00E655D0" w:rsidP="008F2666">
      <w:pPr>
        <w:pStyle w:val="ListNumber"/>
        <w:numPr>
          <w:ilvl w:val="0"/>
          <w:numId w:val="0"/>
        </w:numPr>
        <w:spacing w:after="0"/>
        <w:ind w:left="57"/>
        <w:rPr>
          <w:rFonts w:ascii="Book Antiqua" w:hAnsi="Book Antiqua"/>
          <w:sz w:val="24"/>
          <w:szCs w:val="24"/>
        </w:rPr>
      </w:pPr>
    </w:p>
    <w:p w14:paraId="6A1964F2" w14:textId="77777777" w:rsidR="00271D04"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Are the provisions regulating the creation, use and disclosure of Medicare PINs fit for purpose?</w:t>
      </w:r>
    </w:p>
    <w:p w14:paraId="6B429976" w14:textId="77777777" w:rsidR="005A5C7E" w:rsidRPr="00F328D2" w:rsidRDefault="00271D04" w:rsidP="008F2666">
      <w:pPr>
        <w:pStyle w:val="ListNumber"/>
        <w:spacing w:after="0"/>
        <w:ind w:left="511" w:hanging="454"/>
        <w:rPr>
          <w:rFonts w:ascii="Book Antiqua" w:hAnsi="Book Antiqua"/>
          <w:i/>
          <w:sz w:val="24"/>
          <w:szCs w:val="24"/>
        </w:rPr>
      </w:pPr>
      <w:r w:rsidRPr="00F328D2">
        <w:rPr>
          <w:rFonts w:ascii="Book Antiqua" w:hAnsi="Book Antiqua"/>
          <w:i/>
          <w:sz w:val="24"/>
          <w:szCs w:val="24"/>
        </w:rPr>
        <w:t>Should there be more permissive or more restrictive use of Medicare PINs? Why?</w:t>
      </w:r>
    </w:p>
    <w:p w14:paraId="7506463D" w14:textId="77777777" w:rsidR="00EF3935" w:rsidRDefault="00EF3935" w:rsidP="008F2666">
      <w:pPr>
        <w:pStyle w:val="ListNumber"/>
        <w:numPr>
          <w:ilvl w:val="0"/>
          <w:numId w:val="0"/>
        </w:numPr>
        <w:spacing w:after="0"/>
        <w:ind w:left="57"/>
        <w:rPr>
          <w:rFonts w:ascii="Book Antiqua" w:hAnsi="Book Antiqua"/>
          <w:sz w:val="24"/>
          <w:szCs w:val="24"/>
        </w:rPr>
      </w:pPr>
    </w:p>
    <w:p w14:paraId="0CC19477" w14:textId="2699A627" w:rsidR="00C55A1B" w:rsidRPr="009A0B27" w:rsidRDefault="00C55A1B" w:rsidP="008F2666">
      <w:pPr>
        <w:pStyle w:val="ListNumber"/>
        <w:numPr>
          <w:ilvl w:val="0"/>
          <w:numId w:val="0"/>
        </w:numPr>
        <w:spacing w:after="0"/>
        <w:ind w:left="57"/>
        <w:rPr>
          <w:rFonts w:ascii="Book Antiqua" w:hAnsi="Book Antiqua"/>
          <w:color w:val="000000" w:themeColor="text1"/>
          <w:sz w:val="24"/>
          <w:szCs w:val="24"/>
        </w:rPr>
      </w:pPr>
      <w:r w:rsidRPr="005267FF">
        <w:rPr>
          <w:rFonts w:ascii="Book Antiqua" w:hAnsi="Book Antiqua"/>
          <w:sz w:val="24"/>
          <w:szCs w:val="24"/>
        </w:rPr>
        <w:t xml:space="preserve">The Department notes that the Medicare PIN is not part of a MBS or PBS claim and is a computer system applied artefact of having to store MBS and PBS entitlement and claims data in separate databases.  The </w:t>
      </w:r>
      <w:r w:rsidR="00655538">
        <w:rPr>
          <w:rFonts w:ascii="Book Antiqua" w:hAnsi="Book Antiqua"/>
          <w:sz w:val="24"/>
          <w:szCs w:val="24"/>
        </w:rPr>
        <w:t>main</w:t>
      </w:r>
      <w:r w:rsidRPr="005267FF">
        <w:rPr>
          <w:rFonts w:ascii="Book Antiqua" w:hAnsi="Book Antiqua"/>
          <w:sz w:val="24"/>
          <w:szCs w:val="24"/>
        </w:rPr>
        <w:t xml:space="preserve"> function of the Medicare PIN is to maintain linkage between the separate databases as required by the Rules, </w:t>
      </w:r>
      <w:r w:rsidR="005267FF">
        <w:rPr>
          <w:rFonts w:ascii="Book Antiqua" w:hAnsi="Book Antiqua"/>
          <w:sz w:val="24"/>
          <w:szCs w:val="24"/>
        </w:rPr>
        <w:t xml:space="preserve">so </w:t>
      </w:r>
      <w:r w:rsidRPr="005267FF">
        <w:rPr>
          <w:rFonts w:ascii="Book Antiqua" w:hAnsi="Book Antiqua"/>
          <w:sz w:val="24"/>
          <w:szCs w:val="24"/>
        </w:rPr>
        <w:t xml:space="preserve">there seems </w:t>
      </w:r>
      <w:r w:rsidR="005267FF">
        <w:rPr>
          <w:rFonts w:ascii="Book Antiqua" w:hAnsi="Book Antiqua"/>
          <w:sz w:val="24"/>
          <w:szCs w:val="24"/>
        </w:rPr>
        <w:t xml:space="preserve">to be </w:t>
      </w:r>
      <w:r w:rsidRPr="005267FF">
        <w:rPr>
          <w:rFonts w:ascii="Book Antiqua" w:hAnsi="Book Antiqua"/>
          <w:sz w:val="24"/>
          <w:szCs w:val="24"/>
        </w:rPr>
        <w:t xml:space="preserve">no reason for the PIN to be a controlled item. </w:t>
      </w:r>
      <w:r w:rsidR="00E655D0">
        <w:rPr>
          <w:rFonts w:ascii="Book Antiqua" w:hAnsi="Book Antiqua"/>
          <w:sz w:val="24"/>
          <w:szCs w:val="24"/>
        </w:rPr>
        <w:t xml:space="preserve"> </w:t>
      </w:r>
      <w:r w:rsidR="009A0B27" w:rsidRPr="009A0B27">
        <w:rPr>
          <w:rFonts w:ascii="Book Antiqua" w:hAnsi="Book Antiqua"/>
          <w:color w:val="000000" w:themeColor="text1"/>
          <w:sz w:val="24"/>
          <w:szCs w:val="24"/>
        </w:rPr>
        <w:t>There are also issues with respect to the quality of the PIN in maintaining linkage across the datab</w:t>
      </w:r>
      <w:r w:rsidR="009A0B27">
        <w:rPr>
          <w:rFonts w:ascii="Book Antiqua" w:hAnsi="Book Antiqua"/>
          <w:color w:val="000000" w:themeColor="text1"/>
          <w:sz w:val="24"/>
          <w:szCs w:val="24"/>
        </w:rPr>
        <w:t>a</w:t>
      </w:r>
      <w:r w:rsidR="009A0B27" w:rsidRPr="009A0B27">
        <w:rPr>
          <w:rFonts w:ascii="Book Antiqua" w:hAnsi="Book Antiqua"/>
          <w:color w:val="000000" w:themeColor="text1"/>
          <w:sz w:val="24"/>
          <w:szCs w:val="24"/>
        </w:rPr>
        <w:t>ses.</w:t>
      </w:r>
    </w:p>
    <w:p w14:paraId="6C73F0D4" w14:textId="77777777" w:rsidR="00E655D0" w:rsidRPr="009A0B27" w:rsidRDefault="00E655D0" w:rsidP="008F2666">
      <w:pPr>
        <w:pStyle w:val="ListNumber"/>
        <w:numPr>
          <w:ilvl w:val="0"/>
          <w:numId w:val="0"/>
        </w:numPr>
        <w:spacing w:after="0"/>
        <w:ind w:left="57"/>
        <w:rPr>
          <w:rFonts w:ascii="Book Antiqua" w:hAnsi="Book Antiqua"/>
          <w:color w:val="000000" w:themeColor="text1"/>
          <w:sz w:val="24"/>
          <w:szCs w:val="24"/>
        </w:rPr>
      </w:pPr>
    </w:p>
    <w:p w14:paraId="56F895B4" w14:textId="4797FBEC" w:rsidR="00EF3935" w:rsidRPr="009A0B27" w:rsidRDefault="00613C74" w:rsidP="008F2666">
      <w:pPr>
        <w:pStyle w:val="ListNumber"/>
        <w:numPr>
          <w:ilvl w:val="0"/>
          <w:numId w:val="0"/>
        </w:numPr>
        <w:spacing w:after="0"/>
        <w:ind w:left="57"/>
        <w:rPr>
          <w:rFonts w:ascii="Book Antiqua" w:hAnsi="Book Antiqua"/>
          <w:color w:val="000000" w:themeColor="text1"/>
          <w:sz w:val="24"/>
          <w:szCs w:val="24"/>
        </w:rPr>
      </w:pPr>
      <w:r w:rsidRPr="009A0B27">
        <w:rPr>
          <w:rFonts w:ascii="Book Antiqua" w:hAnsi="Book Antiqua"/>
          <w:color w:val="000000" w:themeColor="text1"/>
          <w:sz w:val="24"/>
          <w:szCs w:val="24"/>
        </w:rPr>
        <w:t>Consistent with t</w:t>
      </w:r>
      <w:r w:rsidR="00C55A1B" w:rsidRPr="009A0B27">
        <w:rPr>
          <w:rFonts w:ascii="Book Antiqua" w:hAnsi="Book Antiqua"/>
          <w:color w:val="000000" w:themeColor="text1"/>
          <w:sz w:val="24"/>
          <w:szCs w:val="24"/>
        </w:rPr>
        <w:t xml:space="preserve">he </w:t>
      </w:r>
      <w:r w:rsidR="00F328D2" w:rsidRPr="009A0B27">
        <w:rPr>
          <w:rFonts w:ascii="Book Antiqua" w:hAnsi="Book Antiqua"/>
          <w:color w:val="000000" w:themeColor="text1"/>
          <w:sz w:val="24"/>
          <w:szCs w:val="24"/>
        </w:rPr>
        <w:t xml:space="preserve">requirement </w:t>
      </w:r>
      <w:r w:rsidR="008B2E62">
        <w:rPr>
          <w:rFonts w:ascii="Book Antiqua" w:hAnsi="Book Antiqua"/>
          <w:color w:val="000000" w:themeColor="text1"/>
          <w:sz w:val="24"/>
          <w:szCs w:val="24"/>
        </w:rPr>
        <w:t>that</w:t>
      </w:r>
      <w:r w:rsidR="00C55A1B" w:rsidRPr="009A0B27">
        <w:rPr>
          <w:rFonts w:ascii="Book Antiqua" w:hAnsi="Book Antiqua"/>
          <w:color w:val="000000" w:themeColor="text1"/>
          <w:sz w:val="24"/>
          <w:szCs w:val="24"/>
        </w:rPr>
        <w:t xml:space="preserve"> the</w:t>
      </w:r>
      <w:r w:rsidR="002711B8" w:rsidRPr="009A0B27">
        <w:rPr>
          <w:rFonts w:ascii="Book Antiqua" w:hAnsi="Book Antiqua"/>
          <w:color w:val="000000" w:themeColor="text1"/>
          <w:sz w:val="24"/>
          <w:szCs w:val="24"/>
        </w:rPr>
        <w:t xml:space="preserve"> </w:t>
      </w:r>
      <w:r w:rsidR="00C55A1B" w:rsidRPr="009A0B27">
        <w:rPr>
          <w:rFonts w:ascii="Book Antiqua" w:hAnsi="Book Antiqua"/>
          <w:color w:val="000000" w:themeColor="text1"/>
          <w:sz w:val="24"/>
          <w:szCs w:val="24"/>
        </w:rPr>
        <w:t xml:space="preserve">Medicare </w:t>
      </w:r>
      <w:r w:rsidR="00F328D2" w:rsidRPr="009A0B27">
        <w:rPr>
          <w:rFonts w:ascii="Book Antiqua" w:hAnsi="Book Antiqua"/>
          <w:color w:val="000000" w:themeColor="text1"/>
          <w:sz w:val="24"/>
          <w:szCs w:val="24"/>
        </w:rPr>
        <w:t>PIN</w:t>
      </w:r>
      <w:r w:rsidR="002711B8" w:rsidRPr="009A0B27">
        <w:rPr>
          <w:rFonts w:ascii="Book Antiqua" w:hAnsi="Book Antiqua"/>
          <w:color w:val="000000" w:themeColor="text1"/>
          <w:sz w:val="24"/>
          <w:szCs w:val="24"/>
        </w:rPr>
        <w:t xml:space="preserve"> not reveal personal or health information about the individual</w:t>
      </w:r>
      <w:r w:rsidRPr="009A0B27">
        <w:rPr>
          <w:rFonts w:ascii="Book Antiqua" w:hAnsi="Book Antiqua"/>
          <w:color w:val="000000" w:themeColor="text1"/>
          <w:sz w:val="24"/>
          <w:szCs w:val="24"/>
        </w:rPr>
        <w:t xml:space="preserve">, an alternate approach could be to develop </w:t>
      </w:r>
      <w:r w:rsidR="00C55A1B" w:rsidRPr="009A0B27">
        <w:rPr>
          <w:rFonts w:ascii="Book Antiqua" w:hAnsi="Book Antiqua"/>
          <w:color w:val="000000" w:themeColor="text1"/>
          <w:sz w:val="24"/>
          <w:szCs w:val="24"/>
        </w:rPr>
        <w:t xml:space="preserve">more general principles regarding a common identifier that brings together MBS and PBS claims information. </w:t>
      </w:r>
      <w:r w:rsidRPr="009A0B27">
        <w:rPr>
          <w:rFonts w:ascii="Book Antiqua" w:hAnsi="Book Antiqua"/>
          <w:color w:val="000000" w:themeColor="text1"/>
          <w:sz w:val="24"/>
          <w:szCs w:val="24"/>
        </w:rPr>
        <w:t xml:space="preserve"> The Department recommends that such principles be developed in consultation with organisations involved in statistical linkage.</w:t>
      </w:r>
    </w:p>
    <w:p w14:paraId="4F72E7EB" w14:textId="77777777" w:rsidR="008F2666" w:rsidRPr="009A0B27" w:rsidRDefault="008F2666" w:rsidP="008F2666">
      <w:pPr>
        <w:pStyle w:val="ListNumber"/>
        <w:numPr>
          <w:ilvl w:val="0"/>
          <w:numId w:val="0"/>
        </w:numPr>
        <w:spacing w:after="0"/>
        <w:ind w:left="57"/>
        <w:rPr>
          <w:rFonts w:ascii="Book Antiqua" w:hAnsi="Book Antiqua"/>
          <w:sz w:val="24"/>
          <w:szCs w:val="24"/>
        </w:rPr>
      </w:pPr>
    </w:p>
    <w:p w14:paraId="0DA1FC24" w14:textId="6CC151FA" w:rsidR="005267FF" w:rsidRPr="009A0B27" w:rsidRDefault="005267FF" w:rsidP="008F2666">
      <w:pPr>
        <w:pStyle w:val="ListNumber"/>
        <w:numPr>
          <w:ilvl w:val="0"/>
          <w:numId w:val="0"/>
        </w:numPr>
        <w:spacing w:after="0"/>
        <w:ind w:left="57"/>
        <w:rPr>
          <w:rFonts w:ascii="Book Antiqua" w:hAnsi="Book Antiqua"/>
          <w:sz w:val="24"/>
          <w:szCs w:val="24"/>
        </w:rPr>
      </w:pPr>
      <w:r w:rsidRPr="009A0B27">
        <w:rPr>
          <w:rFonts w:ascii="Book Antiqua" w:hAnsi="Book Antiqua"/>
          <w:sz w:val="24"/>
          <w:szCs w:val="24"/>
        </w:rPr>
        <w:t>If the Department continues not to receive personal identification components, then the Medicare PIN should be retained.</w:t>
      </w:r>
    </w:p>
    <w:p w14:paraId="5B49D5E6" w14:textId="77777777" w:rsidR="00EF3935" w:rsidRPr="009A0B27" w:rsidRDefault="00EF3935" w:rsidP="008F2666">
      <w:pPr>
        <w:pStyle w:val="ListNumber"/>
        <w:numPr>
          <w:ilvl w:val="0"/>
          <w:numId w:val="0"/>
        </w:numPr>
        <w:spacing w:after="0"/>
        <w:ind w:left="5813"/>
        <w:rPr>
          <w:rFonts w:ascii="Book Antiqua" w:hAnsi="Book Antiqua"/>
          <w:sz w:val="24"/>
          <w:szCs w:val="24"/>
        </w:rPr>
      </w:pPr>
    </w:p>
    <w:p w14:paraId="3A9FBDA2" w14:textId="77777777" w:rsidR="00271D04" w:rsidRPr="009A0B27" w:rsidRDefault="00271D04" w:rsidP="008F2666">
      <w:pPr>
        <w:pStyle w:val="ListNumber"/>
        <w:spacing w:after="0"/>
        <w:ind w:left="511" w:hanging="454"/>
        <w:rPr>
          <w:rFonts w:ascii="Book Antiqua" w:hAnsi="Book Antiqua"/>
          <w:i/>
          <w:sz w:val="24"/>
          <w:szCs w:val="24"/>
        </w:rPr>
      </w:pPr>
      <w:r w:rsidRPr="009A0B27">
        <w:rPr>
          <w:rFonts w:ascii="Book Antiqua" w:hAnsi="Book Antiqua"/>
          <w:i/>
          <w:sz w:val="24"/>
          <w:szCs w:val="24"/>
        </w:rPr>
        <w:t>Do disclosure provisions get the balance right between data sharing and protection of privacy? Why or why not?</w:t>
      </w:r>
    </w:p>
    <w:p w14:paraId="1D3ACAF8" w14:textId="77777777" w:rsidR="00271D04" w:rsidRPr="009A0B27" w:rsidRDefault="00271D04" w:rsidP="008F2666">
      <w:pPr>
        <w:pStyle w:val="ListNumber"/>
        <w:spacing w:after="0"/>
        <w:ind w:left="511" w:hanging="454"/>
        <w:rPr>
          <w:rFonts w:ascii="Book Antiqua" w:hAnsi="Book Antiqua"/>
          <w:i/>
          <w:sz w:val="24"/>
          <w:szCs w:val="24"/>
        </w:rPr>
      </w:pPr>
      <w:r w:rsidRPr="009A0B27">
        <w:rPr>
          <w:rFonts w:ascii="Book Antiqua" w:hAnsi="Book Antiqua"/>
          <w:i/>
          <w:sz w:val="24"/>
          <w:szCs w:val="24"/>
        </w:rPr>
        <w:t>Is APP 6 adequate for regulating disclosure of claims information? What additional requirements, if any, need to be spelt out in the Rules?</w:t>
      </w:r>
    </w:p>
    <w:p w14:paraId="73893AC5" w14:textId="77777777" w:rsidR="002711B8" w:rsidRPr="009A0B27" w:rsidRDefault="002711B8" w:rsidP="008F2666">
      <w:pPr>
        <w:pStyle w:val="ListNumber"/>
        <w:numPr>
          <w:ilvl w:val="0"/>
          <w:numId w:val="0"/>
        </w:numPr>
        <w:spacing w:after="0"/>
        <w:ind w:left="57"/>
        <w:rPr>
          <w:rFonts w:ascii="Book Antiqua" w:hAnsi="Book Antiqua"/>
          <w:sz w:val="24"/>
          <w:szCs w:val="24"/>
        </w:rPr>
      </w:pPr>
    </w:p>
    <w:p w14:paraId="72A09DFC" w14:textId="561768AE" w:rsidR="00BE15A1" w:rsidRPr="009A0B27" w:rsidRDefault="00BE15A1" w:rsidP="008F2666">
      <w:pPr>
        <w:pStyle w:val="Header"/>
        <w:tabs>
          <w:tab w:val="left" w:pos="720"/>
        </w:tabs>
      </w:pPr>
      <w:r w:rsidRPr="009A0B27">
        <w:t>The Department is currently pre</w:t>
      </w:r>
      <w:r w:rsidR="008B2E62">
        <w:t>cluded</w:t>
      </w:r>
      <w:r w:rsidRPr="009A0B27">
        <w:t xml:space="preserve"> from forming its own patient centred view of health </w:t>
      </w:r>
      <w:r w:rsidR="00E655D0" w:rsidRPr="009A0B27">
        <w:t>(</w:t>
      </w:r>
      <w:r w:rsidRPr="009A0B27">
        <w:t>and aged care</w:t>
      </w:r>
      <w:r w:rsidR="00E655D0" w:rsidRPr="009A0B27">
        <w:t>)</w:t>
      </w:r>
      <w:r w:rsidRPr="009A0B27">
        <w:t xml:space="preserve"> using the data it has available or could readily acquire, which constrains effectiveness in discharging duties under primary legislation.</w:t>
      </w:r>
      <w:r w:rsidR="006B3B00" w:rsidRPr="009A0B27">
        <w:t xml:space="preserve">  This inhibits evidence-based analys</w:t>
      </w:r>
      <w:r w:rsidR="00613C74" w:rsidRPr="009A0B27">
        <w:t>es that can s</w:t>
      </w:r>
      <w:r w:rsidR="006B3B00" w:rsidRPr="009A0B27">
        <w:t>upport improvements in the health system and patient outcomes.</w:t>
      </w:r>
    </w:p>
    <w:p w14:paraId="16D9C7A8" w14:textId="77777777" w:rsidR="00BE15A1" w:rsidRDefault="00BE15A1" w:rsidP="008F2666">
      <w:pPr>
        <w:pStyle w:val="Header"/>
        <w:tabs>
          <w:tab w:val="left" w:pos="720"/>
        </w:tabs>
      </w:pPr>
    </w:p>
    <w:p w14:paraId="24A6B2FD" w14:textId="3BD0B41F" w:rsidR="0057521A" w:rsidRDefault="005267FF" w:rsidP="008F2666">
      <w:pPr>
        <w:pStyle w:val="Header"/>
        <w:tabs>
          <w:tab w:val="left" w:pos="720"/>
        </w:tabs>
      </w:pPr>
      <w:r>
        <w:t>The Rules authorise Services Australia to disclos</w:t>
      </w:r>
      <w:r w:rsidR="0057521A">
        <w:t xml:space="preserve">e claims information to the Department.  </w:t>
      </w:r>
      <w:r w:rsidR="008B2E62">
        <w:t>An amendment to t</w:t>
      </w:r>
      <w:r>
        <w:t>h</w:t>
      </w:r>
      <w:r w:rsidR="0057521A">
        <w:t>e</w:t>
      </w:r>
      <w:r>
        <w:t xml:space="preserve"> </w:t>
      </w:r>
      <w:r w:rsidR="0057521A">
        <w:t xml:space="preserve">Rules to include a specific </w:t>
      </w:r>
      <w:r>
        <w:t xml:space="preserve">authorisation </w:t>
      </w:r>
      <w:r w:rsidR="0057521A">
        <w:t>for the Department to collect this information</w:t>
      </w:r>
      <w:r w:rsidR="008B2E62">
        <w:t xml:space="preserve"> would be useful</w:t>
      </w:r>
      <w:r w:rsidR="0057521A">
        <w:t xml:space="preserve">.  </w:t>
      </w:r>
    </w:p>
    <w:p w14:paraId="58039886" w14:textId="77777777" w:rsidR="0057521A" w:rsidRDefault="0057521A" w:rsidP="008F2666">
      <w:pPr>
        <w:pStyle w:val="Header"/>
        <w:tabs>
          <w:tab w:val="left" w:pos="720"/>
        </w:tabs>
      </w:pPr>
    </w:p>
    <w:p w14:paraId="7F07D294" w14:textId="77777777" w:rsidR="00324B09" w:rsidRDefault="00324B09" w:rsidP="008F2666"/>
    <w:p w14:paraId="3BCD3C4B" w14:textId="7610D6A8" w:rsidR="00B96E37" w:rsidRDefault="005267FF" w:rsidP="008F2666">
      <w:r>
        <w:t>In addition, t</w:t>
      </w:r>
      <w:r w:rsidR="00B96E37">
        <w:t xml:space="preserve">he Department is interested to explore options that would allow Services Australia to disclose personal identification components for Health to use as a variable to support linkage of MBS and PBS </w:t>
      </w:r>
      <w:r w:rsidR="00C55A1B">
        <w:t xml:space="preserve">claims information </w:t>
      </w:r>
      <w:r w:rsidR="00B96E37">
        <w:t xml:space="preserve">with other health </w:t>
      </w:r>
      <w:r w:rsidR="00C55A1B">
        <w:t xml:space="preserve">and aged care </w:t>
      </w:r>
      <w:r w:rsidR="00B96E37">
        <w:t xml:space="preserve">datasets. Once the linkage is undertaken, the personal identification components would be </w:t>
      </w:r>
      <w:r w:rsidR="00C55A1B">
        <w:t xml:space="preserve">destroyed or de-identified, and no personal identification components would be present in the final </w:t>
      </w:r>
      <w:r w:rsidR="00B96E37">
        <w:t>analytical dataset.</w:t>
      </w:r>
      <w:r w:rsidR="007C7EFA">
        <w:t xml:space="preserve"> </w:t>
      </w:r>
    </w:p>
    <w:p w14:paraId="4B8ECEEE" w14:textId="77777777" w:rsidR="00B96E37" w:rsidRDefault="00B96E37" w:rsidP="005F2CA5">
      <w:pPr>
        <w:pStyle w:val="ListNumber"/>
        <w:numPr>
          <w:ilvl w:val="0"/>
          <w:numId w:val="0"/>
        </w:numPr>
        <w:spacing w:after="0"/>
        <w:ind w:left="567" w:hanging="567"/>
        <w:rPr>
          <w:rFonts w:ascii="Book Antiqua" w:hAnsi="Book Antiqua"/>
          <w:sz w:val="24"/>
          <w:szCs w:val="24"/>
        </w:rPr>
      </w:pPr>
    </w:p>
    <w:p w14:paraId="40A55774" w14:textId="77777777" w:rsidR="005A5C7E" w:rsidRPr="00B37512" w:rsidRDefault="00271D04" w:rsidP="005F2CA5">
      <w:pPr>
        <w:pStyle w:val="ListNumber"/>
        <w:spacing w:after="0"/>
        <w:ind w:left="567" w:hanging="567"/>
        <w:rPr>
          <w:rFonts w:ascii="Book Antiqua" w:hAnsi="Book Antiqua"/>
          <w:i/>
          <w:sz w:val="24"/>
          <w:szCs w:val="24"/>
        </w:rPr>
      </w:pPr>
      <w:r w:rsidRPr="00B37512">
        <w:rPr>
          <w:rFonts w:ascii="Book Antiqua" w:hAnsi="Book Antiqua"/>
          <w:i/>
          <w:sz w:val="24"/>
          <w:szCs w:val="24"/>
        </w:rPr>
        <w:t>Should linkage of MBS and PBS claims information be allowed in other circumstances? What circumstances and why? How could this be done in a way that continues to protect privacy?</w:t>
      </w:r>
    </w:p>
    <w:p w14:paraId="2218D290" w14:textId="77777777" w:rsidR="00271D04" w:rsidRPr="002711B8" w:rsidRDefault="00271D04" w:rsidP="005F2CA5">
      <w:pPr>
        <w:pStyle w:val="ListNumber"/>
        <w:spacing w:after="0"/>
        <w:ind w:left="567" w:hanging="567"/>
        <w:rPr>
          <w:rFonts w:ascii="Book Antiqua" w:hAnsi="Book Antiqua"/>
          <w:i/>
          <w:sz w:val="24"/>
          <w:szCs w:val="24"/>
        </w:rPr>
      </w:pPr>
      <w:r w:rsidRPr="002711B8">
        <w:rPr>
          <w:rFonts w:ascii="Book Antiqua" w:hAnsi="Book Antiqua"/>
          <w:i/>
          <w:sz w:val="24"/>
          <w:szCs w:val="24"/>
        </w:rPr>
        <w:t>Are the data retention requirements appropriate? Should linked claims information be able to be retained for longer?</w:t>
      </w:r>
    </w:p>
    <w:p w14:paraId="36FFF2F8" w14:textId="77777777" w:rsidR="008B2E62" w:rsidRDefault="00271D04" w:rsidP="005F2CA5">
      <w:pPr>
        <w:pStyle w:val="ListNumber"/>
        <w:spacing w:after="0"/>
        <w:ind w:left="567" w:hanging="567"/>
        <w:rPr>
          <w:rFonts w:ascii="Book Antiqua" w:hAnsi="Book Antiqua"/>
          <w:i/>
          <w:sz w:val="24"/>
          <w:szCs w:val="24"/>
        </w:rPr>
      </w:pPr>
      <w:r w:rsidRPr="008A2A6B">
        <w:rPr>
          <w:rFonts w:ascii="Book Antiqua" w:hAnsi="Book Antiqua"/>
          <w:i/>
          <w:sz w:val="24"/>
          <w:szCs w:val="24"/>
        </w:rPr>
        <w:t>Are reporting arrangements appropriate? Should reporting categories be changed in any way?</w:t>
      </w:r>
    </w:p>
    <w:p w14:paraId="0E5269AE" w14:textId="74FD5DAF" w:rsidR="008B2E62" w:rsidRPr="008A2A6B" w:rsidRDefault="008B2E62" w:rsidP="005F2CA5">
      <w:pPr>
        <w:pStyle w:val="ListNumber"/>
        <w:numPr>
          <w:ilvl w:val="0"/>
          <w:numId w:val="10"/>
        </w:numPr>
        <w:spacing w:after="0"/>
        <w:ind w:left="567" w:hanging="567"/>
        <w:rPr>
          <w:rFonts w:ascii="Book Antiqua" w:hAnsi="Book Antiqua"/>
          <w:i/>
          <w:sz w:val="24"/>
          <w:szCs w:val="24"/>
        </w:rPr>
      </w:pPr>
      <w:r w:rsidRPr="008A2A6B">
        <w:rPr>
          <w:rFonts w:ascii="Book Antiqua" w:hAnsi="Book Antiqua"/>
          <w:i/>
          <w:sz w:val="24"/>
          <w:szCs w:val="24"/>
        </w:rPr>
        <w:t>Should the Department of Health be able to link claims information in a wider range of circumstances? What circumstances?</w:t>
      </w:r>
    </w:p>
    <w:p w14:paraId="0AAD03BE" w14:textId="77777777" w:rsidR="008B2E62" w:rsidRPr="0039607A" w:rsidRDefault="008B2E62" w:rsidP="005F2CA5">
      <w:pPr>
        <w:pStyle w:val="ListNumber"/>
        <w:spacing w:after="0"/>
        <w:ind w:left="567" w:hanging="567"/>
        <w:rPr>
          <w:rFonts w:ascii="Book Antiqua" w:hAnsi="Book Antiqua"/>
          <w:i/>
          <w:sz w:val="24"/>
          <w:szCs w:val="24"/>
        </w:rPr>
      </w:pPr>
      <w:r w:rsidRPr="0039607A">
        <w:rPr>
          <w:rFonts w:ascii="Book Antiqua" w:hAnsi="Book Antiqua"/>
          <w:i/>
          <w:sz w:val="24"/>
          <w:szCs w:val="24"/>
        </w:rPr>
        <w:t>Are provisions enabling disclosure of claims information by the Department of Health appropriate?</w:t>
      </w:r>
    </w:p>
    <w:p w14:paraId="2899FA93" w14:textId="77777777" w:rsidR="008B2E62" w:rsidRPr="002711B8" w:rsidRDefault="008B2E62" w:rsidP="005F2CA5">
      <w:pPr>
        <w:pStyle w:val="ListNumber"/>
        <w:numPr>
          <w:ilvl w:val="0"/>
          <w:numId w:val="0"/>
        </w:numPr>
        <w:spacing w:after="0"/>
        <w:ind w:left="57"/>
        <w:rPr>
          <w:rFonts w:ascii="Book Antiqua" w:hAnsi="Book Antiqua"/>
          <w:i/>
          <w:sz w:val="24"/>
          <w:szCs w:val="24"/>
        </w:rPr>
      </w:pPr>
    </w:p>
    <w:p w14:paraId="1AE80A8B" w14:textId="61604A1B" w:rsidR="00B37512" w:rsidRDefault="008A2A6B"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T</w:t>
      </w:r>
      <w:r w:rsidR="00B96E37">
        <w:rPr>
          <w:rFonts w:ascii="Book Antiqua" w:hAnsi="Book Antiqua"/>
          <w:sz w:val="24"/>
          <w:szCs w:val="24"/>
        </w:rPr>
        <w:t>he Department is seeking to create an enduring and regularly refreshed linked MBS and PBS dataset with the resulting analytical content (excluding personal identification components) being available to support internal use includ</w:t>
      </w:r>
      <w:r w:rsidR="00BE15A1">
        <w:rPr>
          <w:rFonts w:ascii="Book Antiqua" w:hAnsi="Book Antiqua"/>
          <w:sz w:val="24"/>
          <w:szCs w:val="24"/>
        </w:rPr>
        <w:t>ing</w:t>
      </w:r>
      <w:r w:rsidR="00B96E37">
        <w:rPr>
          <w:rFonts w:ascii="Book Antiqua" w:hAnsi="Book Antiqua"/>
          <w:sz w:val="24"/>
          <w:szCs w:val="24"/>
        </w:rPr>
        <w:t xml:space="preserve"> policy development, service planning/delivery</w:t>
      </w:r>
      <w:r w:rsidR="00655538">
        <w:rPr>
          <w:rFonts w:ascii="Book Antiqua" w:hAnsi="Book Antiqua"/>
          <w:sz w:val="24"/>
          <w:szCs w:val="24"/>
        </w:rPr>
        <w:t>, e</w:t>
      </w:r>
      <w:r w:rsidR="00B96E37">
        <w:rPr>
          <w:rFonts w:ascii="Book Antiqua" w:hAnsi="Book Antiqua"/>
          <w:sz w:val="24"/>
          <w:szCs w:val="24"/>
        </w:rPr>
        <w:t>valuation</w:t>
      </w:r>
      <w:r w:rsidR="00655538">
        <w:rPr>
          <w:rFonts w:ascii="Book Antiqua" w:hAnsi="Book Antiqua"/>
          <w:sz w:val="24"/>
          <w:szCs w:val="24"/>
        </w:rPr>
        <w:t xml:space="preserve"> and regulation</w:t>
      </w:r>
      <w:r w:rsidR="00B96E37">
        <w:rPr>
          <w:rFonts w:ascii="Book Antiqua" w:hAnsi="Book Antiqua"/>
          <w:sz w:val="24"/>
          <w:szCs w:val="24"/>
        </w:rPr>
        <w:t>.   Departmental use of the dataset would be subject to the APPs, and whole of government arrangements in relation to privacy and security requirements, and our internal data governance arrangements.</w:t>
      </w:r>
    </w:p>
    <w:p w14:paraId="45C0E9C6" w14:textId="77777777" w:rsidR="00EC640B" w:rsidRDefault="00EC640B" w:rsidP="008F2666">
      <w:pPr>
        <w:pStyle w:val="ListNumber"/>
        <w:numPr>
          <w:ilvl w:val="0"/>
          <w:numId w:val="0"/>
        </w:numPr>
        <w:spacing w:after="0"/>
        <w:ind w:left="57"/>
        <w:rPr>
          <w:rFonts w:ascii="Book Antiqua" w:hAnsi="Book Antiqua"/>
          <w:sz w:val="24"/>
          <w:szCs w:val="24"/>
        </w:rPr>
      </w:pPr>
    </w:p>
    <w:p w14:paraId="52E92BD8" w14:textId="4607E0E6" w:rsidR="00BE15A1" w:rsidRDefault="00BE15A1"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 xml:space="preserve">The Department believes that linked claims information should be maintained indefinitely provided the information does not contain personal identification components, and its persistence does not attract </w:t>
      </w:r>
      <w:r w:rsidR="008A2A6B">
        <w:rPr>
          <w:rFonts w:ascii="Book Antiqua" w:hAnsi="Book Antiqua"/>
          <w:sz w:val="24"/>
          <w:szCs w:val="24"/>
        </w:rPr>
        <w:t>significant</w:t>
      </w:r>
      <w:r>
        <w:rPr>
          <w:rFonts w:ascii="Book Antiqua" w:hAnsi="Book Antiqua"/>
          <w:sz w:val="24"/>
          <w:szCs w:val="24"/>
        </w:rPr>
        <w:t xml:space="preserve"> privacy risks.</w:t>
      </w:r>
    </w:p>
    <w:p w14:paraId="42966956" w14:textId="77777777" w:rsidR="008F2666" w:rsidRDefault="008F2666" w:rsidP="008F2666">
      <w:pPr>
        <w:pStyle w:val="ListNumber"/>
        <w:numPr>
          <w:ilvl w:val="0"/>
          <w:numId w:val="0"/>
        </w:numPr>
        <w:spacing w:after="0"/>
        <w:ind w:left="57"/>
        <w:rPr>
          <w:rFonts w:ascii="Book Antiqua" w:hAnsi="Book Antiqua"/>
          <w:sz w:val="24"/>
          <w:szCs w:val="24"/>
        </w:rPr>
      </w:pPr>
    </w:p>
    <w:p w14:paraId="5643E3E5" w14:textId="10A2A51B" w:rsidR="00BE15A1" w:rsidRDefault="00BE15A1"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 xml:space="preserve">With respect to reporting arrangements, the Department notes that there are no reporting arrangements </w:t>
      </w:r>
      <w:r w:rsidR="00747CDE">
        <w:rPr>
          <w:rFonts w:ascii="Book Antiqua" w:hAnsi="Book Antiqua"/>
          <w:sz w:val="24"/>
          <w:szCs w:val="24"/>
        </w:rPr>
        <w:t xml:space="preserve">for </w:t>
      </w:r>
      <w:r>
        <w:rPr>
          <w:rFonts w:ascii="Book Antiqua" w:hAnsi="Book Antiqua"/>
          <w:sz w:val="24"/>
          <w:szCs w:val="24"/>
        </w:rPr>
        <w:t>MBS and PBS claims information linkages conducted by other organisations</w:t>
      </w:r>
      <w:r w:rsidR="00EC640B">
        <w:rPr>
          <w:rFonts w:ascii="Book Antiqua" w:hAnsi="Book Antiqua"/>
          <w:sz w:val="24"/>
          <w:szCs w:val="24"/>
        </w:rPr>
        <w:t xml:space="preserve">.  </w:t>
      </w:r>
    </w:p>
    <w:p w14:paraId="08648433" w14:textId="77777777" w:rsidR="00EC640B" w:rsidRDefault="00EC640B" w:rsidP="008F2666">
      <w:pPr>
        <w:pStyle w:val="ListNumber"/>
        <w:numPr>
          <w:ilvl w:val="0"/>
          <w:numId w:val="0"/>
        </w:numPr>
        <w:spacing w:after="0"/>
        <w:ind w:left="57"/>
        <w:rPr>
          <w:rFonts w:ascii="Book Antiqua" w:hAnsi="Book Antiqua"/>
          <w:sz w:val="24"/>
          <w:szCs w:val="24"/>
        </w:rPr>
      </w:pPr>
    </w:p>
    <w:p w14:paraId="058AADA6" w14:textId="77777777" w:rsidR="00271D04" w:rsidRPr="005F2CA5" w:rsidRDefault="00271D04" w:rsidP="005F2CA5">
      <w:pPr>
        <w:pStyle w:val="ListNumber"/>
        <w:numPr>
          <w:ilvl w:val="0"/>
          <w:numId w:val="11"/>
        </w:numPr>
        <w:spacing w:after="0"/>
        <w:ind w:left="567" w:hanging="567"/>
        <w:rPr>
          <w:rFonts w:ascii="Book Antiqua" w:hAnsi="Book Antiqua"/>
          <w:i/>
          <w:sz w:val="24"/>
          <w:szCs w:val="24"/>
        </w:rPr>
      </w:pPr>
      <w:r w:rsidRPr="005F2CA5">
        <w:rPr>
          <w:rFonts w:ascii="Book Antiqua" w:hAnsi="Book Antiqua"/>
          <w:i/>
          <w:sz w:val="24"/>
          <w:szCs w:val="24"/>
        </w:rPr>
        <w:t>Are the provisions applying to old information appropriate?</w:t>
      </w:r>
    </w:p>
    <w:p w14:paraId="34346A89" w14:textId="77777777" w:rsidR="00271D04" w:rsidRPr="0039607A" w:rsidRDefault="00271D04" w:rsidP="008A2A6B">
      <w:pPr>
        <w:pStyle w:val="ListNumber"/>
        <w:spacing w:after="0"/>
        <w:ind w:left="567" w:hanging="567"/>
        <w:rPr>
          <w:rFonts w:ascii="Book Antiqua" w:hAnsi="Book Antiqua"/>
          <w:i/>
          <w:sz w:val="24"/>
          <w:szCs w:val="24"/>
        </w:rPr>
      </w:pPr>
      <w:r w:rsidRPr="0039607A">
        <w:rPr>
          <w:rFonts w:ascii="Book Antiqua" w:hAnsi="Book Antiqua"/>
          <w:i/>
          <w:sz w:val="24"/>
          <w:szCs w:val="24"/>
        </w:rPr>
        <w:t>In what circumstances (if any) should old information be able to be re-linked with personal identification components? How could this be done in a way that continues to protect privacy?</w:t>
      </w:r>
    </w:p>
    <w:p w14:paraId="59E7CA35" w14:textId="77777777" w:rsidR="00B96E37" w:rsidRDefault="00B96E37" w:rsidP="008F2666">
      <w:pPr>
        <w:pStyle w:val="ListNumber"/>
        <w:numPr>
          <w:ilvl w:val="0"/>
          <w:numId w:val="0"/>
        </w:numPr>
        <w:spacing w:after="0"/>
        <w:ind w:left="142"/>
        <w:rPr>
          <w:rFonts w:ascii="Book Antiqua" w:hAnsi="Book Antiqua"/>
          <w:sz w:val="24"/>
          <w:szCs w:val="24"/>
        </w:rPr>
      </w:pPr>
    </w:p>
    <w:p w14:paraId="2C453530" w14:textId="553AF8D3" w:rsidR="0039607A" w:rsidRDefault="008A2A6B" w:rsidP="008F2666">
      <w:pPr>
        <w:pStyle w:val="ListNumber"/>
        <w:numPr>
          <w:ilvl w:val="0"/>
          <w:numId w:val="0"/>
        </w:numPr>
        <w:spacing w:after="0"/>
        <w:ind w:left="142"/>
        <w:rPr>
          <w:rFonts w:ascii="Book Antiqua" w:hAnsi="Book Antiqua"/>
          <w:sz w:val="24"/>
          <w:szCs w:val="24"/>
        </w:rPr>
      </w:pPr>
      <w:r>
        <w:rPr>
          <w:rFonts w:ascii="Book Antiqua" w:hAnsi="Book Antiqua"/>
          <w:sz w:val="24"/>
          <w:szCs w:val="24"/>
        </w:rPr>
        <w:t xml:space="preserve">We favour consistent </w:t>
      </w:r>
      <w:r w:rsidR="00B37512" w:rsidRPr="00B37512">
        <w:rPr>
          <w:rFonts w:ascii="Book Antiqua" w:hAnsi="Book Antiqua"/>
          <w:sz w:val="24"/>
          <w:szCs w:val="24"/>
        </w:rPr>
        <w:t xml:space="preserve">requirements </w:t>
      </w:r>
      <w:r>
        <w:rPr>
          <w:rFonts w:ascii="Book Antiqua" w:hAnsi="Book Antiqua"/>
          <w:sz w:val="24"/>
          <w:szCs w:val="24"/>
        </w:rPr>
        <w:t xml:space="preserve">for all </w:t>
      </w:r>
      <w:r w:rsidR="005F2CA5">
        <w:rPr>
          <w:rFonts w:ascii="Book Antiqua" w:hAnsi="Book Antiqua"/>
          <w:sz w:val="24"/>
          <w:szCs w:val="24"/>
        </w:rPr>
        <w:t>data</w:t>
      </w:r>
      <w:r>
        <w:rPr>
          <w:rFonts w:ascii="Book Antiqua" w:hAnsi="Book Antiqua"/>
          <w:sz w:val="24"/>
          <w:szCs w:val="24"/>
        </w:rPr>
        <w:t xml:space="preserve"> i</w:t>
      </w:r>
      <w:r w:rsidR="00B37512" w:rsidRPr="009A0B27">
        <w:rPr>
          <w:rFonts w:ascii="Book Antiqua" w:hAnsi="Book Antiqua"/>
          <w:sz w:val="24"/>
          <w:szCs w:val="24"/>
        </w:rPr>
        <w:t xml:space="preserve">n </w:t>
      </w:r>
      <w:r w:rsidR="00613C74" w:rsidRPr="009A0B27">
        <w:rPr>
          <w:rFonts w:ascii="Book Antiqua" w:hAnsi="Book Antiqua"/>
          <w:sz w:val="24"/>
          <w:szCs w:val="24"/>
        </w:rPr>
        <w:t xml:space="preserve">the context of </w:t>
      </w:r>
      <w:r w:rsidR="00B96E37">
        <w:rPr>
          <w:rFonts w:ascii="Book Antiqua" w:hAnsi="Book Antiqua"/>
          <w:sz w:val="24"/>
          <w:szCs w:val="24"/>
        </w:rPr>
        <w:t xml:space="preserve">longitudinal analyses to understand causation, consequences of problems, and to examine change over time. </w:t>
      </w:r>
      <w:r w:rsidR="00B37512" w:rsidRPr="00B37512">
        <w:rPr>
          <w:rFonts w:ascii="Book Antiqua" w:hAnsi="Book Antiqua"/>
          <w:sz w:val="24"/>
          <w:szCs w:val="24"/>
        </w:rPr>
        <w:t>Because longitudinal data tracks individual pathways, it can show how different people respond to opportunities and setbacks, and how their responses and outcomes change in the short and long term.</w:t>
      </w:r>
      <w:r w:rsidR="00B37512">
        <w:rPr>
          <w:rStyle w:val="FootnoteReference"/>
          <w:rFonts w:ascii="Book Antiqua" w:hAnsi="Book Antiqua"/>
          <w:sz w:val="24"/>
          <w:szCs w:val="24"/>
        </w:rPr>
        <w:footnoteReference w:id="3"/>
      </w:r>
      <w:r w:rsidR="00A7639C">
        <w:rPr>
          <w:rFonts w:ascii="Book Antiqua" w:hAnsi="Book Antiqua"/>
          <w:sz w:val="24"/>
          <w:szCs w:val="24"/>
        </w:rPr>
        <w:t xml:space="preserve">  For evaluations, it is often important to analyse the data pre and post the intervention. </w:t>
      </w:r>
    </w:p>
    <w:p w14:paraId="1515824E" w14:textId="77777777" w:rsidR="008A2A6B" w:rsidRDefault="008A2A6B" w:rsidP="008F2666">
      <w:pPr>
        <w:pStyle w:val="ListNumber"/>
        <w:numPr>
          <w:ilvl w:val="0"/>
          <w:numId w:val="0"/>
        </w:numPr>
        <w:spacing w:after="0"/>
        <w:ind w:left="142"/>
        <w:rPr>
          <w:rFonts w:ascii="Book Antiqua" w:hAnsi="Book Antiqua"/>
          <w:sz w:val="24"/>
          <w:szCs w:val="24"/>
        </w:rPr>
      </w:pPr>
    </w:p>
    <w:p w14:paraId="7616356C" w14:textId="13FABC46" w:rsidR="00747CDE" w:rsidRDefault="00747CDE" w:rsidP="008F2666">
      <w:pPr>
        <w:pStyle w:val="ListNumber"/>
        <w:numPr>
          <w:ilvl w:val="0"/>
          <w:numId w:val="0"/>
        </w:numPr>
        <w:spacing w:after="0"/>
        <w:ind w:left="142"/>
        <w:rPr>
          <w:rFonts w:ascii="Book Antiqua" w:hAnsi="Book Antiqua"/>
          <w:sz w:val="24"/>
          <w:szCs w:val="24"/>
        </w:rPr>
      </w:pPr>
      <w:r>
        <w:rPr>
          <w:rFonts w:ascii="Book Antiqua" w:hAnsi="Book Antiqua"/>
          <w:sz w:val="24"/>
          <w:szCs w:val="24"/>
        </w:rPr>
        <w:lastRenderedPageBreak/>
        <w:t xml:space="preserve">There are instances where linking old information with personal identification components is necessary to resolve data quality issues, and to ensure that data linkages are accurate. </w:t>
      </w:r>
    </w:p>
    <w:p w14:paraId="66E1F8FC" w14:textId="77777777" w:rsidR="00EC640B" w:rsidRPr="00B37512" w:rsidRDefault="00EC640B" w:rsidP="008F2666">
      <w:pPr>
        <w:pStyle w:val="ListNumber"/>
        <w:numPr>
          <w:ilvl w:val="0"/>
          <w:numId w:val="0"/>
        </w:numPr>
        <w:spacing w:after="0"/>
        <w:ind w:left="142"/>
        <w:rPr>
          <w:rFonts w:ascii="Book Antiqua" w:hAnsi="Book Antiqua"/>
          <w:sz w:val="24"/>
          <w:szCs w:val="24"/>
        </w:rPr>
      </w:pPr>
    </w:p>
    <w:p w14:paraId="4D0C58E9" w14:textId="6ECF9C94" w:rsidR="005A5C7E" w:rsidRDefault="00271D04" w:rsidP="008F2666">
      <w:pPr>
        <w:pStyle w:val="ListNumber"/>
        <w:spacing w:after="0"/>
        <w:ind w:left="511" w:hanging="454"/>
        <w:rPr>
          <w:rFonts w:ascii="Book Antiqua" w:hAnsi="Book Antiqua"/>
          <w:i/>
          <w:sz w:val="24"/>
          <w:szCs w:val="24"/>
        </w:rPr>
      </w:pPr>
      <w:r w:rsidRPr="0039607A">
        <w:rPr>
          <w:rFonts w:ascii="Book Antiqua" w:hAnsi="Book Antiqua"/>
          <w:i/>
          <w:sz w:val="24"/>
          <w:szCs w:val="24"/>
        </w:rPr>
        <w:t>Is this provision necessary given it already applies under the Privacy Act? If yes, does it need to be modified in any way? Should claims information be able to be used for other forms of research? If yes, should there be any limitation on this use?</w:t>
      </w:r>
    </w:p>
    <w:p w14:paraId="2DB6C54A" w14:textId="77777777" w:rsidR="008F2666" w:rsidRPr="0039607A" w:rsidRDefault="008F2666" w:rsidP="008F2666">
      <w:pPr>
        <w:pStyle w:val="ListNumber"/>
        <w:numPr>
          <w:ilvl w:val="0"/>
          <w:numId w:val="0"/>
        </w:numPr>
        <w:spacing w:after="0"/>
        <w:ind w:left="57"/>
        <w:rPr>
          <w:rFonts w:ascii="Book Antiqua" w:hAnsi="Book Antiqua"/>
          <w:i/>
          <w:sz w:val="24"/>
          <w:szCs w:val="24"/>
        </w:rPr>
      </w:pPr>
    </w:p>
    <w:p w14:paraId="6DBBB30A" w14:textId="5DEC0647" w:rsidR="0039607A" w:rsidRDefault="00466183"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The Department consider</w:t>
      </w:r>
      <w:r w:rsidR="00256943">
        <w:rPr>
          <w:rFonts w:ascii="Book Antiqua" w:hAnsi="Book Antiqua"/>
          <w:sz w:val="24"/>
          <w:szCs w:val="24"/>
        </w:rPr>
        <w:t>s</w:t>
      </w:r>
      <w:r>
        <w:rPr>
          <w:rFonts w:ascii="Book Antiqua" w:hAnsi="Book Antiqua"/>
          <w:sz w:val="24"/>
          <w:szCs w:val="24"/>
        </w:rPr>
        <w:t xml:space="preserve"> that the current provision</w:t>
      </w:r>
      <w:r w:rsidR="008A2A6B">
        <w:rPr>
          <w:rFonts w:ascii="Book Antiqua" w:hAnsi="Book Antiqua"/>
          <w:sz w:val="24"/>
          <w:szCs w:val="24"/>
        </w:rPr>
        <w:t>s</w:t>
      </w:r>
      <w:r>
        <w:rPr>
          <w:rFonts w:ascii="Book Antiqua" w:hAnsi="Book Antiqua"/>
          <w:sz w:val="24"/>
          <w:szCs w:val="24"/>
        </w:rPr>
        <w:t xml:space="preserve"> </w:t>
      </w:r>
      <w:r w:rsidR="00B96E37">
        <w:rPr>
          <w:rFonts w:ascii="Book Antiqua" w:hAnsi="Book Antiqua"/>
          <w:sz w:val="24"/>
          <w:szCs w:val="24"/>
        </w:rPr>
        <w:t xml:space="preserve">relating to disclosure of claims information for medical research </w:t>
      </w:r>
      <w:r w:rsidR="008A2A6B">
        <w:rPr>
          <w:rFonts w:ascii="Book Antiqua" w:hAnsi="Book Antiqua"/>
          <w:sz w:val="24"/>
          <w:szCs w:val="24"/>
        </w:rPr>
        <w:t>are</w:t>
      </w:r>
      <w:r>
        <w:rPr>
          <w:rFonts w:ascii="Book Antiqua" w:hAnsi="Book Antiqua"/>
          <w:sz w:val="24"/>
          <w:szCs w:val="24"/>
        </w:rPr>
        <w:t xml:space="preserve"> </w:t>
      </w:r>
      <w:r w:rsidR="008A2A6B">
        <w:rPr>
          <w:rFonts w:ascii="Book Antiqua" w:hAnsi="Book Antiqua"/>
          <w:sz w:val="24"/>
          <w:szCs w:val="24"/>
        </w:rPr>
        <w:t>duplicative</w:t>
      </w:r>
      <w:r>
        <w:rPr>
          <w:rFonts w:ascii="Book Antiqua" w:hAnsi="Book Antiqua"/>
          <w:sz w:val="24"/>
          <w:szCs w:val="24"/>
        </w:rPr>
        <w:t xml:space="preserve"> given requirement</w:t>
      </w:r>
      <w:r w:rsidR="008A2A6B">
        <w:rPr>
          <w:rFonts w:ascii="Book Antiqua" w:hAnsi="Book Antiqua"/>
          <w:sz w:val="24"/>
          <w:szCs w:val="24"/>
        </w:rPr>
        <w:t>s</w:t>
      </w:r>
      <w:r>
        <w:rPr>
          <w:rFonts w:ascii="Book Antiqua" w:hAnsi="Book Antiqua"/>
          <w:sz w:val="24"/>
          <w:szCs w:val="24"/>
        </w:rPr>
        <w:t xml:space="preserve"> under the Privacy Act.  </w:t>
      </w:r>
    </w:p>
    <w:p w14:paraId="2FDA307D" w14:textId="77777777" w:rsidR="00092300" w:rsidRDefault="00092300" w:rsidP="008F2666">
      <w:pPr>
        <w:pStyle w:val="ListNumber"/>
        <w:numPr>
          <w:ilvl w:val="0"/>
          <w:numId w:val="0"/>
        </w:numPr>
        <w:spacing w:after="0"/>
        <w:ind w:left="57"/>
        <w:rPr>
          <w:rFonts w:ascii="Book Antiqua" w:hAnsi="Book Antiqua"/>
          <w:sz w:val="24"/>
          <w:szCs w:val="24"/>
        </w:rPr>
      </w:pPr>
    </w:p>
    <w:p w14:paraId="54D08303" w14:textId="3958760E" w:rsidR="0089432A" w:rsidRDefault="00466183" w:rsidP="008F2666">
      <w:pPr>
        <w:pStyle w:val="ListNumber"/>
        <w:numPr>
          <w:ilvl w:val="0"/>
          <w:numId w:val="0"/>
        </w:numPr>
        <w:spacing w:after="0"/>
        <w:ind w:left="57"/>
        <w:rPr>
          <w:rFonts w:ascii="Book Antiqua" w:hAnsi="Book Antiqua"/>
          <w:sz w:val="24"/>
          <w:szCs w:val="24"/>
        </w:rPr>
      </w:pPr>
      <w:r>
        <w:rPr>
          <w:rFonts w:ascii="Book Antiqua" w:hAnsi="Book Antiqua"/>
          <w:sz w:val="24"/>
          <w:szCs w:val="24"/>
        </w:rPr>
        <w:t xml:space="preserve">However MBS and PBS data is regularly </w:t>
      </w:r>
      <w:r w:rsidR="00B96E37">
        <w:rPr>
          <w:rFonts w:ascii="Book Antiqua" w:hAnsi="Book Antiqua"/>
          <w:sz w:val="24"/>
          <w:szCs w:val="24"/>
        </w:rPr>
        <w:t xml:space="preserve">sought </w:t>
      </w:r>
      <w:r>
        <w:rPr>
          <w:rFonts w:ascii="Book Antiqua" w:hAnsi="Book Antiqua"/>
          <w:sz w:val="24"/>
          <w:szCs w:val="24"/>
        </w:rPr>
        <w:t xml:space="preserve">to support </w:t>
      </w:r>
      <w:r w:rsidR="00B96E37">
        <w:rPr>
          <w:rFonts w:ascii="Book Antiqua" w:hAnsi="Book Antiqua"/>
          <w:sz w:val="24"/>
          <w:szCs w:val="24"/>
        </w:rPr>
        <w:t xml:space="preserve">other types of </w:t>
      </w:r>
      <w:r>
        <w:rPr>
          <w:rFonts w:ascii="Book Antiqua" w:hAnsi="Book Antiqua"/>
          <w:sz w:val="24"/>
          <w:szCs w:val="24"/>
        </w:rPr>
        <w:t>research</w:t>
      </w:r>
      <w:r w:rsidR="00B96E37">
        <w:rPr>
          <w:rFonts w:ascii="Book Antiqua" w:hAnsi="Book Antiqua"/>
          <w:sz w:val="24"/>
          <w:szCs w:val="24"/>
        </w:rPr>
        <w:t xml:space="preserve"> including</w:t>
      </w:r>
      <w:r>
        <w:rPr>
          <w:rFonts w:ascii="Book Antiqua" w:hAnsi="Book Antiqua"/>
          <w:sz w:val="24"/>
          <w:szCs w:val="24"/>
        </w:rPr>
        <w:t xml:space="preserve"> socio-economic </w:t>
      </w:r>
      <w:r w:rsidR="00B96E37">
        <w:rPr>
          <w:rFonts w:ascii="Book Antiqua" w:hAnsi="Book Antiqua"/>
          <w:sz w:val="24"/>
          <w:szCs w:val="24"/>
        </w:rPr>
        <w:t>analyses</w:t>
      </w:r>
      <w:r>
        <w:rPr>
          <w:rFonts w:ascii="Book Antiqua" w:hAnsi="Book Antiqua"/>
          <w:sz w:val="24"/>
          <w:szCs w:val="24"/>
        </w:rPr>
        <w:t>, evaluation</w:t>
      </w:r>
      <w:r w:rsidR="00B96E37">
        <w:rPr>
          <w:rFonts w:ascii="Book Antiqua" w:hAnsi="Book Antiqua"/>
          <w:sz w:val="24"/>
          <w:szCs w:val="24"/>
        </w:rPr>
        <w:t>s</w:t>
      </w:r>
      <w:r>
        <w:rPr>
          <w:rFonts w:ascii="Book Antiqua" w:hAnsi="Book Antiqua"/>
          <w:sz w:val="24"/>
          <w:szCs w:val="24"/>
        </w:rPr>
        <w:t xml:space="preserve"> of policies and program</w:t>
      </w:r>
      <w:r w:rsidR="00B96E37">
        <w:rPr>
          <w:rFonts w:ascii="Book Antiqua" w:hAnsi="Book Antiqua"/>
          <w:sz w:val="24"/>
          <w:szCs w:val="24"/>
        </w:rPr>
        <w:t>s</w:t>
      </w:r>
      <w:r>
        <w:rPr>
          <w:rFonts w:ascii="Book Antiqua" w:hAnsi="Book Antiqua"/>
          <w:sz w:val="24"/>
          <w:szCs w:val="24"/>
        </w:rPr>
        <w:t>,</w:t>
      </w:r>
      <w:r w:rsidR="00B96E37">
        <w:rPr>
          <w:rFonts w:ascii="Book Antiqua" w:hAnsi="Book Antiqua"/>
          <w:sz w:val="24"/>
          <w:szCs w:val="24"/>
        </w:rPr>
        <w:t xml:space="preserve"> </w:t>
      </w:r>
      <w:r w:rsidR="0089432A">
        <w:rPr>
          <w:rFonts w:ascii="Book Antiqua" w:hAnsi="Book Antiqua"/>
          <w:sz w:val="24"/>
          <w:szCs w:val="24"/>
        </w:rPr>
        <w:t xml:space="preserve"> policy development, service planning and delivery, </w:t>
      </w:r>
      <w:r>
        <w:rPr>
          <w:rFonts w:ascii="Book Antiqua" w:hAnsi="Book Antiqua"/>
          <w:sz w:val="24"/>
          <w:szCs w:val="24"/>
        </w:rPr>
        <w:t xml:space="preserve">health </w:t>
      </w:r>
      <w:r w:rsidR="00B96E37">
        <w:rPr>
          <w:rFonts w:ascii="Book Antiqua" w:hAnsi="Book Antiqua"/>
          <w:sz w:val="24"/>
          <w:szCs w:val="24"/>
        </w:rPr>
        <w:t>effectiveness</w:t>
      </w:r>
      <w:r w:rsidR="0089432A">
        <w:rPr>
          <w:rFonts w:ascii="Book Antiqua" w:hAnsi="Book Antiqua"/>
          <w:sz w:val="24"/>
          <w:szCs w:val="24"/>
        </w:rPr>
        <w:t xml:space="preserve"> and expenditure analyses etc.  </w:t>
      </w:r>
      <w:r w:rsidR="008A2A6B">
        <w:rPr>
          <w:rFonts w:ascii="Book Antiqua" w:hAnsi="Book Antiqua"/>
          <w:sz w:val="24"/>
          <w:szCs w:val="24"/>
        </w:rPr>
        <w:t xml:space="preserve">Clarification in the Rules </w:t>
      </w:r>
      <w:r w:rsidR="0089432A">
        <w:rPr>
          <w:rFonts w:ascii="Book Antiqua" w:hAnsi="Book Antiqua"/>
          <w:sz w:val="24"/>
          <w:szCs w:val="24"/>
        </w:rPr>
        <w:t xml:space="preserve">that the data can be disclosed for these purposes </w:t>
      </w:r>
      <w:r w:rsidR="008A2A6B">
        <w:rPr>
          <w:rFonts w:ascii="Book Antiqua" w:hAnsi="Book Antiqua"/>
          <w:sz w:val="24"/>
          <w:szCs w:val="24"/>
        </w:rPr>
        <w:t xml:space="preserve">would be useful, including any requirements that should be in place. </w:t>
      </w:r>
    </w:p>
    <w:p w14:paraId="70079853" w14:textId="77777777" w:rsidR="00EC640B" w:rsidRDefault="00EC640B" w:rsidP="008F2666">
      <w:pPr>
        <w:pStyle w:val="ListNumber"/>
        <w:numPr>
          <w:ilvl w:val="0"/>
          <w:numId w:val="0"/>
        </w:numPr>
        <w:spacing w:after="0"/>
        <w:ind w:left="57"/>
        <w:rPr>
          <w:rFonts w:ascii="Book Antiqua" w:hAnsi="Book Antiqua"/>
          <w:sz w:val="24"/>
          <w:szCs w:val="24"/>
        </w:rPr>
      </w:pPr>
    </w:p>
    <w:p w14:paraId="14829CE5" w14:textId="77777777" w:rsidR="00271D04" w:rsidRPr="0067170E" w:rsidRDefault="00271D04" w:rsidP="0067170E">
      <w:pPr>
        <w:pStyle w:val="ListNumber"/>
        <w:numPr>
          <w:ilvl w:val="0"/>
          <w:numId w:val="13"/>
        </w:numPr>
        <w:spacing w:after="0"/>
        <w:ind w:left="567" w:hanging="567"/>
        <w:rPr>
          <w:rFonts w:ascii="Book Antiqua" w:hAnsi="Book Antiqua"/>
          <w:i/>
          <w:sz w:val="24"/>
          <w:szCs w:val="24"/>
        </w:rPr>
      </w:pPr>
      <w:r w:rsidRPr="0067170E">
        <w:rPr>
          <w:rFonts w:ascii="Book Antiqua" w:hAnsi="Book Antiqua"/>
          <w:i/>
          <w:sz w:val="24"/>
          <w:szCs w:val="24"/>
        </w:rPr>
        <w:t>Are name linkage provisions appropriate? Should name linkage be allowed in any other circumstances?</w:t>
      </w:r>
    </w:p>
    <w:p w14:paraId="71C9CB44" w14:textId="77777777" w:rsidR="00271D04" w:rsidRPr="0039607A" w:rsidRDefault="00271D04" w:rsidP="008A2A6B">
      <w:pPr>
        <w:pStyle w:val="ListNumber"/>
        <w:spacing w:after="0"/>
        <w:ind w:left="567" w:hanging="567"/>
        <w:rPr>
          <w:rFonts w:ascii="Book Antiqua" w:hAnsi="Book Antiqua"/>
          <w:i/>
          <w:sz w:val="24"/>
          <w:szCs w:val="24"/>
        </w:rPr>
      </w:pPr>
      <w:r w:rsidRPr="0039607A">
        <w:rPr>
          <w:rFonts w:ascii="Book Antiqua" w:hAnsi="Book Antiqua"/>
          <w:i/>
          <w:sz w:val="24"/>
          <w:szCs w:val="24"/>
        </w:rPr>
        <w:t>Are provisions relating to paper copies of claims information appropriate? Why or why not?</w:t>
      </w:r>
    </w:p>
    <w:p w14:paraId="6587D3E1" w14:textId="77777777" w:rsidR="00556242" w:rsidRPr="00143239" w:rsidRDefault="00556242" w:rsidP="008F2666"/>
    <w:p w14:paraId="26D85966" w14:textId="31F75139" w:rsidR="0089432A" w:rsidRDefault="0039607A" w:rsidP="008F2666">
      <w:pPr>
        <w:pStyle w:val="Header"/>
        <w:tabs>
          <w:tab w:val="left" w:pos="720"/>
        </w:tabs>
      </w:pPr>
      <w:r>
        <w:t xml:space="preserve">As discussed above, the </w:t>
      </w:r>
      <w:r w:rsidR="00D50570" w:rsidRPr="009A0B27">
        <w:t>Department</w:t>
      </w:r>
      <w:r w:rsidR="000D0EFE" w:rsidRPr="009A0B27">
        <w:t xml:space="preserve"> wishes</w:t>
      </w:r>
      <w:r w:rsidRPr="009A0B27">
        <w:t xml:space="preserve"> to explore accessing </w:t>
      </w:r>
      <w:r>
        <w:t>personal identification components for the purpose of linkage with other datasets.  Once the linkage is undertaken, the personal identification components would be removed from the analytical dataset.</w:t>
      </w:r>
    </w:p>
    <w:p w14:paraId="54EA5ECB" w14:textId="77777777" w:rsidR="0089432A" w:rsidRDefault="0089432A" w:rsidP="008F2666">
      <w:pPr>
        <w:pStyle w:val="Header"/>
        <w:tabs>
          <w:tab w:val="left" w:pos="720"/>
        </w:tabs>
      </w:pPr>
    </w:p>
    <w:p w14:paraId="426EEFDA" w14:textId="487F54DB" w:rsidR="00EC640B" w:rsidRDefault="0039607A" w:rsidP="008F2666">
      <w:pPr>
        <w:pStyle w:val="Header"/>
        <w:tabs>
          <w:tab w:val="left" w:pos="720"/>
        </w:tabs>
      </w:pPr>
      <w:r>
        <w:t xml:space="preserve">The requirements relating to paper copies are outdated.  The Department does not have any requirements for paper copies to MBS and PBS information. </w:t>
      </w:r>
    </w:p>
    <w:p w14:paraId="57E736D0" w14:textId="77777777" w:rsidR="008F2666" w:rsidRDefault="008F2666" w:rsidP="008F2666">
      <w:pPr>
        <w:pStyle w:val="Header"/>
        <w:tabs>
          <w:tab w:val="left" w:pos="720"/>
        </w:tabs>
        <w:rPr>
          <w:b/>
        </w:rPr>
      </w:pPr>
    </w:p>
    <w:p w14:paraId="694E8725" w14:textId="5F6BB796" w:rsidR="0039607A" w:rsidRPr="001A2B2A" w:rsidRDefault="001A2B2A" w:rsidP="008F2666">
      <w:pPr>
        <w:pStyle w:val="Header"/>
        <w:tabs>
          <w:tab w:val="left" w:pos="720"/>
        </w:tabs>
        <w:rPr>
          <w:b/>
        </w:rPr>
      </w:pPr>
      <w:r w:rsidRPr="001A2B2A">
        <w:rPr>
          <w:b/>
        </w:rPr>
        <w:t>Further feedback</w:t>
      </w:r>
    </w:p>
    <w:p w14:paraId="04A37F0C" w14:textId="77777777" w:rsidR="001A2B2A" w:rsidRDefault="001A2B2A" w:rsidP="008F2666">
      <w:pPr>
        <w:pStyle w:val="Header"/>
        <w:tabs>
          <w:tab w:val="left" w:pos="720"/>
        </w:tabs>
      </w:pPr>
    </w:p>
    <w:p w14:paraId="0F4D925B" w14:textId="77777777" w:rsidR="001A2B2A" w:rsidRDefault="001A2B2A" w:rsidP="008F2666">
      <w:pPr>
        <w:pStyle w:val="Header"/>
        <w:tabs>
          <w:tab w:val="left" w:pos="720"/>
        </w:tabs>
      </w:pPr>
      <w:r>
        <w:t>The Department would be happy to provide furthe</w:t>
      </w:r>
      <w:r w:rsidR="00F66CF9">
        <w:t>r specific feedback with respect to thi</w:t>
      </w:r>
      <w:r w:rsidR="00256943">
        <w:t xml:space="preserve">s submission.  </w:t>
      </w:r>
    </w:p>
    <w:p w14:paraId="2DF459DE" w14:textId="77777777" w:rsidR="00256943" w:rsidRDefault="00256943" w:rsidP="008F2666">
      <w:pPr>
        <w:pStyle w:val="Header"/>
        <w:tabs>
          <w:tab w:val="left" w:pos="720"/>
        </w:tabs>
      </w:pPr>
    </w:p>
    <w:p w14:paraId="122864F4" w14:textId="77777777" w:rsidR="001A2B2A" w:rsidRDefault="001A2B2A" w:rsidP="008F2666">
      <w:pPr>
        <w:pStyle w:val="Header"/>
        <w:tabs>
          <w:tab w:val="left" w:pos="720"/>
        </w:tabs>
      </w:pPr>
      <w:r>
        <w:t>Yours sincerely</w:t>
      </w:r>
    </w:p>
    <w:p w14:paraId="32B5AD2C" w14:textId="77777777" w:rsidR="001A2B2A" w:rsidRDefault="001A2B2A" w:rsidP="008F2666">
      <w:pPr>
        <w:pStyle w:val="Header"/>
        <w:tabs>
          <w:tab w:val="left" w:pos="720"/>
        </w:tabs>
      </w:pPr>
    </w:p>
    <w:p w14:paraId="7EC1443A" w14:textId="77777777" w:rsidR="001A2B2A" w:rsidRDefault="001A2B2A" w:rsidP="008F2666">
      <w:pPr>
        <w:pStyle w:val="Header"/>
        <w:tabs>
          <w:tab w:val="left" w:pos="720"/>
        </w:tabs>
      </w:pPr>
    </w:p>
    <w:p w14:paraId="57635DB4" w14:textId="77777777" w:rsidR="001A2B2A" w:rsidRDefault="001A2B2A" w:rsidP="008F2666">
      <w:pPr>
        <w:pStyle w:val="Header"/>
        <w:tabs>
          <w:tab w:val="left" w:pos="720"/>
        </w:tabs>
      </w:pPr>
    </w:p>
    <w:p w14:paraId="1A0EAD51" w14:textId="77777777" w:rsidR="001A2B2A" w:rsidRDefault="001A2B2A" w:rsidP="008F2666">
      <w:pPr>
        <w:pStyle w:val="Header"/>
        <w:tabs>
          <w:tab w:val="left" w:pos="720"/>
        </w:tabs>
      </w:pPr>
    </w:p>
    <w:p w14:paraId="401BB79F" w14:textId="77777777" w:rsidR="001A2B2A" w:rsidRDefault="001A2B2A" w:rsidP="008F2666">
      <w:pPr>
        <w:pStyle w:val="Header"/>
        <w:tabs>
          <w:tab w:val="left" w:pos="720"/>
        </w:tabs>
      </w:pPr>
      <w:r>
        <w:t>Caroline Edwards</w:t>
      </w:r>
    </w:p>
    <w:p w14:paraId="02601546" w14:textId="77777777" w:rsidR="001A2B2A" w:rsidRDefault="001A2B2A" w:rsidP="008F2666">
      <w:pPr>
        <w:pStyle w:val="Header"/>
        <w:tabs>
          <w:tab w:val="left" w:pos="720"/>
        </w:tabs>
      </w:pPr>
    </w:p>
    <w:p w14:paraId="3B1CCEFC" w14:textId="77777777" w:rsidR="001A2B2A" w:rsidRDefault="001A2B2A" w:rsidP="008F2666">
      <w:pPr>
        <w:pStyle w:val="Header"/>
        <w:tabs>
          <w:tab w:val="left" w:pos="720"/>
        </w:tabs>
      </w:pPr>
      <w:r>
        <w:t xml:space="preserve">     June 2021</w:t>
      </w:r>
    </w:p>
    <w:sectPr w:rsidR="001A2B2A" w:rsidSect="00E655D0">
      <w:headerReference w:type="default" r:id="rId11"/>
      <w:footerReference w:type="first" r:id="rId12"/>
      <w:pgSz w:w="11906" w:h="16838" w:code="9"/>
      <w:pgMar w:top="567" w:right="1134" w:bottom="992"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CBF18" w14:textId="77777777" w:rsidR="00271D04" w:rsidRDefault="00271D04">
      <w:r>
        <w:separator/>
      </w:r>
    </w:p>
  </w:endnote>
  <w:endnote w:type="continuationSeparator" w:id="0">
    <w:p w14:paraId="62D6C5EC" w14:textId="77777777" w:rsidR="00271D04" w:rsidRDefault="0027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F73B" w14:textId="77777777" w:rsidR="00D912DB" w:rsidRDefault="00D912DB" w:rsidP="0089317D">
    <w:pPr>
      <w:pStyle w:val="Footer"/>
      <w:jc w:val="center"/>
      <w:rPr>
        <w:noProof/>
        <w:position w:val="4"/>
        <w:sz w:val="18"/>
      </w:rPr>
    </w:pPr>
  </w:p>
  <w:p w14:paraId="10B74CE2" w14:textId="77777777" w:rsidR="00D912DB" w:rsidRPr="00CF3477" w:rsidRDefault="00271D04" w:rsidP="004557B9">
    <w:pPr>
      <w:pStyle w:val="Footer"/>
      <w:spacing w:line="360" w:lineRule="auto"/>
      <w:jc w:val="center"/>
      <w:rPr>
        <w:rFonts w:ascii="Arial" w:hAnsi="Arial" w:cs="Arial"/>
        <w:sz w:val="14"/>
        <w:szCs w:val="14"/>
      </w:rPr>
    </w:pPr>
    <w:r>
      <w:rPr>
        <w:rFonts w:ascii="Arial" w:hAnsi="Arial" w:cs="Arial"/>
        <w:b/>
        <w:sz w:val="14"/>
        <w:szCs w:val="14"/>
      </w:rPr>
      <w:t>Phone:</w:t>
    </w:r>
    <w:r w:rsidR="00112C73">
      <w:rPr>
        <w:rFonts w:ascii="Arial" w:hAnsi="Arial" w:cs="Arial"/>
        <w:sz w:val="14"/>
        <w:szCs w:val="14"/>
      </w:rPr>
      <w:t xml:space="preserve"> </w:t>
    </w:r>
    <w:r>
      <w:rPr>
        <w:rFonts w:ascii="Arial" w:hAnsi="Arial" w:cs="Arial"/>
        <w:sz w:val="14"/>
        <w:szCs w:val="14"/>
      </w:rPr>
      <w:t>(02) 6289 9100</w:t>
    </w:r>
    <w:r w:rsidR="00DB0AD2">
      <w:rPr>
        <w:rFonts w:ascii="Arial" w:hAnsi="Arial" w:cs="Arial"/>
        <w:sz w:val="14"/>
        <w:szCs w:val="14"/>
      </w:rPr>
      <w:t xml:space="preserve">  </w:t>
    </w:r>
    <w:r w:rsidR="00112C73">
      <w:rPr>
        <w:rFonts w:ascii="Arial" w:hAnsi="Arial" w:cs="Arial"/>
        <w:sz w:val="14"/>
        <w:szCs w:val="14"/>
      </w:rPr>
      <w:t xml:space="preserve"> </w:t>
    </w:r>
    <w:r>
      <w:rPr>
        <w:rFonts w:ascii="Arial" w:hAnsi="Arial" w:cs="Arial"/>
        <w:b/>
        <w:sz w:val="14"/>
        <w:szCs w:val="14"/>
      </w:rPr>
      <w:t>Email:</w:t>
    </w:r>
    <w:r w:rsidR="00DD5414">
      <w:rPr>
        <w:rFonts w:ascii="Arial" w:hAnsi="Arial" w:cs="Arial"/>
        <w:sz w:val="14"/>
        <w:szCs w:val="14"/>
      </w:rPr>
      <w:t xml:space="preserve"> </w:t>
    </w:r>
    <w:r>
      <w:rPr>
        <w:rFonts w:ascii="Arial" w:hAnsi="Arial" w:cs="Arial"/>
        <w:sz w:val="14"/>
        <w:szCs w:val="14"/>
      </w:rPr>
      <w:t>Caroline.Edwards@health.gov.au</w:t>
    </w:r>
    <w:r w:rsidR="00DD5414">
      <w:rPr>
        <w:rFonts w:ascii="Arial" w:hAnsi="Arial" w:cs="Arial"/>
        <w:sz w:val="14"/>
        <w:szCs w:val="14"/>
      </w:rPr>
      <w:br/>
    </w:r>
    <w:r>
      <w:rPr>
        <w:rFonts w:ascii="Arial" w:hAnsi="Arial" w:cs="Arial"/>
        <w:sz w:val="14"/>
        <w:szCs w:val="14"/>
      </w:rPr>
      <w:t>Scarborough House, Level 14, Atlantic Street, Woden ACT 2606 - GPO Box 9848 Canberra ACT 2601</w:t>
    </w:r>
    <w:r w:rsidR="00DD5414">
      <w:rPr>
        <w:rFonts w:ascii="Arial" w:hAnsi="Arial" w:cs="Arial"/>
        <w:sz w:val="14"/>
        <w:szCs w:val="14"/>
      </w:rPr>
      <w:t xml:space="preserve">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54387" w14:textId="77777777" w:rsidR="00271D04" w:rsidRDefault="00271D04">
      <w:r>
        <w:separator/>
      </w:r>
    </w:p>
  </w:footnote>
  <w:footnote w:type="continuationSeparator" w:id="0">
    <w:p w14:paraId="74CC7940" w14:textId="77777777" w:rsidR="00271D04" w:rsidRDefault="00271D04">
      <w:r>
        <w:continuationSeparator/>
      </w:r>
    </w:p>
  </w:footnote>
  <w:footnote w:id="1">
    <w:p w14:paraId="1623C403" w14:textId="00FBB748" w:rsidR="00957EAA" w:rsidRDefault="00957EAA">
      <w:pPr>
        <w:pStyle w:val="FootnoteText"/>
      </w:pPr>
      <w:r>
        <w:rPr>
          <w:rStyle w:val="FootnoteReference"/>
        </w:rPr>
        <w:footnoteRef/>
      </w:r>
      <w:r>
        <w:t xml:space="preserve"> </w:t>
      </w:r>
      <w:r w:rsidR="00022B5F" w:rsidRPr="00022B5F">
        <w:t>https://www.abs.gov.au/about/data-services/data-integration/use-and-benefits</w:t>
      </w:r>
      <w:r w:rsidR="00022B5F" w:rsidRPr="00022B5F" w:rsidDel="00022B5F">
        <w:t xml:space="preserve"> </w:t>
      </w:r>
    </w:p>
  </w:footnote>
  <w:footnote w:id="2">
    <w:p w14:paraId="5F6C3D8A" w14:textId="77777777" w:rsidR="00022B5F" w:rsidRDefault="00957EAA">
      <w:pPr>
        <w:pStyle w:val="FootnoteText"/>
      </w:pPr>
      <w:r>
        <w:rPr>
          <w:rStyle w:val="FootnoteReference"/>
        </w:rPr>
        <w:footnoteRef/>
      </w:r>
      <w:r>
        <w:t xml:space="preserve"> </w:t>
      </w:r>
      <w:r w:rsidR="00022B5F" w:rsidRPr="00022B5F">
        <w:t xml:space="preserve">https://www.aph.gov.au/Parliamentary_Business/Committees/Senate/Health/Health/Submissions </w:t>
      </w:r>
    </w:p>
    <w:p w14:paraId="75235E3C" w14:textId="444D2AB5" w:rsidR="00957EAA" w:rsidRDefault="00022B5F">
      <w:pPr>
        <w:pStyle w:val="FootnoteText"/>
      </w:pPr>
      <w:r>
        <w:t xml:space="preserve">Department of Health – supplementary to submission 155: </w:t>
      </w:r>
    </w:p>
  </w:footnote>
  <w:footnote w:id="3">
    <w:p w14:paraId="68E31802" w14:textId="77777777" w:rsidR="00B37512" w:rsidRDefault="00B37512">
      <w:pPr>
        <w:pStyle w:val="FootnoteText"/>
      </w:pPr>
      <w:r>
        <w:rPr>
          <w:rStyle w:val="FootnoteReference"/>
        </w:rPr>
        <w:footnoteRef/>
      </w:r>
      <w:r>
        <w:t xml:space="preserve"> </w:t>
      </w:r>
      <w:r w:rsidRPr="00B37512">
        <w:t>https://www.dss.gov.au/sites/default/files/documents/01_2017/ncld_longitudinal_data_fact_sheet_final_12_january_2017.pdf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4714" w14:textId="6CED9E0A"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07802">
      <w:rPr>
        <w:rStyle w:val="PageNumber"/>
        <w:noProof/>
        <w:sz w:val="20"/>
        <w:szCs w:val="20"/>
      </w:rPr>
      <w:t>7</w:t>
    </w:r>
    <w:r>
      <w:rPr>
        <w:rStyle w:val="PageNumber"/>
        <w:sz w:val="20"/>
        <w:szCs w:val="20"/>
      </w:rPr>
      <w:fldChar w:fldCharType="end"/>
    </w:r>
    <w:r>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B59"/>
    <w:multiLevelType w:val="multilevel"/>
    <w:tmpl w:val="677EED32"/>
    <w:styleLink w:val="NumbersOAIC"/>
    <w:lvl w:ilvl="0">
      <w:start w:val="1"/>
      <w:numFmt w:val="decimal"/>
      <w:lvlText w:val="%1."/>
      <w:lvlJc w:val="left"/>
      <w:pPr>
        <w:ind w:left="6097"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 w15:restartNumberingAfterBreak="0">
    <w:nsid w:val="0CF65BD3"/>
    <w:multiLevelType w:val="multilevel"/>
    <w:tmpl w:val="BD643186"/>
    <w:lvl w:ilvl="0">
      <w:start w:val="1"/>
      <w:numFmt w:val="decimal"/>
      <w:pStyle w:val="ListNumber"/>
      <w:lvlText w:val="%1."/>
      <w:lvlJc w:val="left"/>
      <w:pPr>
        <w:ind w:left="2269"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2" w15:restartNumberingAfterBreak="0">
    <w:nsid w:val="0E102D85"/>
    <w:multiLevelType w:val="hybridMultilevel"/>
    <w:tmpl w:val="F162D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746C1"/>
    <w:multiLevelType w:val="hybridMultilevel"/>
    <w:tmpl w:val="E654B194"/>
    <w:lvl w:ilvl="0" w:tplc="9AE617D2">
      <w:start w:val="1"/>
      <w:numFmt w:val="decimal"/>
      <w:lvlText w:val="%1."/>
      <w:lvlJc w:val="left"/>
      <w:pPr>
        <w:ind w:left="360" w:hanging="360"/>
      </w:pPr>
      <w:rPr>
        <w:b w:val="0"/>
        <w:i w:val="0"/>
      </w:rPr>
    </w:lvl>
    <w:lvl w:ilvl="1" w:tplc="0C090001">
      <w:start w:val="1"/>
      <w:numFmt w:val="bullet"/>
      <w:lvlText w:val=""/>
      <w:lvlJc w:val="left"/>
      <w:pPr>
        <w:ind w:left="1080" w:hanging="360"/>
      </w:pPr>
      <w:rPr>
        <w:rFonts w:ascii="Symbol" w:hAnsi="Symbol" w:hint="default"/>
      </w:rPr>
    </w:lvl>
    <w:lvl w:ilvl="2" w:tplc="B2E0A788" w:tentative="1">
      <w:start w:val="1"/>
      <w:numFmt w:val="lowerRoman"/>
      <w:lvlText w:val="%3."/>
      <w:lvlJc w:val="right"/>
      <w:pPr>
        <w:ind w:left="1800" w:hanging="180"/>
      </w:pPr>
    </w:lvl>
    <w:lvl w:ilvl="3" w:tplc="A252AA1E" w:tentative="1">
      <w:start w:val="1"/>
      <w:numFmt w:val="decimal"/>
      <w:lvlText w:val="%4."/>
      <w:lvlJc w:val="left"/>
      <w:pPr>
        <w:ind w:left="2520" w:hanging="360"/>
      </w:pPr>
    </w:lvl>
    <w:lvl w:ilvl="4" w:tplc="EFF0583C" w:tentative="1">
      <w:start w:val="1"/>
      <w:numFmt w:val="lowerLetter"/>
      <w:lvlText w:val="%5."/>
      <w:lvlJc w:val="left"/>
      <w:pPr>
        <w:ind w:left="3240" w:hanging="360"/>
      </w:pPr>
    </w:lvl>
    <w:lvl w:ilvl="5" w:tplc="46E65362" w:tentative="1">
      <w:start w:val="1"/>
      <w:numFmt w:val="lowerRoman"/>
      <w:lvlText w:val="%6."/>
      <w:lvlJc w:val="right"/>
      <w:pPr>
        <w:ind w:left="3960" w:hanging="180"/>
      </w:pPr>
    </w:lvl>
    <w:lvl w:ilvl="6" w:tplc="5EBE0484" w:tentative="1">
      <w:start w:val="1"/>
      <w:numFmt w:val="decimal"/>
      <w:lvlText w:val="%7."/>
      <w:lvlJc w:val="left"/>
      <w:pPr>
        <w:ind w:left="4680" w:hanging="360"/>
      </w:pPr>
    </w:lvl>
    <w:lvl w:ilvl="7" w:tplc="8E6EA508" w:tentative="1">
      <w:start w:val="1"/>
      <w:numFmt w:val="lowerLetter"/>
      <w:lvlText w:val="%8."/>
      <w:lvlJc w:val="left"/>
      <w:pPr>
        <w:ind w:left="5400" w:hanging="360"/>
      </w:pPr>
    </w:lvl>
    <w:lvl w:ilvl="8" w:tplc="A360496A" w:tentative="1">
      <w:start w:val="1"/>
      <w:numFmt w:val="lowerRoman"/>
      <w:lvlText w:val="%9."/>
      <w:lvlJc w:val="right"/>
      <w:pPr>
        <w:ind w:left="6120" w:hanging="180"/>
      </w:pPr>
    </w:lvl>
  </w:abstractNum>
  <w:abstractNum w:abstractNumId="4" w15:restartNumberingAfterBreak="0">
    <w:nsid w:val="24230B5B"/>
    <w:multiLevelType w:val="hybridMultilevel"/>
    <w:tmpl w:val="83386A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F95528"/>
    <w:multiLevelType w:val="hybridMultilevel"/>
    <w:tmpl w:val="6E50964C"/>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4E8E767A"/>
    <w:multiLevelType w:val="hybridMultilevel"/>
    <w:tmpl w:val="D7462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0137E"/>
    <w:multiLevelType w:val="hybridMultilevel"/>
    <w:tmpl w:val="EE248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7"/>
  </w:num>
  <w:num w:numId="7">
    <w:abstractNumId w:val="6"/>
  </w:num>
  <w:num w:numId="8">
    <w:abstractNumId w:val="2"/>
  </w:num>
  <w:num w:numId="9">
    <w:abstractNumId w:val="1"/>
  </w:num>
  <w:num w:numId="10">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04"/>
    <w:rsid w:val="0000021D"/>
    <w:rsid w:val="00022B5F"/>
    <w:rsid w:val="00041E2E"/>
    <w:rsid w:val="000460C4"/>
    <w:rsid w:val="00047105"/>
    <w:rsid w:val="00052BFC"/>
    <w:rsid w:val="00063FB6"/>
    <w:rsid w:val="00070343"/>
    <w:rsid w:val="00072F0C"/>
    <w:rsid w:val="00080D37"/>
    <w:rsid w:val="000906BD"/>
    <w:rsid w:val="00092300"/>
    <w:rsid w:val="000A5E29"/>
    <w:rsid w:val="000A64F6"/>
    <w:rsid w:val="000B478D"/>
    <w:rsid w:val="000D0EFE"/>
    <w:rsid w:val="000E4D22"/>
    <w:rsid w:val="000F2591"/>
    <w:rsid w:val="001014B8"/>
    <w:rsid w:val="00112C73"/>
    <w:rsid w:val="001162DE"/>
    <w:rsid w:val="001168E8"/>
    <w:rsid w:val="001305E2"/>
    <w:rsid w:val="001360C1"/>
    <w:rsid w:val="00143239"/>
    <w:rsid w:val="001572D2"/>
    <w:rsid w:val="00160564"/>
    <w:rsid w:val="001735C9"/>
    <w:rsid w:val="0017608F"/>
    <w:rsid w:val="00182C46"/>
    <w:rsid w:val="00190EE6"/>
    <w:rsid w:val="0019136C"/>
    <w:rsid w:val="001A0208"/>
    <w:rsid w:val="001A2B2A"/>
    <w:rsid w:val="001A3998"/>
    <w:rsid w:val="001D75A2"/>
    <w:rsid w:val="001E0C2A"/>
    <w:rsid w:val="001E4026"/>
    <w:rsid w:val="001F0D48"/>
    <w:rsid w:val="00235958"/>
    <w:rsid w:val="002426B3"/>
    <w:rsid w:val="0024276B"/>
    <w:rsid w:val="00250594"/>
    <w:rsid w:val="00251E49"/>
    <w:rsid w:val="00256943"/>
    <w:rsid w:val="0026397D"/>
    <w:rsid w:val="002711B8"/>
    <w:rsid w:val="00271D04"/>
    <w:rsid w:val="00273053"/>
    <w:rsid w:val="00273709"/>
    <w:rsid w:val="002C2A2F"/>
    <w:rsid w:val="002D1A4C"/>
    <w:rsid w:val="002D282D"/>
    <w:rsid w:val="002D50A1"/>
    <w:rsid w:val="002E45FF"/>
    <w:rsid w:val="002F3611"/>
    <w:rsid w:val="00300F73"/>
    <w:rsid w:val="003060D2"/>
    <w:rsid w:val="0030702A"/>
    <w:rsid w:val="00310CDA"/>
    <w:rsid w:val="00324B09"/>
    <w:rsid w:val="00363CF2"/>
    <w:rsid w:val="00372506"/>
    <w:rsid w:val="00390C11"/>
    <w:rsid w:val="0039607A"/>
    <w:rsid w:val="003C1944"/>
    <w:rsid w:val="003C360B"/>
    <w:rsid w:val="003C464D"/>
    <w:rsid w:val="003E5FC3"/>
    <w:rsid w:val="00401C9A"/>
    <w:rsid w:val="004124E0"/>
    <w:rsid w:val="00413130"/>
    <w:rsid w:val="0041662A"/>
    <w:rsid w:val="00420B2C"/>
    <w:rsid w:val="004227ED"/>
    <w:rsid w:val="00425749"/>
    <w:rsid w:val="004352FF"/>
    <w:rsid w:val="0043783D"/>
    <w:rsid w:val="00441DCE"/>
    <w:rsid w:val="0044416F"/>
    <w:rsid w:val="00446C7F"/>
    <w:rsid w:val="0044779A"/>
    <w:rsid w:val="004557B9"/>
    <w:rsid w:val="00461016"/>
    <w:rsid w:val="00465451"/>
    <w:rsid w:val="00466183"/>
    <w:rsid w:val="004701C4"/>
    <w:rsid w:val="004735A2"/>
    <w:rsid w:val="004776E8"/>
    <w:rsid w:val="0048137D"/>
    <w:rsid w:val="004864D9"/>
    <w:rsid w:val="004972B9"/>
    <w:rsid w:val="004C0B1F"/>
    <w:rsid w:val="004C7B6B"/>
    <w:rsid w:val="004D1A04"/>
    <w:rsid w:val="004E076B"/>
    <w:rsid w:val="004E33D9"/>
    <w:rsid w:val="004F3200"/>
    <w:rsid w:val="005025B0"/>
    <w:rsid w:val="005041DA"/>
    <w:rsid w:val="00516621"/>
    <w:rsid w:val="005267FF"/>
    <w:rsid w:val="00531B2D"/>
    <w:rsid w:val="00535033"/>
    <w:rsid w:val="00536627"/>
    <w:rsid w:val="00536EEA"/>
    <w:rsid w:val="0054002A"/>
    <w:rsid w:val="005527BE"/>
    <w:rsid w:val="00552FCD"/>
    <w:rsid w:val="00556242"/>
    <w:rsid w:val="00562816"/>
    <w:rsid w:val="0057330E"/>
    <w:rsid w:val="0057521A"/>
    <w:rsid w:val="0059092C"/>
    <w:rsid w:val="00591FA5"/>
    <w:rsid w:val="005A5C7E"/>
    <w:rsid w:val="005B3CDE"/>
    <w:rsid w:val="005D2DB1"/>
    <w:rsid w:val="005E3018"/>
    <w:rsid w:val="005E57FD"/>
    <w:rsid w:val="005F028C"/>
    <w:rsid w:val="005F2CA5"/>
    <w:rsid w:val="005F610E"/>
    <w:rsid w:val="00613C74"/>
    <w:rsid w:val="00614A3F"/>
    <w:rsid w:val="00631ADC"/>
    <w:rsid w:val="006344A2"/>
    <w:rsid w:val="0063458D"/>
    <w:rsid w:val="00635130"/>
    <w:rsid w:val="0063526B"/>
    <w:rsid w:val="006353C6"/>
    <w:rsid w:val="00635412"/>
    <w:rsid w:val="00641F00"/>
    <w:rsid w:val="00650E1D"/>
    <w:rsid w:val="00654CE5"/>
    <w:rsid w:val="00655538"/>
    <w:rsid w:val="0067170E"/>
    <w:rsid w:val="00676983"/>
    <w:rsid w:val="00691B7D"/>
    <w:rsid w:val="006A3B8F"/>
    <w:rsid w:val="006A5A57"/>
    <w:rsid w:val="006A62A5"/>
    <w:rsid w:val="006B1236"/>
    <w:rsid w:val="006B3B00"/>
    <w:rsid w:val="006B4D31"/>
    <w:rsid w:val="006C505C"/>
    <w:rsid w:val="006E7D7A"/>
    <w:rsid w:val="006F025E"/>
    <w:rsid w:val="006F3DF8"/>
    <w:rsid w:val="007004A3"/>
    <w:rsid w:val="00706A24"/>
    <w:rsid w:val="007211BC"/>
    <w:rsid w:val="00724C67"/>
    <w:rsid w:val="0072510E"/>
    <w:rsid w:val="00730354"/>
    <w:rsid w:val="00731FCD"/>
    <w:rsid w:val="007455CC"/>
    <w:rsid w:val="00747CDE"/>
    <w:rsid w:val="00772F9B"/>
    <w:rsid w:val="0077419A"/>
    <w:rsid w:val="007744F2"/>
    <w:rsid w:val="00775FE4"/>
    <w:rsid w:val="00782FCB"/>
    <w:rsid w:val="0078313D"/>
    <w:rsid w:val="007942CF"/>
    <w:rsid w:val="007A3D38"/>
    <w:rsid w:val="007A6745"/>
    <w:rsid w:val="007B097B"/>
    <w:rsid w:val="007B6D96"/>
    <w:rsid w:val="007C7AFD"/>
    <w:rsid w:val="007C7EFA"/>
    <w:rsid w:val="007F3885"/>
    <w:rsid w:val="00816ED3"/>
    <w:rsid w:val="00820DF9"/>
    <w:rsid w:val="00822C1A"/>
    <w:rsid w:val="008265D7"/>
    <w:rsid w:val="00834CB4"/>
    <w:rsid w:val="00855778"/>
    <w:rsid w:val="008621C3"/>
    <w:rsid w:val="00863A8A"/>
    <w:rsid w:val="008814B2"/>
    <w:rsid w:val="0089317D"/>
    <w:rsid w:val="00893978"/>
    <w:rsid w:val="0089432A"/>
    <w:rsid w:val="0089439E"/>
    <w:rsid w:val="00894F47"/>
    <w:rsid w:val="008A2A6B"/>
    <w:rsid w:val="008A4ACD"/>
    <w:rsid w:val="008A79A4"/>
    <w:rsid w:val="008B0D7D"/>
    <w:rsid w:val="008B2E62"/>
    <w:rsid w:val="008D4E4A"/>
    <w:rsid w:val="008F2666"/>
    <w:rsid w:val="00910FFC"/>
    <w:rsid w:val="00911F6E"/>
    <w:rsid w:val="00912F75"/>
    <w:rsid w:val="00915116"/>
    <w:rsid w:val="00915F60"/>
    <w:rsid w:val="0093202A"/>
    <w:rsid w:val="009330DE"/>
    <w:rsid w:val="0093466D"/>
    <w:rsid w:val="00935C62"/>
    <w:rsid w:val="00935E4C"/>
    <w:rsid w:val="00937489"/>
    <w:rsid w:val="009537B3"/>
    <w:rsid w:val="009539F4"/>
    <w:rsid w:val="00957EAA"/>
    <w:rsid w:val="00960916"/>
    <w:rsid w:val="0096146C"/>
    <w:rsid w:val="0096629A"/>
    <w:rsid w:val="00973568"/>
    <w:rsid w:val="0097574B"/>
    <w:rsid w:val="009800E4"/>
    <w:rsid w:val="009953DA"/>
    <w:rsid w:val="009A0B27"/>
    <w:rsid w:val="009A2CD9"/>
    <w:rsid w:val="009A7761"/>
    <w:rsid w:val="009B2F3E"/>
    <w:rsid w:val="009C3F3F"/>
    <w:rsid w:val="009E3D9F"/>
    <w:rsid w:val="009F2C8F"/>
    <w:rsid w:val="009F49B3"/>
    <w:rsid w:val="009F4DAC"/>
    <w:rsid w:val="009F5453"/>
    <w:rsid w:val="00A07D4C"/>
    <w:rsid w:val="00A114A1"/>
    <w:rsid w:val="00A20BC6"/>
    <w:rsid w:val="00A235B4"/>
    <w:rsid w:val="00A241EB"/>
    <w:rsid w:val="00A309A6"/>
    <w:rsid w:val="00A4350A"/>
    <w:rsid w:val="00A44277"/>
    <w:rsid w:val="00A53488"/>
    <w:rsid w:val="00A7639C"/>
    <w:rsid w:val="00A77DDC"/>
    <w:rsid w:val="00A832DF"/>
    <w:rsid w:val="00A84ACC"/>
    <w:rsid w:val="00A860C5"/>
    <w:rsid w:val="00A932D3"/>
    <w:rsid w:val="00A95142"/>
    <w:rsid w:val="00AB08C9"/>
    <w:rsid w:val="00AB2279"/>
    <w:rsid w:val="00AC7598"/>
    <w:rsid w:val="00AD398E"/>
    <w:rsid w:val="00AD5262"/>
    <w:rsid w:val="00AD718D"/>
    <w:rsid w:val="00AE2684"/>
    <w:rsid w:val="00AF08B4"/>
    <w:rsid w:val="00B047E4"/>
    <w:rsid w:val="00B07DEA"/>
    <w:rsid w:val="00B10B2A"/>
    <w:rsid w:val="00B14849"/>
    <w:rsid w:val="00B20688"/>
    <w:rsid w:val="00B21ED6"/>
    <w:rsid w:val="00B33270"/>
    <w:rsid w:val="00B372F0"/>
    <w:rsid w:val="00B37512"/>
    <w:rsid w:val="00B53800"/>
    <w:rsid w:val="00B5725E"/>
    <w:rsid w:val="00B60BFA"/>
    <w:rsid w:val="00B61C58"/>
    <w:rsid w:val="00B7391A"/>
    <w:rsid w:val="00B8737D"/>
    <w:rsid w:val="00B96E37"/>
    <w:rsid w:val="00BC1611"/>
    <w:rsid w:val="00BE15A1"/>
    <w:rsid w:val="00BE388C"/>
    <w:rsid w:val="00BF7CB2"/>
    <w:rsid w:val="00C12EEB"/>
    <w:rsid w:val="00C21FDA"/>
    <w:rsid w:val="00C23A31"/>
    <w:rsid w:val="00C45D29"/>
    <w:rsid w:val="00C55A1B"/>
    <w:rsid w:val="00C67E28"/>
    <w:rsid w:val="00C8019D"/>
    <w:rsid w:val="00C853DD"/>
    <w:rsid w:val="00C91ACF"/>
    <w:rsid w:val="00CA627A"/>
    <w:rsid w:val="00CB6189"/>
    <w:rsid w:val="00CC0246"/>
    <w:rsid w:val="00CD5206"/>
    <w:rsid w:val="00CE4691"/>
    <w:rsid w:val="00CE4823"/>
    <w:rsid w:val="00CE7A45"/>
    <w:rsid w:val="00CF3477"/>
    <w:rsid w:val="00D04214"/>
    <w:rsid w:val="00D21FCD"/>
    <w:rsid w:val="00D23FF4"/>
    <w:rsid w:val="00D37280"/>
    <w:rsid w:val="00D451B8"/>
    <w:rsid w:val="00D50570"/>
    <w:rsid w:val="00D6492D"/>
    <w:rsid w:val="00D679E6"/>
    <w:rsid w:val="00D67CDE"/>
    <w:rsid w:val="00D73387"/>
    <w:rsid w:val="00D750C8"/>
    <w:rsid w:val="00D811B6"/>
    <w:rsid w:val="00D8450A"/>
    <w:rsid w:val="00D912DB"/>
    <w:rsid w:val="00D91587"/>
    <w:rsid w:val="00D91BB2"/>
    <w:rsid w:val="00DA0569"/>
    <w:rsid w:val="00DA12E4"/>
    <w:rsid w:val="00DB0AD2"/>
    <w:rsid w:val="00DD5414"/>
    <w:rsid w:val="00DF116F"/>
    <w:rsid w:val="00DF488A"/>
    <w:rsid w:val="00E07802"/>
    <w:rsid w:val="00E25AED"/>
    <w:rsid w:val="00E37CE0"/>
    <w:rsid w:val="00E50657"/>
    <w:rsid w:val="00E5582E"/>
    <w:rsid w:val="00E579D8"/>
    <w:rsid w:val="00E57A4C"/>
    <w:rsid w:val="00E645C6"/>
    <w:rsid w:val="00E655D0"/>
    <w:rsid w:val="00E6675A"/>
    <w:rsid w:val="00E67E4A"/>
    <w:rsid w:val="00E711A9"/>
    <w:rsid w:val="00E873F1"/>
    <w:rsid w:val="00E90961"/>
    <w:rsid w:val="00E94208"/>
    <w:rsid w:val="00E9764D"/>
    <w:rsid w:val="00EA4F8F"/>
    <w:rsid w:val="00EB0ED3"/>
    <w:rsid w:val="00EB1086"/>
    <w:rsid w:val="00EC415E"/>
    <w:rsid w:val="00EC49E6"/>
    <w:rsid w:val="00EC4A7B"/>
    <w:rsid w:val="00EC640B"/>
    <w:rsid w:val="00ED7514"/>
    <w:rsid w:val="00EF14F5"/>
    <w:rsid w:val="00EF3935"/>
    <w:rsid w:val="00EF7771"/>
    <w:rsid w:val="00F00237"/>
    <w:rsid w:val="00F016A4"/>
    <w:rsid w:val="00F054E3"/>
    <w:rsid w:val="00F141C6"/>
    <w:rsid w:val="00F21E8A"/>
    <w:rsid w:val="00F273D5"/>
    <w:rsid w:val="00F328D2"/>
    <w:rsid w:val="00F35708"/>
    <w:rsid w:val="00F41061"/>
    <w:rsid w:val="00F54B4A"/>
    <w:rsid w:val="00F66CF9"/>
    <w:rsid w:val="00F72B1B"/>
    <w:rsid w:val="00F8199A"/>
    <w:rsid w:val="00FA6717"/>
    <w:rsid w:val="00FC3B9C"/>
    <w:rsid w:val="00FC3D21"/>
    <w:rsid w:val="00FC639D"/>
    <w:rsid w:val="00FC7C35"/>
    <w:rsid w:val="00FE41DE"/>
    <w:rsid w:val="00FE7D97"/>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110FB82"/>
  <w15:docId w15:val="{C5F39A45-574F-4DCC-B592-89BE8D8F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character" w:styleId="Hyperlink">
    <w:name w:val="Hyperlink"/>
    <w:basedOn w:val="DefaultParagraphFont"/>
    <w:uiPriority w:val="99"/>
    <w:unhideWhenUsed/>
    <w:rsid w:val="00271D04"/>
    <w:rPr>
      <w:color w:val="0000FF" w:themeColor="hyperlink"/>
      <w:u w:val="single"/>
    </w:rPr>
  </w:style>
  <w:style w:type="numbering" w:customStyle="1" w:styleId="NumbersOAIC">
    <w:name w:val="Numbers_OAIC"/>
    <w:uiPriority w:val="99"/>
    <w:rsid w:val="00271D04"/>
    <w:pPr>
      <w:numPr>
        <w:numId w:val="1"/>
      </w:numPr>
    </w:pPr>
  </w:style>
  <w:style w:type="paragraph" w:styleId="ListNumber">
    <w:name w:val="List Number"/>
    <w:basedOn w:val="Normal"/>
    <w:uiPriority w:val="99"/>
    <w:qFormat/>
    <w:rsid w:val="00271D04"/>
    <w:pPr>
      <w:numPr>
        <w:numId w:val="2"/>
      </w:numPr>
      <w:spacing w:after="180"/>
      <w:ind w:left="2128"/>
    </w:pPr>
    <w:rPr>
      <w:rFonts w:asciiTheme="minorHAnsi" w:eastAsiaTheme="minorEastAsia" w:hAnsiTheme="minorHAnsi"/>
      <w:sz w:val="22"/>
      <w:szCs w:val="20"/>
      <w:lang w:eastAsia="en-US"/>
    </w:rPr>
  </w:style>
  <w:style w:type="paragraph" w:styleId="ListNumber2">
    <w:name w:val="List Number 2"/>
    <w:basedOn w:val="Normal"/>
    <w:uiPriority w:val="99"/>
    <w:qFormat/>
    <w:rsid w:val="00271D04"/>
    <w:pPr>
      <w:numPr>
        <w:ilvl w:val="1"/>
        <w:numId w:val="2"/>
      </w:numPr>
      <w:spacing w:after="180"/>
    </w:pPr>
    <w:rPr>
      <w:rFonts w:asciiTheme="minorHAnsi" w:eastAsiaTheme="minorEastAsia" w:hAnsiTheme="minorHAnsi"/>
      <w:sz w:val="22"/>
      <w:szCs w:val="20"/>
      <w:lang w:eastAsia="en-US"/>
    </w:rPr>
  </w:style>
  <w:style w:type="paragraph" w:styleId="ListNumber3">
    <w:name w:val="List Number 3"/>
    <w:basedOn w:val="Normal"/>
    <w:uiPriority w:val="99"/>
    <w:qFormat/>
    <w:rsid w:val="00271D04"/>
    <w:pPr>
      <w:numPr>
        <w:ilvl w:val="2"/>
        <w:numId w:val="2"/>
      </w:numPr>
      <w:spacing w:after="180"/>
    </w:pPr>
    <w:rPr>
      <w:rFonts w:asciiTheme="minorHAnsi" w:eastAsiaTheme="minorEastAsia" w:hAnsiTheme="minorHAnsi"/>
      <w:sz w:val="22"/>
      <w:szCs w:val="20"/>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271D04"/>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locked/>
    <w:rsid w:val="009B2F3E"/>
    <w:rPr>
      <w:rFonts w:ascii="Book Antiqua" w:hAnsi="Book Antiqua"/>
      <w:sz w:val="24"/>
      <w:szCs w:val="24"/>
    </w:rPr>
  </w:style>
  <w:style w:type="paragraph" w:styleId="NormalWeb">
    <w:name w:val="Normal (Web)"/>
    <w:basedOn w:val="Normal"/>
    <w:uiPriority w:val="99"/>
    <w:semiHidden/>
    <w:unhideWhenUsed/>
    <w:rsid w:val="00EA4F8F"/>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EA4F8F"/>
    <w:rPr>
      <w:i/>
      <w:iCs/>
    </w:rPr>
  </w:style>
  <w:style w:type="character" w:styleId="FollowedHyperlink">
    <w:name w:val="FollowedHyperlink"/>
    <w:basedOn w:val="DefaultParagraphFont"/>
    <w:uiPriority w:val="99"/>
    <w:semiHidden/>
    <w:unhideWhenUsed/>
    <w:rsid w:val="00425749"/>
    <w:rPr>
      <w:color w:val="800080" w:themeColor="followedHyperlink"/>
      <w:u w:val="single"/>
    </w:rPr>
  </w:style>
  <w:style w:type="paragraph" w:styleId="FootnoteText">
    <w:name w:val="footnote text"/>
    <w:basedOn w:val="Normal"/>
    <w:link w:val="FootnoteTextChar"/>
    <w:uiPriority w:val="99"/>
    <w:semiHidden/>
    <w:unhideWhenUsed/>
    <w:rsid w:val="00957EAA"/>
    <w:rPr>
      <w:sz w:val="20"/>
      <w:szCs w:val="20"/>
    </w:rPr>
  </w:style>
  <w:style w:type="character" w:customStyle="1" w:styleId="FootnoteTextChar">
    <w:name w:val="Footnote Text Char"/>
    <w:basedOn w:val="DefaultParagraphFont"/>
    <w:link w:val="FootnoteText"/>
    <w:uiPriority w:val="99"/>
    <w:semiHidden/>
    <w:rsid w:val="00957EAA"/>
    <w:rPr>
      <w:rFonts w:ascii="Book Antiqua" w:hAnsi="Book Antiqua"/>
    </w:rPr>
  </w:style>
  <w:style w:type="character" w:styleId="FootnoteReference">
    <w:name w:val="footnote reference"/>
    <w:basedOn w:val="DefaultParagraphFont"/>
    <w:uiPriority w:val="99"/>
    <w:semiHidden/>
    <w:unhideWhenUsed/>
    <w:rsid w:val="00957EAA"/>
    <w:rPr>
      <w:vertAlign w:val="superscript"/>
    </w:rPr>
  </w:style>
  <w:style w:type="paragraph" w:styleId="EndnoteText">
    <w:name w:val="endnote text"/>
    <w:basedOn w:val="Normal"/>
    <w:link w:val="EndnoteTextChar"/>
    <w:uiPriority w:val="99"/>
    <w:semiHidden/>
    <w:unhideWhenUsed/>
    <w:rsid w:val="00957EAA"/>
    <w:rPr>
      <w:sz w:val="20"/>
      <w:szCs w:val="20"/>
    </w:rPr>
  </w:style>
  <w:style w:type="character" w:customStyle="1" w:styleId="EndnoteTextChar">
    <w:name w:val="Endnote Text Char"/>
    <w:basedOn w:val="DefaultParagraphFont"/>
    <w:link w:val="EndnoteText"/>
    <w:uiPriority w:val="99"/>
    <w:semiHidden/>
    <w:rsid w:val="00957EAA"/>
    <w:rPr>
      <w:rFonts w:ascii="Book Antiqua" w:hAnsi="Book Antiqua"/>
    </w:rPr>
  </w:style>
  <w:style w:type="character" w:styleId="EndnoteReference">
    <w:name w:val="endnote reference"/>
    <w:basedOn w:val="DefaultParagraphFont"/>
    <w:uiPriority w:val="99"/>
    <w:semiHidden/>
    <w:unhideWhenUsed/>
    <w:rsid w:val="00957EAA"/>
    <w:rPr>
      <w:vertAlign w:val="superscript"/>
    </w:rPr>
  </w:style>
  <w:style w:type="paragraph" w:customStyle="1" w:styleId="Default">
    <w:name w:val="Default"/>
    <w:rsid w:val="00FC3D21"/>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A77DDC"/>
    <w:rPr>
      <w:sz w:val="16"/>
      <w:szCs w:val="16"/>
    </w:rPr>
  </w:style>
  <w:style w:type="paragraph" w:styleId="CommentText">
    <w:name w:val="annotation text"/>
    <w:basedOn w:val="Normal"/>
    <w:link w:val="CommentTextChar"/>
    <w:uiPriority w:val="99"/>
    <w:semiHidden/>
    <w:unhideWhenUsed/>
    <w:rsid w:val="00A77DDC"/>
    <w:rPr>
      <w:sz w:val="20"/>
      <w:szCs w:val="20"/>
    </w:rPr>
  </w:style>
  <w:style w:type="character" w:customStyle="1" w:styleId="CommentTextChar">
    <w:name w:val="Comment Text Char"/>
    <w:basedOn w:val="DefaultParagraphFont"/>
    <w:link w:val="CommentText"/>
    <w:uiPriority w:val="99"/>
    <w:semiHidden/>
    <w:rsid w:val="00A77DDC"/>
    <w:rPr>
      <w:rFonts w:ascii="Book Antiqua" w:hAnsi="Book Antiqua"/>
    </w:rPr>
  </w:style>
  <w:style w:type="paragraph" w:styleId="CommentSubject">
    <w:name w:val="annotation subject"/>
    <w:basedOn w:val="CommentText"/>
    <w:next w:val="CommentText"/>
    <w:link w:val="CommentSubjectChar"/>
    <w:uiPriority w:val="99"/>
    <w:semiHidden/>
    <w:unhideWhenUsed/>
    <w:rsid w:val="00A77DDC"/>
    <w:rPr>
      <w:b/>
      <w:bCs/>
    </w:rPr>
  </w:style>
  <w:style w:type="character" w:customStyle="1" w:styleId="CommentSubjectChar">
    <w:name w:val="Comment Subject Char"/>
    <w:basedOn w:val="CommentTextChar"/>
    <w:link w:val="CommentSubject"/>
    <w:uiPriority w:val="99"/>
    <w:semiHidden/>
    <w:rsid w:val="00A77DDC"/>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027">
      <w:bodyDiv w:val="1"/>
      <w:marLeft w:val="0"/>
      <w:marRight w:val="0"/>
      <w:marTop w:val="0"/>
      <w:marBottom w:val="0"/>
      <w:divBdr>
        <w:top w:val="none" w:sz="0" w:space="0" w:color="auto"/>
        <w:left w:val="none" w:sz="0" w:space="0" w:color="auto"/>
        <w:bottom w:val="none" w:sz="0" w:space="0" w:color="auto"/>
        <w:right w:val="none" w:sz="0" w:space="0" w:color="auto"/>
      </w:divBdr>
    </w:div>
    <w:div w:id="847451648">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747680660">
      <w:bodyDiv w:val="1"/>
      <w:marLeft w:val="0"/>
      <w:marRight w:val="0"/>
      <w:marTop w:val="0"/>
      <w:marBottom w:val="0"/>
      <w:divBdr>
        <w:top w:val="none" w:sz="0" w:space="0" w:color="auto"/>
        <w:left w:val="none" w:sz="0" w:space="0" w:color="auto"/>
        <w:bottom w:val="none" w:sz="0" w:space="0" w:color="auto"/>
        <w:right w:val="none" w:sz="0" w:space="0" w:color="auto"/>
      </w:divBdr>
    </w:div>
    <w:div w:id="18306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1.health.gov.au/internet/main/publishing.nsf/Content/data-matching-for-medicare-compliance-purposes" TargetMode="External"/><Relationship Id="rId4" Type="http://schemas.openxmlformats.org/officeDocument/2006/relationships/settings" Target="settings.xml"/><Relationship Id="rId9" Type="http://schemas.openxmlformats.org/officeDocument/2006/relationships/hyperlink" Target="mailto:privacy.rules@oa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93B0-7EB9-43A5-8DBE-B4B4D7FA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2898</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Department of Health</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Letterhead Templates</dc:title>
  <dc:creator>PHILLIPS, Sue</dc:creator>
  <cp:lastModifiedBy>PHILLIPS, Sue</cp:lastModifiedBy>
  <cp:revision>2</cp:revision>
  <cp:lastPrinted>2021-06-03T06:41:00Z</cp:lastPrinted>
  <dcterms:created xsi:type="dcterms:W3CDTF">2021-06-08T05:56:00Z</dcterms:created>
  <dcterms:modified xsi:type="dcterms:W3CDTF">2021-06-08T05:56:00Z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Scarborough House, Level 14, Atlantic Street, Woden ACT 2606 - GPO Box 9848 Canberra ACT 2601</vt:lpwstr>
  </property>
  <property fmtid="{D5CDD505-2E9C-101B-9397-08002B2CF9AE}" pid="3" name="PhoneLabel">
    <vt:lpwstr>Phone:</vt:lpwstr>
  </property>
  <property fmtid="{D5CDD505-2E9C-101B-9397-08002B2CF9AE}" pid="4" name="EmailLabel">
    <vt:lpwstr>Email:</vt:lpwstr>
  </property>
  <property fmtid="{D5CDD505-2E9C-101B-9397-08002B2CF9AE}" pid="5" name="Website">
    <vt:lpwstr>- www.health.gov.au</vt:lpwstr>
  </property>
  <property fmtid="{D5CDD505-2E9C-101B-9397-08002B2CF9AE}" pid="6" name="PhoneValue">
    <vt:lpwstr>(02) 6289 9100</vt:lpwstr>
  </property>
  <property fmtid="{D5CDD505-2E9C-101B-9397-08002B2CF9AE}" pid="7" name="EmailValue">
    <vt:lpwstr>Caroline.Edwards@health.gov.au</vt:lpwstr>
  </property>
</Properties>
</file>