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34B14" w14:textId="77777777" w:rsidR="00347819" w:rsidRPr="003C418C" w:rsidRDefault="00347819" w:rsidP="00347819">
      <w:pPr>
        <w:spacing w:after="0"/>
        <w:rPr>
          <w:rFonts w:ascii="Arial" w:hAnsi="Arial" w:cs="Arial"/>
          <w:sz w:val="24"/>
        </w:rPr>
      </w:pPr>
      <w:r w:rsidRPr="003C418C">
        <w:rPr>
          <w:rFonts w:ascii="Arial" w:hAnsi="Arial" w:cs="Arial"/>
          <w:sz w:val="24"/>
        </w:rPr>
        <w:t>20 November 2019</w:t>
      </w:r>
    </w:p>
    <w:p w14:paraId="5AE41269" w14:textId="77777777" w:rsidR="00347819" w:rsidRPr="003C418C" w:rsidRDefault="00347819" w:rsidP="00347819">
      <w:pPr>
        <w:spacing w:after="0"/>
        <w:rPr>
          <w:rFonts w:ascii="Arial" w:hAnsi="Arial" w:cs="Arial"/>
          <w:sz w:val="24"/>
        </w:rPr>
      </w:pPr>
    </w:p>
    <w:p w14:paraId="7AA31F4E" w14:textId="77777777" w:rsidR="00347819" w:rsidRPr="003C418C" w:rsidRDefault="00347819" w:rsidP="00347819">
      <w:pPr>
        <w:spacing w:after="0"/>
        <w:rPr>
          <w:rFonts w:ascii="Arial" w:hAnsi="Arial" w:cs="Arial"/>
          <w:sz w:val="24"/>
        </w:rPr>
      </w:pPr>
      <w:r w:rsidRPr="003C418C">
        <w:rPr>
          <w:rFonts w:ascii="Arial" w:hAnsi="Arial" w:cs="Arial"/>
          <w:sz w:val="24"/>
        </w:rPr>
        <w:t xml:space="preserve">Office of the Australian </w:t>
      </w:r>
      <w:r w:rsidR="003955C0" w:rsidRPr="003C418C">
        <w:rPr>
          <w:rFonts w:ascii="Arial" w:hAnsi="Arial" w:cs="Arial"/>
          <w:sz w:val="24"/>
        </w:rPr>
        <w:t>Information Commissioner</w:t>
      </w:r>
    </w:p>
    <w:p w14:paraId="5EF4F962" w14:textId="77777777" w:rsidR="00347819" w:rsidRPr="003C418C" w:rsidRDefault="00347819" w:rsidP="00347819">
      <w:pPr>
        <w:spacing w:after="0"/>
        <w:rPr>
          <w:rFonts w:ascii="Arial" w:hAnsi="Arial" w:cs="Arial"/>
          <w:sz w:val="24"/>
        </w:rPr>
      </w:pPr>
      <w:r w:rsidRPr="003C418C">
        <w:rPr>
          <w:rFonts w:ascii="Arial" w:hAnsi="Arial" w:cs="Arial"/>
          <w:sz w:val="24"/>
        </w:rPr>
        <w:t>GPO Box 5218</w:t>
      </w:r>
      <w:r w:rsidRPr="003C418C">
        <w:rPr>
          <w:rFonts w:ascii="Arial" w:hAnsi="Arial" w:cs="Arial"/>
          <w:sz w:val="24"/>
        </w:rPr>
        <w:br/>
        <w:t>Sydney NSW 2001</w:t>
      </w:r>
    </w:p>
    <w:p w14:paraId="770FFCCA" w14:textId="77777777" w:rsidR="00347819" w:rsidRPr="003C418C" w:rsidRDefault="00347819" w:rsidP="00347819">
      <w:pPr>
        <w:spacing w:after="0"/>
        <w:rPr>
          <w:rFonts w:ascii="Arial" w:hAnsi="Arial" w:cs="Arial"/>
          <w:sz w:val="24"/>
        </w:rPr>
      </w:pPr>
      <w:r w:rsidRPr="003C418C">
        <w:rPr>
          <w:rFonts w:ascii="Arial" w:hAnsi="Arial" w:cs="Arial"/>
          <w:sz w:val="24"/>
        </w:rPr>
        <w:t xml:space="preserve">Via email: </w:t>
      </w:r>
      <w:hyperlink r:id="rId7" w:history="1">
        <w:r w:rsidRPr="003C418C">
          <w:rPr>
            <w:rStyle w:val="Hyperlink"/>
            <w:rFonts w:ascii="Arial" w:hAnsi="Arial" w:cs="Arial"/>
            <w:sz w:val="24"/>
          </w:rPr>
          <w:t>consultation@oaic.gov.au</w:t>
        </w:r>
      </w:hyperlink>
      <w:r w:rsidRPr="003C418C">
        <w:rPr>
          <w:rFonts w:ascii="Arial" w:hAnsi="Arial" w:cs="Arial"/>
          <w:sz w:val="24"/>
        </w:rPr>
        <w:t xml:space="preserve"> </w:t>
      </w:r>
    </w:p>
    <w:p w14:paraId="3B61C992" w14:textId="77777777" w:rsidR="00347819" w:rsidRPr="003C418C" w:rsidRDefault="00347819" w:rsidP="00347819">
      <w:pPr>
        <w:spacing w:after="0"/>
        <w:rPr>
          <w:rFonts w:ascii="Arial" w:hAnsi="Arial" w:cs="Arial"/>
          <w:sz w:val="24"/>
        </w:rPr>
      </w:pPr>
    </w:p>
    <w:p w14:paraId="317EA701" w14:textId="77777777" w:rsidR="00347819" w:rsidRPr="003C418C" w:rsidRDefault="00347819" w:rsidP="00D91383">
      <w:pPr>
        <w:pStyle w:val="Heading1"/>
        <w:spacing w:before="0"/>
        <w:rPr>
          <w:rFonts w:ascii="Arial" w:hAnsi="Arial" w:cs="Arial"/>
          <w:color w:val="auto"/>
          <w:sz w:val="24"/>
          <w:szCs w:val="22"/>
        </w:rPr>
      </w:pPr>
      <w:r w:rsidRPr="003C418C">
        <w:rPr>
          <w:rFonts w:ascii="Arial" w:hAnsi="Arial" w:cs="Arial"/>
          <w:color w:val="auto"/>
          <w:sz w:val="24"/>
          <w:szCs w:val="22"/>
        </w:rPr>
        <w:t>Re: Draft CDR Privacy Safeguard Guidelines</w:t>
      </w:r>
    </w:p>
    <w:p w14:paraId="62D99758" w14:textId="77777777" w:rsidR="00347819" w:rsidRPr="003C418C" w:rsidRDefault="003955C0" w:rsidP="00347819">
      <w:pPr>
        <w:pStyle w:val="BodyText1"/>
        <w:rPr>
          <w:sz w:val="24"/>
        </w:rPr>
      </w:pPr>
      <w:r w:rsidRPr="003C418C">
        <w:rPr>
          <w:sz w:val="24"/>
        </w:rPr>
        <w:t xml:space="preserve">The </w:t>
      </w:r>
      <w:bookmarkStart w:id="0" w:name="_GoBack"/>
      <w:r w:rsidRPr="003C418C">
        <w:rPr>
          <w:sz w:val="24"/>
        </w:rPr>
        <w:t xml:space="preserve">Australian Communications Consumer Action Network </w:t>
      </w:r>
      <w:bookmarkEnd w:id="0"/>
      <w:r w:rsidRPr="003C418C">
        <w:rPr>
          <w:sz w:val="24"/>
        </w:rPr>
        <w:t>(</w:t>
      </w:r>
      <w:r w:rsidR="00347819" w:rsidRPr="003C418C">
        <w:rPr>
          <w:sz w:val="24"/>
        </w:rPr>
        <w:t>ACCAN</w:t>
      </w:r>
      <w:r w:rsidRPr="003C418C">
        <w:rPr>
          <w:sz w:val="24"/>
        </w:rPr>
        <w:t>)</w:t>
      </w:r>
      <w:r w:rsidR="00347819" w:rsidRPr="003C418C">
        <w:rPr>
          <w:sz w:val="24"/>
        </w:rPr>
        <w:t xml:space="preserve"> thanks the </w:t>
      </w:r>
      <w:r w:rsidRPr="003C418C">
        <w:rPr>
          <w:sz w:val="24"/>
        </w:rPr>
        <w:t>Office of the Australian Information Commissioner (</w:t>
      </w:r>
      <w:r w:rsidR="00347819" w:rsidRPr="003C418C">
        <w:rPr>
          <w:sz w:val="24"/>
        </w:rPr>
        <w:t>OAIC</w:t>
      </w:r>
      <w:r w:rsidRPr="003C418C">
        <w:rPr>
          <w:sz w:val="24"/>
        </w:rPr>
        <w:t>)</w:t>
      </w:r>
      <w:r w:rsidR="00347819" w:rsidRPr="003C418C">
        <w:rPr>
          <w:sz w:val="24"/>
        </w:rPr>
        <w:t xml:space="preserve"> for the opportunity to </w:t>
      </w:r>
      <w:r w:rsidR="001F436F" w:rsidRPr="003C418C">
        <w:rPr>
          <w:sz w:val="24"/>
        </w:rPr>
        <w:t>provide feedback on</w:t>
      </w:r>
      <w:r w:rsidR="00347819" w:rsidRPr="003C418C">
        <w:rPr>
          <w:sz w:val="24"/>
        </w:rPr>
        <w:t xml:space="preserve"> the Draft Consumer Data Right (CDR) Privacy Safeguard Guidelines</w:t>
      </w:r>
      <w:r w:rsidR="00617D0B" w:rsidRPr="003C418C">
        <w:rPr>
          <w:sz w:val="24"/>
        </w:rPr>
        <w:t xml:space="preserve"> (the Draft Guidelines)</w:t>
      </w:r>
      <w:r w:rsidR="00347819" w:rsidRPr="003C418C">
        <w:rPr>
          <w:sz w:val="24"/>
        </w:rPr>
        <w:t>.</w:t>
      </w:r>
      <w:r w:rsidRPr="003C418C">
        <w:rPr>
          <w:sz w:val="24"/>
        </w:rPr>
        <w:t xml:space="preserve"> </w:t>
      </w:r>
    </w:p>
    <w:p w14:paraId="508FFDD5" w14:textId="77777777" w:rsidR="005F614B" w:rsidRPr="003C418C" w:rsidRDefault="00347819" w:rsidP="00347819">
      <w:pPr>
        <w:pStyle w:val="BodyText1"/>
        <w:rPr>
          <w:rFonts w:eastAsiaTheme="minorEastAsia"/>
          <w:color w:val="auto"/>
          <w:sz w:val="24"/>
          <w:lang w:eastAsia="en-AU"/>
        </w:rPr>
      </w:pPr>
      <w:r w:rsidRPr="003C418C">
        <w:rPr>
          <w:rFonts w:eastAsiaTheme="minorEastAsia"/>
          <w:color w:val="auto"/>
          <w:sz w:val="24"/>
          <w:lang w:eastAsia="en-AU"/>
        </w:rPr>
        <w:t xml:space="preserve">ACCAN is the peak body that represents all consumers on communications issues including telecommunications, broadband and emerging new services. ACCAN provides a strong unified voice to industry and government as consumers work towards communications services that are trusted, inclusive and available for all. </w:t>
      </w:r>
    </w:p>
    <w:p w14:paraId="3F09BFAD" w14:textId="77777777" w:rsidR="00347819" w:rsidRPr="003C418C" w:rsidRDefault="005F614B" w:rsidP="00347819">
      <w:pPr>
        <w:pStyle w:val="BodyText1"/>
        <w:rPr>
          <w:rFonts w:eastAsiaTheme="minorEastAsia"/>
          <w:color w:val="auto"/>
          <w:sz w:val="24"/>
          <w:lang w:eastAsia="en-AU"/>
        </w:rPr>
      </w:pPr>
      <w:r w:rsidRPr="003C418C">
        <w:rPr>
          <w:rFonts w:eastAsiaTheme="minorEastAsia"/>
          <w:color w:val="auto"/>
          <w:sz w:val="24"/>
          <w:lang w:eastAsia="en-AU"/>
        </w:rPr>
        <w:t xml:space="preserve">ACCAN has an interest in the current consultation as the development and implementation of the CDR regime will influence the rollout of the CDR regime within the telecommunications sector. </w:t>
      </w:r>
      <w:r w:rsidR="00BD31DA" w:rsidRPr="003C418C">
        <w:rPr>
          <w:rFonts w:eastAsiaTheme="minorEastAsia"/>
          <w:color w:val="auto"/>
          <w:sz w:val="24"/>
          <w:lang w:eastAsia="en-AU"/>
        </w:rPr>
        <w:t>We have</w:t>
      </w:r>
      <w:r w:rsidR="00347819" w:rsidRPr="003C418C">
        <w:rPr>
          <w:rFonts w:eastAsiaTheme="minorEastAsia"/>
          <w:color w:val="auto"/>
          <w:sz w:val="24"/>
          <w:lang w:eastAsia="en-AU"/>
        </w:rPr>
        <w:t xml:space="preserve"> made previous submissions to the Treasury</w:t>
      </w:r>
      <w:r w:rsidR="003955C0" w:rsidRPr="003C418C">
        <w:rPr>
          <w:rStyle w:val="FootnoteReference"/>
          <w:rFonts w:eastAsiaTheme="minorEastAsia"/>
          <w:color w:val="auto"/>
          <w:sz w:val="24"/>
          <w:lang w:eastAsia="en-AU"/>
        </w:rPr>
        <w:footnoteReference w:id="1"/>
      </w:r>
      <w:r w:rsidR="00347819" w:rsidRPr="003C418C">
        <w:rPr>
          <w:rFonts w:eastAsiaTheme="minorEastAsia"/>
          <w:color w:val="auto"/>
          <w:sz w:val="24"/>
          <w:lang w:eastAsia="en-AU"/>
        </w:rPr>
        <w:t xml:space="preserve"> and the Australian Competition and Consumer Commission (ACCC)</w:t>
      </w:r>
      <w:r w:rsidR="00BD31DA" w:rsidRPr="003C418C">
        <w:rPr>
          <w:rStyle w:val="FootnoteReference"/>
          <w:rFonts w:eastAsiaTheme="minorEastAsia"/>
          <w:color w:val="auto"/>
          <w:sz w:val="24"/>
          <w:lang w:eastAsia="en-AU"/>
        </w:rPr>
        <w:footnoteReference w:id="2"/>
      </w:r>
      <w:r w:rsidR="00347819" w:rsidRPr="003C418C">
        <w:rPr>
          <w:rFonts w:eastAsiaTheme="minorEastAsia"/>
          <w:color w:val="auto"/>
          <w:sz w:val="24"/>
          <w:lang w:eastAsia="en-AU"/>
        </w:rPr>
        <w:t xml:space="preserve"> regarding the CDR regime, and will continue to monitor its implemen</w:t>
      </w:r>
      <w:r w:rsidR="00D91383" w:rsidRPr="003C418C">
        <w:rPr>
          <w:rFonts w:eastAsiaTheme="minorEastAsia"/>
          <w:color w:val="auto"/>
          <w:sz w:val="24"/>
          <w:lang w:eastAsia="en-AU"/>
        </w:rPr>
        <w:t xml:space="preserve">tation across different sectors in anticipation of its application to </w:t>
      </w:r>
      <w:r w:rsidR="00347819" w:rsidRPr="003C418C">
        <w:rPr>
          <w:rFonts w:eastAsiaTheme="minorEastAsia"/>
          <w:color w:val="auto"/>
          <w:sz w:val="24"/>
          <w:lang w:eastAsia="en-AU"/>
        </w:rPr>
        <w:t xml:space="preserve">the telecommunications sector. </w:t>
      </w:r>
    </w:p>
    <w:p w14:paraId="740B2DE1" w14:textId="77777777" w:rsidR="004B1733" w:rsidRPr="003C418C" w:rsidRDefault="004B1733" w:rsidP="00D91383">
      <w:pPr>
        <w:pStyle w:val="Heading2"/>
        <w:rPr>
          <w:rFonts w:ascii="Arial" w:eastAsiaTheme="minorEastAsia" w:hAnsi="Arial" w:cs="Arial"/>
          <w:b w:val="0"/>
          <w:color w:val="auto"/>
          <w:sz w:val="24"/>
          <w:szCs w:val="22"/>
          <w:u w:val="single"/>
        </w:rPr>
      </w:pPr>
      <w:r w:rsidRPr="003C418C">
        <w:rPr>
          <w:rFonts w:ascii="Arial" w:eastAsiaTheme="minorEastAsia" w:hAnsi="Arial" w:cs="Arial"/>
          <w:b w:val="0"/>
          <w:color w:val="auto"/>
          <w:sz w:val="24"/>
          <w:szCs w:val="22"/>
          <w:u w:val="single"/>
        </w:rPr>
        <w:t>‘Possible adverse consequences’</w:t>
      </w:r>
    </w:p>
    <w:p w14:paraId="6BEC0F5D" w14:textId="77777777" w:rsidR="004B1733" w:rsidRPr="003C418C" w:rsidRDefault="001023AB" w:rsidP="004B1733">
      <w:pPr>
        <w:pStyle w:val="BodyText1"/>
        <w:rPr>
          <w:color w:val="auto"/>
          <w:sz w:val="24"/>
        </w:rPr>
      </w:pPr>
      <w:r w:rsidRPr="003C418C">
        <w:rPr>
          <w:color w:val="auto"/>
          <w:sz w:val="24"/>
        </w:rPr>
        <w:t>While we note that ‘adverse consequences for a consumer’ is referenced in the Draft Guidelines</w:t>
      </w:r>
      <w:r w:rsidRPr="003C418C">
        <w:rPr>
          <w:rStyle w:val="FootnoteReference"/>
          <w:color w:val="auto"/>
          <w:sz w:val="24"/>
        </w:rPr>
        <w:footnoteReference w:id="3"/>
      </w:r>
      <w:r w:rsidRPr="003C418C">
        <w:rPr>
          <w:color w:val="auto"/>
          <w:sz w:val="24"/>
        </w:rPr>
        <w:t xml:space="preserve"> as something for </w:t>
      </w:r>
      <w:r w:rsidR="00E006C2" w:rsidRPr="003C418C">
        <w:rPr>
          <w:color w:val="auto"/>
          <w:sz w:val="24"/>
        </w:rPr>
        <w:t xml:space="preserve">CDR </w:t>
      </w:r>
      <w:r w:rsidRPr="003C418C">
        <w:rPr>
          <w:color w:val="auto"/>
          <w:sz w:val="24"/>
        </w:rPr>
        <w:t xml:space="preserve">entities to consider, ACCAN believes that there should be further guidance in relation to this throughout the Draft Guidelines. </w:t>
      </w:r>
      <w:r w:rsidR="00E006C2" w:rsidRPr="003C418C">
        <w:rPr>
          <w:color w:val="auto"/>
          <w:sz w:val="24"/>
        </w:rPr>
        <w:t>Additional</w:t>
      </w:r>
      <w:r w:rsidRPr="003C418C">
        <w:rPr>
          <w:color w:val="auto"/>
          <w:sz w:val="24"/>
        </w:rPr>
        <w:t xml:space="preserve"> examples </w:t>
      </w:r>
      <w:r w:rsidR="00E062BE">
        <w:rPr>
          <w:color w:val="auto"/>
          <w:sz w:val="24"/>
        </w:rPr>
        <w:t xml:space="preserve">or scenarios explaining the real life impact for consumers </w:t>
      </w:r>
      <w:r w:rsidRPr="003C418C">
        <w:rPr>
          <w:color w:val="auto"/>
          <w:sz w:val="24"/>
        </w:rPr>
        <w:t>could help to ensure that different CDR entities have a more standardised understanding of a) what adverse consequences entail and b) the spectrum of circumstances that may affect whether not handling CDR data in accordance with the CDR regime will have adverse consequences for a consumer</w:t>
      </w:r>
      <w:r w:rsidR="004F6146" w:rsidRPr="003C418C">
        <w:rPr>
          <w:color w:val="auto"/>
          <w:sz w:val="24"/>
        </w:rPr>
        <w:t>. ACCAN believes further examples</w:t>
      </w:r>
      <w:r w:rsidR="00E062BE">
        <w:rPr>
          <w:color w:val="auto"/>
          <w:sz w:val="24"/>
        </w:rPr>
        <w:t xml:space="preserve"> or scenarios</w:t>
      </w:r>
      <w:r w:rsidR="004F6146" w:rsidRPr="003C418C">
        <w:rPr>
          <w:color w:val="auto"/>
          <w:sz w:val="24"/>
        </w:rPr>
        <w:t xml:space="preserve"> are important </w:t>
      </w:r>
      <w:r w:rsidRPr="003C418C">
        <w:rPr>
          <w:color w:val="auto"/>
          <w:sz w:val="24"/>
        </w:rPr>
        <w:t xml:space="preserve">as </w:t>
      </w:r>
      <w:r w:rsidR="004F6146" w:rsidRPr="003C418C">
        <w:rPr>
          <w:color w:val="auto"/>
          <w:sz w:val="24"/>
        </w:rPr>
        <w:t>‘</w:t>
      </w:r>
      <w:r w:rsidRPr="003C418C">
        <w:rPr>
          <w:color w:val="auto"/>
          <w:sz w:val="24"/>
        </w:rPr>
        <w:t>possible adverse consequences for consumers</w:t>
      </w:r>
      <w:r w:rsidR="004F6146" w:rsidRPr="003C418C">
        <w:rPr>
          <w:color w:val="auto"/>
          <w:sz w:val="24"/>
        </w:rPr>
        <w:t>’</w:t>
      </w:r>
      <w:r w:rsidRPr="003C418C">
        <w:rPr>
          <w:color w:val="auto"/>
          <w:sz w:val="24"/>
        </w:rPr>
        <w:t xml:space="preserve"> are </w:t>
      </w:r>
      <w:r w:rsidRPr="003C418C">
        <w:rPr>
          <w:color w:val="auto"/>
          <w:sz w:val="24"/>
        </w:rPr>
        <w:lastRenderedPageBreak/>
        <w:t xml:space="preserve">referenced throughout the Draft Guidelines in relation to determining whether a CDR entity took ‘reasonable’ steps or actions. </w:t>
      </w:r>
    </w:p>
    <w:p w14:paraId="5A166216" w14:textId="77777777" w:rsidR="004B1733" w:rsidRPr="003C418C" w:rsidRDefault="004F6146" w:rsidP="00D91383">
      <w:pPr>
        <w:pStyle w:val="Heading2"/>
        <w:rPr>
          <w:rFonts w:ascii="Arial" w:eastAsiaTheme="minorEastAsia" w:hAnsi="Arial" w:cs="Arial"/>
          <w:b w:val="0"/>
          <w:color w:val="auto"/>
          <w:sz w:val="24"/>
          <w:szCs w:val="22"/>
          <w:u w:val="single"/>
        </w:rPr>
      </w:pPr>
      <w:r w:rsidRPr="003C418C">
        <w:rPr>
          <w:rFonts w:ascii="Arial" w:eastAsiaTheme="minorEastAsia" w:hAnsi="Arial" w:cs="Arial"/>
          <w:b w:val="0"/>
          <w:color w:val="auto"/>
          <w:sz w:val="24"/>
          <w:szCs w:val="22"/>
          <w:u w:val="single"/>
        </w:rPr>
        <w:t>‘Reasonable</w:t>
      </w:r>
      <w:r w:rsidR="004B1733" w:rsidRPr="003C418C">
        <w:rPr>
          <w:rFonts w:ascii="Arial" w:eastAsiaTheme="minorEastAsia" w:hAnsi="Arial" w:cs="Arial"/>
          <w:b w:val="0"/>
          <w:color w:val="auto"/>
          <w:sz w:val="24"/>
          <w:szCs w:val="22"/>
          <w:u w:val="single"/>
        </w:rPr>
        <w:t xml:space="preserve"> steps</w:t>
      </w:r>
      <w:r w:rsidRPr="003C418C">
        <w:rPr>
          <w:rFonts w:ascii="Arial" w:eastAsiaTheme="minorEastAsia" w:hAnsi="Arial" w:cs="Arial"/>
          <w:b w:val="0"/>
          <w:color w:val="auto"/>
          <w:sz w:val="24"/>
          <w:szCs w:val="22"/>
          <w:u w:val="single"/>
        </w:rPr>
        <w:t>’</w:t>
      </w:r>
    </w:p>
    <w:p w14:paraId="27BDD736" w14:textId="77777777" w:rsidR="001023AB" w:rsidRPr="003C418C" w:rsidRDefault="001023AB" w:rsidP="001023AB">
      <w:pPr>
        <w:pStyle w:val="BodyText1"/>
        <w:rPr>
          <w:color w:val="auto"/>
          <w:sz w:val="24"/>
        </w:rPr>
      </w:pPr>
      <w:r w:rsidRPr="003C418C">
        <w:rPr>
          <w:color w:val="auto"/>
          <w:sz w:val="24"/>
        </w:rPr>
        <w:t>Throughout the Draft Guidelines it is explained that what is considered ‘reasonable’ for one CDR entity will differ to what’s considered ‘reasonable’ for another. Different entities will need to put in place different mechanisms, checks and balances to ensure that it is compliant with the CDR regime. Furthermore, the size, resources and complexity of the CDR entity, amongst other things</w:t>
      </w:r>
      <w:r w:rsidR="004F6146" w:rsidRPr="003C418C">
        <w:rPr>
          <w:color w:val="auto"/>
          <w:sz w:val="24"/>
        </w:rPr>
        <w:t xml:space="preserve"> (including </w:t>
      </w:r>
      <w:r w:rsidRPr="003C418C">
        <w:rPr>
          <w:color w:val="auto"/>
          <w:sz w:val="24"/>
        </w:rPr>
        <w:t>possible adv</w:t>
      </w:r>
      <w:r w:rsidR="004F6146" w:rsidRPr="003C418C">
        <w:rPr>
          <w:color w:val="auto"/>
          <w:sz w:val="24"/>
        </w:rPr>
        <w:t>erse consequences for consumers</w:t>
      </w:r>
      <w:r w:rsidRPr="003C418C">
        <w:rPr>
          <w:color w:val="auto"/>
          <w:sz w:val="24"/>
        </w:rPr>
        <w:t>, as mentioned above)</w:t>
      </w:r>
      <w:r w:rsidR="004F6146" w:rsidRPr="003C418C">
        <w:rPr>
          <w:color w:val="auto"/>
          <w:sz w:val="24"/>
        </w:rPr>
        <w:t>, will also impact on whether steps taken by a CDR entity are deemed reasonable</w:t>
      </w:r>
      <w:r w:rsidRPr="003C418C">
        <w:rPr>
          <w:color w:val="auto"/>
          <w:sz w:val="24"/>
        </w:rPr>
        <w:t>.</w:t>
      </w:r>
      <w:r w:rsidRPr="003C418C">
        <w:rPr>
          <w:rStyle w:val="FootnoteReference"/>
          <w:color w:val="auto"/>
          <w:sz w:val="24"/>
        </w:rPr>
        <w:footnoteReference w:id="4"/>
      </w:r>
      <w:r w:rsidRPr="003C418C">
        <w:rPr>
          <w:color w:val="auto"/>
          <w:sz w:val="24"/>
        </w:rPr>
        <w:t xml:space="preserve"> </w:t>
      </w:r>
    </w:p>
    <w:p w14:paraId="38F5F7B4" w14:textId="77777777" w:rsidR="001023AB" w:rsidRPr="003C418C" w:rsidRDefault="004F6146" w:rsidP="001023AB">
      <w:pPr>
        <w:pStyle w:val="BodyText1"/>
        <w:rPr>
          <w:color w:val="auto"/>
          <w:sz w:val="24"/>
        </w:rPr>
      </w:pPr>
      <w:r w:rsidRPr="003C418C">
        <w:rPr>
          <w:color w:val="auto"/>
          <w:sz w:val="24"/>
        </w:rPr>
        <w:t>While some examples of reasonable</w:t>
      </w:r>
      <w:r w:rsidR="00617D0B" w:rsidRPr="003C418C">
        <w:rPr>
          <w:color w:val="auto"/>
          <w:sz w:val="24"/>
        </w:rPr>
        <w:t xml:space="preserve"> steps are provided in chapter 11,</w:t>
      </w:r>
      <w:r w:rsidR="00617D0B" w:rsidRPr="003C418C">
        <w:rPr>
          <w:rStyle w:val="FootnoteReference"/>
          <w:color w:val="auto"/>
          <w:sz w:val="24"/>
        </w:rPr>
        <w:footnoteReference w:id="5"/>
      </w:r>
      <w:r w:rsidR="00617D0B" w:rsidRPr="003C418C">
        <w:rPr>
          <w:color w:val="auto"/>
          <w:sz w:val="24"/>
        </w:rPr>
        <w:t xml:space="preserve"> g</w:t>
      </w:r>
      <w:r w:rsidR="001023AB" w:rsidRPr="003C418C">
        <w:rPr>
          <w:color w:val="auto"/>
          <w:sz w:val="24"/>
        </w:rPr>
        <w:t>iven the d</w:t>
      </w:r>
      <w:r w:rsidRPr="003C418C">
        <w:rPr>
          <w:color w:val="auto"/>
          <w:sz w:val="24"/>
        </w:rPr>
        <w:t>isparity in what is considered reasonable</w:t>
      </w:r>
      <w:r w:rsidR="001023AB" w:rsidRPr="003C418C">
        <w:rPr>
          <w:color w:val="auto"/>
          <w:sz w:val="24"/>
        </w:rPr>
        <w:t xml:space="preserve"> additional examples </w:t>
      </w:r>
      <w:r w:rsidRPr="003C418C">
        <w:rPr>
          <w:color w:val="auto"/>
          <w:sz w:val="24"/>
        </w:rPr>
        <w:t>should</w:t>
      </w:r>
      <w:r w:rsidR="001023AB" w:rsidRPr="003C418C">
        <w:rPr>
          <w:color w:val="auto"/>
          <w:sz w:val="24"/>
        </w:rPr>
        <w:t xml:space="preserve"> be included in </w:t>
      </w:r>
      <w:r w:rsidRPr="003C418C">
        <w:rPr>
          <w:color w:val="auto"/>
          <w:sz w:val="24"/>
        </w:rPr>
        <w:t>the Draft Guidelines detailing what</w:t>
      </w:r>
      <w:r w:rsidR="001023AB" w:rsidRPr="003C418C">
        <w:rPr>
          <w:color w:val="auto"/>
          <w:sz w:val="24"/>
        </w:rPr>
        <w:t xml:space="preserve"> </w:t>
      </w:r>
      <w:r w:rsidR="00617D0B" w:rsidRPr="003C418C">
        <w:rPr>
          <w:color w:val="auto"/>
          <w:sz w:val="24"/>
        </w:rPr>
        <w:t xml:space="preserve">may constitute </w:t>
      </w:r>
      <w:r w:rsidR="001023AB" w:rsidRPr="003C418C">
        <w:rPr>
          <w:color w:val="auto"/>
          <w:sz w:val="24"/>
        </w:rPr>
        <w:t>reasonable</w:t>
      </w:r>
      <w:r w:rsidR="00617D0B" w:rsidRPr="003C418C">
        <w:rPr>
          <w:color w:val="auto"/>
          <w:sz w:val="24"/>
        </w:rPr>
        <w:t xml:space="preserve"> steps. This must inclu</w:t>
      </w:r>
      <w:r w:rsidRPr="003C418C">
        <w:rPr>
          <w:color w:val="auto"/>
          <w:sz w:val="24"/>
        </w:rPr>
        <w:t>de guidance for the reasonable</w:t>
      </w:r>
      <w:r w:rsidR="00617D0B" w:rsidRPr="003C418C">
        <w:rPr>
          <w:color w:val="auto"/>
          <w:sz w:val="24"/>
        </w:rPr>
        <w:t xml:space="preserve"> steps that </w:t>
      </w:r>
      <w:r w:rsidR="001023AB" w:rsidRPr="003C418C">
        <w:rPr>
          <w:color w:val="auto"/>
          <w:sz w:val="24"/>
        </w:rPr>
        <w:t xml:space="preserve">a small business </w:t>
      </w:r>
      <w:r w:rsidR="00617D0B" w:rsidRPr="003C418C">
        <w:rPr>
          <w:color w:val="auto"/>
          <w:sz w:val="24"/>
        </w:rPr>
        <w:t>should</w:t>
      </w:r>
      <w:r w:rsidR="001023AB" w:rsidRPr="003C418C">
        <w:rPr>
          <w:color w:val="auto"/>
          <w:sz w:val="24"/>
        </w:rPr>
        <w:t xml:space="preserve"> take, as opposed to </w:t>
      </w:r>
      <w:r w:rsidR="00617D0B" w:rsidRPr="003C418C">
        <w:rPr>
          <w:color w:val="auto"/>
          <w:sz w:val="24"/>
        </w:rPr>
        <w:t xml:space="preserve">the actions </w:t>
      </w:r>
      <w:r w:rsidR="001023AB" w:rsidRPr="003C418C">
        <w:rPr>
          <w:color w:val="auto"/>
          <w:sz w:val="24"/>
        </w:rPr>
        <w:t xml:space="preserve">a larger business or </w:t>
      </w:r>
      <w:r w:rsidR="00617D0B" w:rsidRPr="003C418C">
        <w:rPr>
          <w:color w:val="auto"/>
          <w:sz w:val="24"/>
        </w:rPr>
        <w:t>corporation may be able to implement</w:t>
      </w:r>
      <w:r w:rsidR="001023AB" w:rsidRPr="003C418C">
        <w:rPr>
          <w:color w:val="auto"/>
          <w:sz w:val="24"/>
        </w:rPr>
        <w:t xml:space="preserve">. </w:t>
      </w:r>
    </w:p>
    <w:p w14:paraId="4F2C7A00" w14:textId="77777777" w:rsidR="00617D0B" w:rsidRPr="003C418C" w:rsidRDefault="00617D0B" w:rsidP="00617D0B">
      <w:pPr>
        <w:pStyle w:val="BodyText1"/>
        <w:rPr>
          <w:color w:val="auto"/>
          <w:sz w:val="24"/>
        </w:rPr>
      </w:pPr>
      <w:r w:rsidRPr="003C418C">
        <w:rPr>
          <w:color w:val="auto"/>
          <w:sz w:val="24"/>
        </w:rPr>
        <w:t>In some instances, it may be beneficial for consumers if the reasonable steps</w:t>
      </w:r>
      <w:r w:rsidR="004F6146" w:rsidRPr="003C418C">
        <w:rPr>
          <w:color w:val="auto"/>
          <w:sz w:val="24"/>
        </w:rPr>
        <w:t xml:space="preserve"> are made more explicit</w:t>
      </w:r>
      <w:r w:rsidRPr="003C418C">
        <w:rPr>
          <w:color w:val="auto"/>
          <w:sz w:val="24"/>
        </w:rPr>
        <w:t xml:space="preserve">. For instance, </w:t>
      </w:r>
      <w:r w:rsidR="004F6146" w:rsidRPr="003C418C">
        <w:rPr>
          <w:color w:val="auto"/>
          <w:sz w:val="24"/>
        </w:rPr>
        <w:t xml:space="preserve">chapter 8 </w:t>
      </w:r>
      <w:r w:rsidRPr="003C418C">
        <w:rPr>
          <w:color w:val="auto"/>
          <w:sz w:val="24"/>
        </w:rPr>
        <w:t xml:space="preserve">outlines what reasonable steps </w:t>
      </w:r>
      <w:r w:rsidRPr="003C418C">
        <w:rPr>
          <w:i/>
          <w:color w:val="auto"/>
          <w:sz w:val="24"/>
        </w:rPr>
        <w:t>may include</w:t>
      </w:r>
      <w:r w:rsidRPr="003C418C">
        <w:rPr>
          <w:color w:val="auto"/>
          <w:sz w:val="24"/>
        </w:rPr>
        <w:t xml:space="preserve"> in relation to ensuring that overseas recipients of CDR data can comply with the CDR regime.</w:t>
      </w:r>
      <w:r w:rsidR="004F6146" w:rsidRPr="003C418C">
        <w:rPr>
          <w:rStyle w:val="FootnoteReference"/>
          <w:color w:val="auto"/>
          <w:sz w:val="24"/>
        </w:rPr>
        <w:footnoteReference w:id="6"/>
      </w:r>
      <w:r w:rsidRPr="003C418C">
        <w:rPr>
          <w:color w:val="auto"/>
          <w:sz w:val="24"/>
        </w:rPr>
        <w:t xml:space="preserve"> CDR consumers may be interested to know what steps their CDR entity takes to </w:t>
      </w:r>
      <w:r w:rsidR="004F6146" w:rsidRPr="003C418C">
        <w:rPr>
          <w:color w:val="auto"/>
          <w:sz w:val="24"/>
        </w:rPr>
        <w:t>guarantee</w:t>
      </w:r>
      <w:r w:rsidRPr="003C418C">
        <w:rPr>
          <w:color w:val="auto"/>
          <w:sz w:val="24"/>
        </w:rPr>
        <w:t xml:space="preserve"> that the overseas recipient is able to meet the Privacy Safeguards in the handling of </w:t>
      </w:r>
      <w:r w:rsidR="004F6146" w:rsidRPr="003C418C">
        <w:rPr>
          <w:color w:val="auto"/>
          <w:sz w:val="24"/>
        </w:rPr>
        <w:t xml:space="preserve">their </w:t>
      </w:r>
      <w:r w:rsidRPr="003C418C">
        <w:rPr>
          <w:color w:val="auto"/>
          <w:sz w:val="24"/>
        </w:rPr>
        <w:t xml:space="preserve">CDR consumer data. </w:t>
      </w:r>
    </w:p>
    <w:p w14:paraId="78512205" w14:textId="77777777" w:rsidR="004B1733" w:rsidRPr="003C418C" w:rsidRDefault="00617D0B" w:rsidP="004B1733">
      <w:pPr>
        <w:pStyle w:val="BodyText1"/>
        <w:rPr>
          <w:color w:val="auto"/>
          <w:sz w:val="24"/>
        </w:rPr>
      </w:pPr>
      <w:r w:rsidRPr="003C418C">
        <w:rPr>
          <w:color w:val="auto"/>
          <w:sz w:val="24"/>
        </w:rPr>
        <w:t xml:space="preserve">Finally, in regards to </w:t>
      </w:r>
      <w:r w:rsidR="004F6146" w:rsidRPr="003C418C">
        <w:rPr>
          <w:color w:val="auto"/>
          <w:sz w:val="24"/>
        </w:rPr>
        <w:t>informing consumers about incorrect CDR data being disclosed, chapter 11 states that ‘it is not relevant whether the entity failed to take reasonable steps’</w:t>
      </w:r>
      <w:r w:rsidR="003A48ED" w:rsidRPr="003C418C">
        <w:rPr>
          <w:rStyle w:val="FootnoteReference"/>
          <w:color w:val="auto"/>
          <w:sz w:val="24"/>
        </w:rPr>
        <w:footnoteReference w:id="7"/>
      </w:r>
      <w:r w:rsidR="004F6146" w:rsidRPr="003C418C">
        <w:rPr>
          <w:color w:val="auto"/>
          <w:sz w:val="24"/>
        </w:rPr>
        <w:t xml:space="preserve"> to prev</w:t>
      </w:r>
      <w:r w:rsidRPr="003C418C">
        <w:rPr>
          <w:color w:val="auto"/>
          <w:sz w:val="24"/>
        </w:rPr>
        <w:t>ent the disclosure of incorrect CDR data. However, in order to facilitate greater transparency</w:t>
      </w:r>
      <w:r w:rsidR="003A48ED" w:rsidRPr="003C418C">
        <w:rPr>
          <w:color w:val="auto"/>
          <w:sz w:val="24"/>
        </w:rPr>
        <w:t xml:space="preserve"> within the CDR regime</w:t>
      </w:r>
      <w:r w:rsidRPr="003C418C">
        <w:rPr>
          <w:color w:val="auto"/>
          <w:sz w:val="24"/>
        </w:rPr>
        <w:t xml:space="preserve">, ACCAN feels that </w:t>
      </w:r>
      <w:r w:rsidR="003A48ED" w:rsidRPr="003C418C">
        <w:rPr>
          <w:color w:val="auto"/>
          <w:sz w:val="24"/>
        </w:rPr>
        <w:t xml:space="preserve">CDR </w:t>
      </w:r>
      <w:r w:rsidRPr="003C418C">
        <w:rPr>
          <w:color w:val="auto"/>
          <w:sz w:val="24"/>
        </w:rPr>
        <w:t xml:space="preserve">consumers have a right to know whether their data holder </w:t>
      </w:r>
      <w:r w:rsidR="003A48ED" w:rsidRPr="003C418C">
        <w:rPr>
          <w:color w:val="auto"/>
          <w:sz w:val="24"/>
        </w:rPr>
        <w:t>implemented, or is implementing,</w:t>
      </w:r>
      <w:r w:rsidRPr="003C418C">
        <w:rPr>
          <w:color w:val="auto"/>
          <w:sz w:val="24"/>
        </w:rPr>
        <w:t xml:space="preserve"> reasonable steps to ensure that their CDR data is accurate, up to date and complete. This may, for instance, impact on a </w:t>
      </w:r>
      <w:r w:rsidR="003A48ED" w:rsidRPr="003C418C">
        <w:rPr>
          <w:color w:val="auto"/>
          <w:sz w:val="24"/>
        </w:rPr>
        <w:t xml:space="preserve">CDR </w:t>
      </w:r>
      <w:r w:rsidRPr="003C418C">
        <w:rPr>
          <w:color w:val="auto"/>
          <w:sz w:val="24"/>
        </w:rPr>
        <w:t>consumer’s loyalty to a data holder, and may impact on their decision to seek services from another entity.</w:t>
      </w:r>
      <w:r w:rsidRPr="003C418C">
        <w:rPr>
          <w:rStyle w:val="FootnoteReference"/>
          <w:color w:val="auto"/>
          <w:sz w:val="24"/>
        </w:rPr>
        <w:footnoteReference w:id="8"/>
      </w:r>
    </w:p>
    <w:p w14:paraId="5B9319B8" w14:textId="77777777" w:rsidR="004B1733" w:rsidRPr="003C418C" w:rsidRDefault="00E25CCD" w:rsidP="00D91383">
      <w:pPr>
        <w:pStyle w:val="Heading2"/>
        <w:rPr>
          <w:rFonts w:ascii="Arial" w:eastAsiaTheme="minorEastAsia" w:hAnsi="Arial" w:cs="Arial"/>
          <w:b w:val="0"/>
          <w:color w:val="auto"/>
          <w:sz w:val="24"/>
          <w:szCs w:val="22"/>
          <w:u w:val="single"/>
        </w:rPr>
      </w:pPr>
      <w:r w:rsidRPr="003C418C">
        <w:rPr>
          <w:rFonts w:ascii="Arial" w:eastAsiaTheme="minorEastAsia" w:hAnsi="Arial" w:cs="Arial"/>
          <w:b w:val="0"/>
          <w:color w:val="auto"/>
          <w:sz w:val="24"/>
          <w:szCs w:val="22"/>
          <w:u w:val="single"/>
        </w:rPr>
        <w:t>Stronger language</w:t>
      </w:r>
    </w:p>
    <w:p w14:paraId="354E8415" w14:textId="77777777" w:rsidR="002052BD" w:rsidRPr="003C418C" w:rsidRDefault="002052BD" w:rsidP="002052BD">
      <w:pPr>
        <w:pStyle w:val="BodyText1"/>
        <w:rPr>
          <w:sz w:val="24"/>
        </w:rPr>
      </w:pPr>
      <w:r w:rsidRPr="003C418C">
        <w:rPr>
          <w:rFonts w:eastAsiaTheme="minorEastAsia"/>
          <w:color w:val="auto"/>
          <w:sz w:val="24"/>
          <w:lang w:eastAsia="en-AU"/>
        </w:rPr>
        <w:t xml:space="preserve">In some instances in the Draft Guidelines, ACCAN feels that the use of the word ‘could’, which refers to good privacy practice that supplements minimum compliance, should be replaced with the word ‘should’. Many of these relate to chapter 1. For </w:t>
      </w:r>
      <w:r w:rsidRPr="003C418C">
        <w:rPr>
          <w:rFonts w:eastAsiaTheme="minorEastAsia"/>
          <w:color w:val="auto"/>
          <w:sz w:val="24"/>
          <w:lang w:eastAsia="en-AU"/>
        </w:rPr>
        <w:lastRenderedPageBreak/>
        <w:t xml:space="preserve">instance, </w:t>
      </w:r>
      <w:r w:rsidRPr="003C418C">
        <w:rPr>
          <w:sz w:val="24"/>
        </w:rPr>
        <w:t>the suggestions within paragraph 1.25</w:t>
      </w:r>
      <w:r w:rsidRPr="003C418C">
        <w:rPr>
          <w:rStyle w:val="FootnoteReference"/>
          <w:sz w:val="24"/>
        </w:rPr>
        <w:footnoteReference w:id="9"/>
      </w:r>
      <w:r w:rsidRPr="003C418C">
        <w:rPr>
          <w:sz w:val="24"/>
        </w:rPr>
        <w:t xml:space="preserve"> regarding the establishment of robust and effective privacy practices, procedures and systems should be amended to be ‘should’ statements, rather than ‘could’ suggestions. </w:t>
      </w:r>
    </w:p>
    <w:p w14:paraId="202DE41C" w14:textId="77777777" w:rsidR="002052BD" w:rsidRPr="003C418C" w:rsidRDefault="002052BD" w:rsidP="004B1733">
      <w:pPr>
        <w:pStyle w:val="BodyText1"/>
        <w:rPr>
          <w:color w:val="auto"/>
          <w:sz w:val="24"/>
        </w:rPr>
      </w:pPr>
      <w:r w:rsidRPr="003C418C">
        <w:rPr>
          <w:sz w:val="24"/>
        </w:rPr>
        <w:t xml:space="preserve">Similarly, in relation to the CDR Policy to be developed by CDR entities, ACCAN recommends that CDR entities be required to provide information about when the </w:t>
      </w:r>
      <w:r w:rsidR="00E25CCD" w:rsidRPr="003C418C">
        <w:rPr>
          <w:sz w:val="24"/>
        </w:rPr>
        <w:t>P</w:t>
      </w:r>
      <w:r w:rsidRPr="003C418C">
        <w:rPr>
          <w:sz w:val="24"/>
        </w:rPr>
        <w:t xml:space="preserve">olicy was last updated and offer invitations for providing </w:t>
      </w:r>
      <w:r w:rsidR="00E25CCD" w:rsidRPr="003C418C">
        <w:rPr>
          <w:sz w:val="24"/>
        </w:rPr>
        <w:t>feedback on the P</w:t>
      </w:r>
      <w:r w:rsidRPr="003C418C">
        <w:rPr>
          <w:sz w:val="24"/>
        </w:rPr>
        <w:t>olicy.</w:t>
      </w:r>
      <w:r w:rsidRPr="003C418C">
        <w:rPr>
          <w:rStyle w:val="FootnoteReference"/>
          <w:sz w:val="24"/>
        </w:rPr>
        <w:footnoteReference w:id="10"/>
      </w:r>
      <w:r w:rsidRPr="003C418C">
        <w:rPr>
          <w:sz w:val="24"/>
        </w:rPr>
        <w:t xml:space="preserve"> This would allow greater transparency, information and context for CDR consumers, as they will know</w:t>
      </w:r>
      <w:r w:rsidR="00E25CCD" w:rsidRPr="003C418C">
        <w:rPr>
          <w:sz w:val="24"/>
        </w:rPr>
        <w:t xml:space="preserve"> when the CDR P</w:t>
      </w:r>
      <w:r w:rsidRPr="003C418C">
        <w:rPr>
          <w:sz w:val="24"/>
        </w:rPr>
        <w:t xml:space="preserve">olicy was last updated and what opportunities they have to provide their feedback or comments. </w:t>
      </w:r>
      <w:r w:rsidRPr="003C418C">
        <w:rPr>
          <w:color w:val="auto"/>
          <w:sz w:val="24"/>
        </w:rPr>
        <w:t xml:space="preserve">In relation to keeping documents and information up to date, </w:t>
      </w:r>
      <w:r w:rsidRPr="003C418C">
        <w:rPr>
          <w:sz w:val="24"/>
        </w:rPr>
        <w:t>clearer advice must</w:t>
      </w:r>
      <w:r w:rsidR="00E25CCD" w:rsidRPr="003C418C">
        <w:rPr>
          <w:sz w:val="24"/>
        </w:rPr>
        <w:t xml:space="preserve"> also</w:t>
      </w:r>
      <w:r w:rsidRPr="003C418C">
        <w:rPr>
          <w:sz w:val="24"/>
        </w:rPr>
        <w:t xml:space="preserve"> be offered regarding the timelines</w:t>
      </w:r>
      <w:r w:rsidR="001023AB" w:rsidRPr="003C418C">
        <w:rPr>
          <w:sz w:val="24"/>
        </w:rPr>
        <w:t xml:space="preserve"> for reviewing and updating a CDR management plan</w:t>
      </w:r>
      <w:r w:rsidRPr="003C418C">
        <w:rPr>
          <w:sz w:val="24"/>
        </w:rPr>
        <w:t>. Currently the Draft Guidelines only require that this plan be ‘regularly’ reviewed and updated</w:t>
      </w:r>
      <w:r w:rsidR="001023AB" w:rsidRPr="003C418C">
        <w:rPr>
          <w:sz w:val="24"/>
        </w:rPr>
        <w:t>,</w:t>
      </w:r>
      <w:r w:rsidRPr="003C418C">
        <w:rPr>
          <w:rStyle w:val="FootnoteReference"/>
          <w:sz w:val="24"/>
        </w:rPr>
        <w:footnoteReference w:id="11"/>
      </w:r>
      <w:r w:rsidRPr="003C418C">
        <w:rPr>
          <w:sz w:val="24"/>
        </w:rPr>
        <w:t xml:space="preserve"> </w:t>
      </w:r>
      <w:r w:rsidR="001023AB" w:rsidRPr="003C418C">
        <w:rPr>
          <w:sz w:val="24"/>
        </w:rPr>
        <w:t>whereas other frameworks and documents are required to be reviewed or updated at least annually.</w:t>
      </w:r>
      <w:r w:rsidR="001023AB" w:rsidRPr="003C418C">
        <w:rPr>
          <w:rStyle w:val="FootnoteReference"/>
          <w:sz w:val="24"/>
        </w:rPr>
        <w:footnoteReference w:id="12"/>
      </w:r>
    </w:p>
    <w:p w14:paraId="1B94CEC8" w14:textId="77777777" w:rsidR="004B1733" w:rsidRPr="003C418C" w:rsidRDefault="00E25CCD" w:rsidP="00D91383">
      <w:pPr>
        <w:pStyle w:val="Heading2"/>
        <w:rPr>
          <w:rFonts w:ascii="Arial" w:hAnsi="Arial" w:cs="Arial"/>
          <w:b w:val="0"/>
          <w:color w:val="auto"/>
          <w:sz w:val="24"/>
          <w:szCs w:val="22"/>
          <w:u w:val="single"/>
        </w:rPr>
      </w:pPr>
      <w:r w:rsidRPr="003C418C">
        <w:rPr>
          <w:rFonts w:ascii="Arial" w:hAnsi="Arial" w:cs="Arial"/>
          <w:b w:val="0"/>
          <w:color w:val="auto"/>
          <w:sz w:val="24"/>
          <w:szCs w:val="22"/>
          <w:u w:val="single"/>
        </w:rPr>
        <w:t>Additional e</w:t>
      </w:r>
      <w:r w:rsidR="004B1733" w:rsidRPr="003C418C">
        <w:rPr>
          <w:rFonts w:ascii="Arial" w:hAnsi="Arial" w:cs="Arial"/>
          <w:b w:val="0"/>
          <w:color w:val="auto"/>
          <w:sz w:val="24"/>
          <w:szCs w:val="22"/>
          <w:u w:val="single"/>
        </w:rPr>
        <w:t>xamples</w:t>
      </w:r>
    </w:p>
    <w:p w14:paraId="36CD8282" w14:textId="77777777" w:rsidR="004B1733" w:rsidRPr="003C418C" w:rsidRDefault="00353504" w:rsidP="00A10427">
      <w:pPr>
        <w:pStyle w:val="BodyText1"/>
        <w:rPr>
          <w:sz w:val="24"/>
        </w:rPr>
      </w:pPr>
      <w:r w:rsidRPr="003C418C">
        <w:rPr>
          <w:sz w:val="24"/>
        </w:rPr>
        <w:t xml:space="preserve">Some additional examples </w:t>
      </w:r>
      <w:r w:rsidR="00E25CCD" w:rsidRPr="003C418C">
        <w:rPr>
          <w:sz w:val="24"/>
        </w:rPr>
        <w:t xml:space="preserve">would help </w:t>
      </w:r>
      <w:r w:rsidRPr="003C418C">
        <w:rPr>
          <w:sz w:val="24"/>
        </w:rPr>
        <w:t>to illustrate t</w:t>
      </w:r>
      <w:r w:rsidR="00E25CCD" w:rsidRPr="003C418C">
        <w:rPr>
          <w:sz w:val="24"/>
        </w:rPr>
        <w:t>he different ways in which the Privacy S</w:t>
      </w:r>
      <w:r w:rsidRPr="003C418C">
        <w:rPr>
          <w:sz w:val="24"/>
        </w:rPr>
        <w:t xml:space="preserve">afeguards and the CDR Rules apply in certain situations. While we acknowledge that the examples provided in the Draft Guidelines are neither exhaustive nor prescriptive, we recommend that an example box be included in each chapter, in addition to the in-text examples. </w:t>
      </w:r>
      <w:r w:rsidR="00082CCE" w:rsidRPr="003C418C">
        <w:rPr>
          <w:sz w:val="24"/>
        </w:rPr>
        <w:t>Additional</w:t>
      </w:r>
      <w:r w:rsidRPr="003C418C">
        <w:rPr>
          <w:sz w:val="24"/>
        </w:rPr>
        <w:t xml:space="preserve"> examples or suggestions for implementation could be included within chapter 3 in particular, given that </w:t>
      </w:r>
      <w:r w:rsidR="00082CCE" w:rsidRPr="003C418C">
        <w:rPr>
          <w:sz w:val="24"/>
        </w:rPr>
        <w:t xml:space="preserve">consent is so crucial to the CDR regime. </w:t>
      </w:r>
    </w:p>
    <w:p w14:paraId="05148361" w14:textId="77777777" w:rsidR="00353504" w:rsidRPr="003C418C" w:rsidRDefault="00E25CCD" w:rsidP="00A10427">
      <w:pPr>
        <w:pStyle w:val="BodyText1"/>
        <w:rPr>
          <w:color w:val="auto"/>
          <w:sz w:val="24"/>
        </w:rPr>
      </w:pPr>
      <w:r w:rsidRPr="003C418C">
        <w:rPr>
          <w:sz w:val="24"/>
        </w:rPr>
        <w:t xml:space="preserve">Different resources </w:t>
      </w:r>
      <w:r w:rsidR="00082CCE" w:rsidRPr="003C418C">
        <w:rPr>
          <w:sz w:val="24"/>
        </w:rPr>
        <w:t>or links to more information could also aid comprehension of the Draft Guidelines, the Privacy Safeguards and CDR Rules. For instance, in chapter 1 a number of examples of possible practices, procedures and systems that could be implemented to meet Privacy Safeguard 1 are listed.</w:t>
      </w:r>
      <w:r w:rsidR="00082CCE" w:rsidRPr="003C418C">
        <w:rPr>
          <w:rStyle w:val="FootnoteReference"/>
          <w:sz w:val="24"/>
        </w:rPr>
        <w:footnoteReference w:id="13"/>
      </w:r>
      <w:r w:rsidR="00082CCE" w:rsidRPr="003C418C">
        <w:rPr>
          <w:sz w:val="24"/>
        </w:rPr>
        <w:t xml:space="preserve"> </w:t>
      </w:r>
      <w:r w:rsidR="00082CCE" w:rsidRPr="003C418C">
        <w:rPr>
          <w:color w:val="auto"/>
          <w:sz w:val="24"/>
        </w:rPr>
        <w:t xml:space="preserve">Additional resources may support CDR entities to develop </w:t>
      </w:r>
      <w:r w:rsidRPr="003C418C">
        <w:rPr>
          <w:color w:val="auto"/>
          <w:sz w:val="24"/>
        </w:rPr>
        <w:t>these – f</w:t>
      </w:r>
      <w:r w:rsidR="00082CCE" w:rsidRPr="003C418C">
        <w:rPr>
          <w:color w:val="auto"/>
          <w:sz w:val="24"/>
        </w:rPr>
        <w:t xml:space="preserve">or instance, the </w:t>
      </w:r>
      <w:r w:rsidRPr="003C418C">
        <w:rPr>
          <w:color w:val="auto"/>
          <w:sz w:val="24"/>
        </w:rPr>
        <w:t xml:space="preserve">Draft </w:t>
      </w:r>
      <w:r w:rsidR="00082CCE" w:rsidRPr="003C418C">
        <w:rPr>
          <w:color w:val="auto"/>
          <w:sz w:val="24"/>
        </w:rPr>
        <w:t>Guidelines could link to a template for a CDR data management plan.</w:t>
      </w:r>
      <w:r w:rsidR="00082CCE" w:rsidRPr="003C418C">
        <w:rPr>
          <w:sz w:val="24"/>
        </w:rPr>
        <w:t xml:space="preserve"> </w:t>
      </w:r>
      <w:r w:rsidR="00082CCE" w:rsidRPr="003C418C">
        <w:rPr>
          <w:color w:val="auto"/>
          <w:sz w:val="24"/>
        </w:rPr>
        <w:t>Similarly, more practical examples or guidance could be provided around using the ‘De-Identification Decision-Making Framework’</w:t>
      </w:r>
      <w:r w:rsidR="00082CCE" w:rsidRPr="003C418C">
        <w:rPr>
          <w:rStyle w:val="FootnoteReference"/>
          <w:color w:val="auto"/>
          <w:sz w:val="24"/>
        </w:rPr>
        <w:footnoteReference w:id="14"/>
      </w:r>
      <w:r w:rsidR="00082CCE" w:rsidRPr="003C418C">
        <w:rPr>
          <w:color w:val="auto"/>
          <w:sz w:val="24"/>
        </w:rPr>
        <w:t xml:space="preserve"> or links could be provided to where practical examples or guidance is available through the OAIC or Data61</w:t>
      </w:r>
      <w:r w:rsidRPr="003C418C">
        <w:rPr>
          <w:color w:val="auto"/>
          <w:sz w:val="24"/>
        </w:rPr>
        <w:t>.</w:t>
      </w:r>
    </w:p>
    <w:p w14:paraId="7F00E505" w14:textId="77777777" w:rsidR="00082CCE" w:rsidRDefault="00082CCE" w:rsidP="00A10427">
      <w:pPr>
        <w:pStyle w:val="BodyText1"/>
        <w:rPr>
          <w:color w:val="auto"/>
          <w:sz w:val="24"/>
        </w:rPr>
      </w:pPr>
      <w:r w:rsidRPr="003C418C">
        <w:rPr>
          <w:color w:val="auto"/>
          <w:sz w:val="24"/>
        </w:rPr>
        <w:t>It is important that all examples within the Draft Guidelines are reviewed to ensure that they are appropriate and aid understanding. For instance, the example used under paragraph 9.27</w:t>
      </w:r>
      <w:r w:rsidRPr="003C418C">
        <w:rPr>
          <w:rStyle w:val="FootnoteReference"/>
          <w:color w:val="auto"/>
          <w:sz w:val="24"/>
        </w:rPr>
        <w:footnoteReference w:id="15"/>
      </w:r>
      <w:r w:rsidRPr="003C418C">
        <w:rPr>
          <w:color w:val="auto"/>
          <w:sz w:val="24"/>
        </w:rPr>
        <w:t xml:space="preserve"> appears to relate to disclosure of government related </w:t>
      </w:r>
      <w:r w:rsidR="00E25CCD" w:rsidRPr="003C418C">
        <w:rPr>
          <w:color w:val="auto"/>
          <w:sz w:val="24"/>
        </w:rPr>
        <w:t>identifiers;</w:t>
      </w:r>
      <w:r w:rsidRPr="003C418C">
        <w:rPr>
          <w:color w:val="auto"/>
          <w:sz w:val="24"/>
        </w:rPr>
        <w:t xml:space="preserve"> </w:t>
      </w:r>
      <w:r w:rsidR="00E25CCD" w:rsidRPr="003C418C">
        <w:rPr>
          <w:color w:val="auto"/>
          <w:sz w:val="24"/>
        </w:rPr>
        <w:t>however</w:t>
      </w:r>
      <w:r w:rsidRPr="003C418C">
        <w:rPr>
          <w:color w:val="auto"/>
          <w:sz w:val="24"/>
        </w:rPr>
        <w:t xml:space="preserve"> its relationship to the preceding paragraph regarding regulations is unclear. In addition, within chapter 9 clarification</w:t>
      </w:r>
      <w:r w:rsidR="00E25CCD" w:rsidRPr="003C418C">
        <w:rPr>
          <w:color w:val="auto"/>
          <w:sz w:val="24"/>
        </w:rPr>
        <w:t>s</w:t>
      </w:r>
      <w:r w:rsidRPr="003C418C">
        <w:rPr>
          <w:color w:val="auto"/>
          <w:sz w:val="24"/>
        </w:rPr>
        <w:t xml:space="preserve"> should be made in relation to the </w:t>
      </w:r>
      <w:r w:rsidRPr="003C418C">
        <w:rPr>
          <w:color w:val="auto"/>
          <w:sz w:val="24"/>
        </w:rPr>
        <w:lastRenderedPageBreak/>
        <w:t>differences between adopting, using or disclosing government related identifiers. More specifically, further examples or review could help differentiate between ‘adopting’ and ‘using’ these identifiers,</w:t>
      </w:r>
      <w:r w:rsidRPr="003C418C">
        <w:rPr>
          <w:rStyle w:val="FootnoteReference"/>
          <w:color w:val="auto"/>
          <w:sz w:val="24"/>
        </w:rPr>
        <w:footnoteReference w:id="16"/>
      </w:r>
      <w:r w:rsidRPr="003C418C">
        <w:rPr>
          <w:color w:val="auto"/>
          <w:sz w:val="24"/>
        </w:rPr>
        <w:t xml:space="preserve"> as currently the example </w:t>
      </w:r>
      <w:r w:rsidR="00E25CCD" w:rsidRPr="003C418C">
        <w:rPr>
          <w:color w:val="auto"/>
          <w:sz w:val="24"/>
        </w:rPr>
        <w:t>appears</w:t>
      </w:r>
      <w:r w:rsidRPr="003C418C">
        <w:rPr>
          <w:color w:val="auto"/>
          <w:sz w:val="24"/>
        </w:rPr>
        <w:t xml:space="preserve"> to indicate little difference between these two terms.</w:t>
      </w:r>
    </w:p>
    <w:p w14:paraId="605EE747" w14:textId="77777777" w:rsidR="00E062BE" w:rsidRPr="003C418C" w:rsidRDefault="00E062BE" w:rsidP="00A10427">
      <w:pPr>
        <w:pStyle w:val="BodyText1"/>
        <w:rPr>
          <w:color w:val="auto"/>
          <w:sz w:val="24"/>
        </w:rPr>
      </w:pPr>
      <w:r>
        <w:rPr>
          <w:color w:val="auto"/>
          <w:sz w:val="24"/>
        </w:rPr>
        <w:t>In general, the Guidelines must be regularly reviewed to ensure that all content and examples remain relevant. Unforeseen issues may arise once the CDR is actually implemented, and such issues should be included in the Guidelines to help illustrate best practice or supplement existing guidance.</w:t>
      </w:r>
    </w:p>
    <w:p w14:paraId="33DB6F60" w14:textId="77777777" w:rsidR="00A10427" w:rsidRPr="003C418C" w:rsidRDefault="00A10427" w:rsidP="00D91383">
      <w:pPr>
        <w:pStyle w:val="Heading2"/>
        <w:rPr>
          <w:rFonts w:ascii="Arial" w:hAnsi="Arial" w:cs="Arial"/>
          <w:b w:val="0"/>
          <w:color w:val="auto"/>
          <w:sz w:val="24"/>
          <w:szCs w:val="22"/>
          <w:u w:val="single"/>
        </w:rPr>
      </w:pPr>
      <w:r w:rsidRPr="003C418C">
        <w:rPr>
          <w:rFonts w:ascii="Arial" w:hAnsi="Arial" w:cs="Arial"/>
          <w:b w:val="0"/>
          <w:color w:val="auto"/>
          <w:sz w:val="24"/>
          <w:szCs w:val="22"/>
          <w:u w:val="single"/>
        </w:rPr>
        <w:t>Communication with consumers</w:t>
      </w:r>
    </w:p>
    <w:p w14:paraId="044C94E3" w14:textId="77777777" w:rsidR="001D2C64" w:rsidRPr="003C418C" w:rsidRDefault="001D2C64" w:rsidP="001D2C64">
      <w:pPr>
        <w:pStyle w:val="BodyText1"/>
        <w:rPr>
          <w:color w:val="auto"/>
          <w:sz w:val="24"/>
        </w:rPr>
      </w:pPr>
      <w:r w:rsidRPr="003C418C">
        <w:rPr>
          <w:color w:val="auto"/>
          <w:sz w:val="24"/>
        </w:rPr>
        <w:t>In the Draft Guidelin</w:t>
      </w:r>
      <w:r w:rsidR="00B20EF8">
        <w:rPr>
          <w:color w:val="auto"/>
          <w:sz w:val="24"/>
        </w:rPr>
        <w:t xml:space="preserve">es, there are </w:t>
      </w:r>
      <w:r w:rsidR="00E062BE">
        <w:rPr>
          <w:color w:val="auto"/>
          <w:sz w:val="24"/>
        </w:rPr>
        <w:t>references</w:t>
      </w:r>
      <w:r w:rsidR="00B20EF8">
        <w:rPr>
          <w:color w:val="auto"/>
          <w:sz w:val="24"/>
        </w:rPr>
        <w:t xml:space="preserve"> to</w:t>
      </w:r>
      <w:r w:rsidRPr="003C418C">
        <w:rPr>
          <w:color w:val="auto"/>
          <w:sz w:val="24"/>
        </w:rPr>
        <w:t xml:space="preserve"> requirements </w:t>
      </w:r>
      <w:r w:rsidR="00B20EF8">
        <w:rPr>
          <w:color w:val="auto"/>
          <w:sz w:val="24"/>
        </w:rPr>
        <w:t xml:space="preserve">for </w:t>
      </w:r>
      <w:r w:rsidRPr="003C418C">
        <w:rPr>
          <w:color w:val="auto"/>
          <w:sz w:val="24"/>
        </w:rPr>
        <w:t>CDR entities to communicate with</w:t>
      </w:r>
      <w:r w:rsidR="00E25CCD" w:rsidRPr="003C418C">
        <w:rPr>
          <w:color w:val="auto"/>
          <w:sz w:val="24"/>
        </w:rPr>
        <w:t xml:space="preserve"> CDR</w:t>
      </w:r>
      <w:r w:rsidRPr="003C418C">
        <w:rPr>
          <w:color w:val="auto"/>
          <w:sz w:val="24"/>
        </w:rPr>
        <w:t xml:space="preserve"> consumers. In most instances, this must be done via electronic means</w:t>
      </w:r>
      <w:r w:rsidR="008B53A6" w:rsidRPr="003C418C">
        <w:rPr>
          <w:color w:val="auto"/>
          <w:sz w:val="24"/>
        </w:rPr>
        <w:t>, however different Privacy Safeguards have different requirements</w:t>
      </w:r>
      <w:r w:rsidRPr="003C418C">
        <w:rPr>
          <w:color w:val="auto"/>
          <w:sz w:val="24"/>
        </w:rPr>
        <w:t xml:space="preserve">. </w:t>
      </w:r>
      <w:r w:rsidR="008B53A6" w:rsidRPr="003C418C">
        <w:rPr>
          <w:color w:val="auto"/>
          <w:sz w:val="24"/>
        </w:rPr>
        <w:t xml:space="preserve">While we understand that these differences are set out in the CDR Rules, from a </w:t>
      </w:r>
      <w:r w:rsidR="00E25CCD" w:rsidRPr="003C418C">
        <w:rPr>
          <w:color w:val="auto"/>
          <w:sz w:val="24"/>
        </w:rPr>
        <w:t xml:space="preserve">CDR </w:t>
      </w:r>
      <w:r w:rsidR="008B53A6" w:rsidRPr="003C418C">
        <w:rPr>
          <w:color w:val="auto"/>
          <w:sz w:val="24"/>
        </w:rPr>
        <w:t>consumer’s perspective these inconsistencies in communication method may cause confusion or frustration.</w:t>
      </w:r>
    </w:p>
    <w:p w14:paraId="08F8883C" w14:textId="77777777" w:rsidR="008B53A6" w:rsidRPr="003C418C" w:rsidRDefault="008B53A6" w:rsidP="008B53A6">
      <w:pPr>
        <w:pStyle w:val="BodyText1"/>
        <w:rPr>
          <w:color w:val="auto"/>
          <w:sz w:val="24"/>
        </w:rPr>
      </w:pPr>
      <w:r w:rsidRPr="003C418C">
        <w:rPr>
          <w:color w:val="auto"/>
          <w:sz w:val="24"/>
        </w:rPr>
        <w:t xml:space="preserve">For instance, </w:t>
      </w:r>
      <w:r w:rsidR="00316C12" w:rsidRPr="003C418C">
        <w:rPr>
          <w:color w:val="auto"/>
          <w:sz w:val="24"/>
        </w:rPr>
        <w:t>in relation to Privacy Safeguard 11</w:t>
      </w:r>
      <w:r w:rsidR="004B1733" w:rsidRPr="003C418C">
        <w:rPr>
          <w:color w:val="auto"/>
          <w:sz w:val="24"/>
        </w:rPr>
        <w:t>,</w:t>
      </w:r>
      <w:r w:rsidR="00316C12" w:rsidRPr="003C418C">
        <w:rPr>
          <w:color w:val="auto"/>
          <w:sz w:val="24"/>
        </w:rPr>
        <w:t xml:space="preserve"> notices regarding incorrect CDR data being disclosed must b</w:t>
      </w:r>
      <w:r w:rsidR="004B1733" w:rsidRPr="003C418C">
        <w:rPr>
          <w:color w:val="auto"/>
          <w:sz w:val="24"/>
        </w:rPr>
        <w:t>e provided via electronic means</w:t>
      </w:r>
      <w:r w:rsidR="00316C12" w:rsidRPr="003C418C">
        <w:rPr>
          <w:color w:val="auto"/>
          <w:sz w:val="24"/>
        </w:rPr>
        <w:t xml:space="preserve"> such as email or through the CDR consumer’s consumer dashboard. Similarly, Privacy Safeguard 13 requires correction notices to be provided electronically and in writing, including via email or through the CDR consumer’s consumer dashboard. However, </w:t>
      </w:r>
      <w:r w:rsidRPr="003C418C">
        <w:rPr>
          <w:color w:val="auto"/>
          <w:sz w:val="24"/>
        </w:rPr>
        <w:t xml:space="preserve">upon receiving a </w:t>
      </w:r>
      <w:r w:rsidRPr="003C418C">
        <w:rPr>
          <w:i/>
          <w:color w:val="auto"/>
          <w:sz w:val="24"/>
        </w:rPr>
        <w:t>request</w:t>
      </w:r>
      <w:r w:rsidRPr="003C418C">
        <w:rPr>
          <w:color w:val="auto"/>
          <w:sz w:val="24"/>
        </w:rPr>
        <w:t xml:space="preserve"> from a CDR consumer to correct CDR data, data holders and accredited data </w:t>
      </w:r>
      <w:r w:rsidR="00F82055">
        <w:rPr>
          <w:color w:val="auto"/>
          <w:sz w:val="24"/>
        </w:rPr>
        <w:t>recipients</w:t>
      </w:r>
      <w:r w:rsidRPr="003C418C">
        <w:rPr>
          <w:color w:val="auto"/>
          <w:sz w:val="24"/>
        </w:rPr>
        <w:t xml:space="preserve"> must acknowledge that they have received the request as soon as practicable</w:t>
      </w:r>
      <w:r w:rsidR="00316C12" w:rsidRPr="003C418C">
        <w:rPr>
          <w:color w:val="auto"/>
          <w:sz w:val="24"/>
        </w:rPr>
        <w:t>, yet this</w:t>
      </w:r>
      <w:r w:rsidRPr="003C418C">
        <w:rPr>
          <w:color w:val="auto"/>
          <w:sz w:val="24"/>
        </w:rPr>
        <w:t xml:space="preserve"> does not need to be provided in writing or through the </w:t>
      </w:r>
      <w:r w:rsidR="00E25CCD" w:rsidRPr="003C418C">
        <w:rPr>
          <w:color w:val="auto"/>
          <w:sz w:val="24"/>
        </w:rPr>
        <w:t xml:space="preserve">CDR </w:t>
      </w:r>
      <w:r w:rsidRPr="003C418C">
        <w:rPr>
          <w:color w:val="auto"/>
          <w:sz w:val="24"/>
        </w:rPr>
        <w:t>consumer’s consumer dashboard</w:t>
      </w:r>
      <w:r w:rsidR="00B20EF8">
        <w:rPr>
          <w:color w:val="auto"/>
          <w:sz w:val="24"/>
        </w:rPr>
        <w:t>. This</w:t>
      </w:r>
      <w:r w:rsidRPr="003C418C">
        <w:rPr>
          <w:color w:val="auto"/>
          <w:sz w:val="24"/>
        </w:rPr>
        <w:t xml:space="preserve"> could</w:t>
      </w:r>
      <w:r w:rsidR="00B20EF8">
        <w:rPr>
          <w:color w:val="auto"/>
          <w:sz w:val="24"/>
        </w:rPr>
        <w:t>,</w:t>
      </w:r>
      <w:r w:rsidRPr="003C418C">
        <w:rPr>
          <w:color w:val="auto"/>
          <w:sz w:val="24"/>
        </w:rPr>
        <w:t xml:space="preserve"> for example</w:t>
      </w:r>
      <w:r w:rsidR="00B20EF8">
        <w:rPr>
          <w:color w:val="auto"/>
          <w:sz w:val="24"/>
        </w:rPr>
        <w:t>,</w:t>
      </w:r>
      <w:r w:rsidRPr="003C418C">
        <w:rPr>
          <w:color w:val="auto"/>
          <w:sz w:val="24"/>
        </w:rPr>
        <w:t xml:space="preserve"> be provided via the telephone.</w:t>
      </w:r>
      <w:r w:rsidRPr="003C418C">
        <w:rPr>
          <w:rStyle w:val="FootnoteReference"/>
          <w:color w:val="auto"/>
          <w:sz w:val="24"/>
        </w:rPr>
        <w:footnoteReference w:id="17"/>
      </w:r>
      <w:r w:rsidRPr="003C418C">
        <w:rPr>
          <w:color w:val="auto"/>
          <w:sz w:val="24"/>
        </w:rPr>
        <w:t xml:space="preserve"> </w:t>
      </w:r>
    </w:p>
    <w:p w14:paraId="418F0903" w14:textId="77777777" w:rsidR="004B1733" w:rsidRPr="003C418C" w:rsidRDefault="00316C12" w:rsidP="008B53A6">
      <w:pPr>
        <w:pStyle w:val="BodyText1"/>
        <w:rPr>
          <w:color w:val="auto"/>
          <w:sz w:val="24"/>
        </w:rPr>
      </w:pPr>
      <w:r w:rsidRPr="003C418C">
        <w:rPr>
          <w:color w:val="auto"/>
          <w:sz w:val="24"/>
        </w:rPr>
        <w:t xml:space="preserve">Consumers </w:t>
      </w:r>
      <w:r w:rsidR="004B1733" w:rsidRPr="003C418C">
        <w:rPr>
          <w:color w:val="auto"/>
          <w:sz w:val="24"/>
        </w:rPr>
        <w:t xml:space="preserve">who are typically contacted via their CDR consumer dashboard or email for other purposes </w:t>
      </w:r>
      <w:r w:rsidRPr="003C418C">
        <w:rPr>
          <w:color w:val="auto"/>
          <w:sz w:val="24"/>
        </w:rPr>
        <w:t xml:space="preserve">may be confused if they are contacted via phone in relation to an acknowledgement of a correction request. </w:t>
      </w:r>
      <w:r w:rsidR="008B53A6" w:rsidRPr="003C418C">
        <w:rPr>
          <w:color w:val="auto"/>
          <w:sz w:val="24"/>
        </w:rPr>
        <w:t xml:space="preserve">In order to </w:t>
      </w:r>
      <w:r w:rsidRPr="003C418C">
        <w:rPr>
          <w:color w:val="auto"/>
          <w:sz w:val="24"/>
        </w:rPr>
        <w:t xml:space="preserve">alleviate the possibility of such confusion, and to also </w:t>
      </w:r>
      <w:r w:rsidR="008B53A6" w:rsidRPr="003C418C">
        <w:rPr>
          <w:color w:val="auto"/>
          <w:sz w:val="24"/>
        </w:rPr>
        <w:t>ensure greater transparency and trust with CDR consumers, it is vital that CDR entities provide clear information to CDR consumers regarding</w:t>
      </w:r>
      <w:r w:rsidRPr="003C418C">
        <w:rPr>
          <w:color w:val="auto"/>
          <w:sz w:val="24"/>
        </w:rPr>
        <w:t xml:space="preserve"> </w:t>
      </w:r>
      <w:r w:rsidR="008B53A6" w:rsidRPr="003C418C">
        <w:rPr>
          <w:color w:val="auto"/>
          <w:sz w:val="24"/>
        </w:rPr>
        <w:t xml:space="preserve">what communications they will receive, </w:t>
      </w:r>
      <w:r w:rsidR="004B1733" w:rsidRPr="003C418C">
        <w:rPr>
          <w:color w:val="auto"/>
          <w:sz w:val="24"/>
        </w:rPr>
        <w:t>and</w:t>
      </w:r>
      <w:r w:rsidR="008B53A6" w:rsidRPr="003C418C">
        <w:rPr>
          <w:color w:val="auto"/>
          <w:sz w:val="24"/>
        </w:rPr>
        <w:t xml:space="preserve"> how they will receive CDR-related informati</w:t>
      </w:r>
      <w:r w:rsidRPr="003C418C">
        <w:rPr>
          <w:color w:val="auto"/>
          <w:sz w:val="24"/>
        </w:rPr>
        <w:t xml:space="preserve">on. </w:t>
      </w:r>
      <w:r w:rsidR="009F1B53" w:rsidRPr="003C418C">
        <w:rPr>
          <w:color w:val="auto"/>
          <w:sz w:val="24"/>
        </w:rPr>
        <w:t xml:space="preserve">Given </w:t>
      </w:r>
      <w:r w:rsidR="004B1733" w:rsidRPr="003C418C">
        <w:rPr>
          <w:color w:val="auto"/>
          <w:sz w:val="24"/>
        </w:rPr>
        <w:t xml:space="preserve">frequent references to </w:t>
      </w:r>
      <w:r w:rsidR="009F1B53" w:rsidRPr="003C418C">
        <w:rPr>
          <w:color w:val="auto"/>
          <w:sz w:val="24"/>
        </w:rPr>
        <w:t xml:space="preserve">notifications and information being provided </w:t>
      </w:r>
      <w:r w:rsidR="004B1733" w:rsidRPr="003C418C">
        <w:rPr>
          <w:color w:val="auto"/>
          <w:sz w:val="24"/>
        </w:rPr>
        <w:t>‘as soon as practicable</w:t>
      </w:r>
      <w:r w:rsidR="009F1B53" w:rsidRPr="003C418C">
        <w:rPr>
          <w:color w:val="auto"/>
          <w:sz w:val="24"/>
        </w:rPr>
        <w:t>,</w:t>
      </w:r>
      <w:r w:rsidR="004B1733" w:rsidRPr="003C418C">
        <w:rPr>
          <w:color w:val="auto"/>
          <w:sz w:val="24"/>
        </w:rPr>
        <w:t xml:space="preserve">’ and that </w:t>
      </w:r>
      <w:r w:rsidR="009F1B53" w:rsidRPr="003C418C">
        <w:rPr>
          <w:color w:val="auto"/>
          <w:sz w:val="24"/>
        </w:rPr>
        <w:t xml:space="preserve">the CDR Rules also include timeframes ranging from </w:t>
      </w:r>
      <w:r w:rsidR="004B1733" w:rsidRPr="003C418C">
        <w:rPr>
          <w:color w:val="auto"/>
          <w:sz w:val="24"/>
        </w:rPr>
        <w:t xml:space="preserve">5 </w:t>
      </w:r>
      <w:r w:rsidR="009F1B53" w:rsidRPr="003C418C">
        <w:rPr>
          <w:color w:val="auto"/>
          <w:sz w:val="24"/>
        </w:rPr>
        <w:t xml:space="preserve">to 10 </w:t>
      </w:r>
      <w:r w:rsidR="004B1733" w:rsidRPr="003C418C">
        <w:rPr>
          <w:color w:val="auto"/>
          <w:sz w:val="24"/>
        </w:rPr>
        <w:t>business days</w:t>
      </w:r>
      <w:r w:rsidR="00DA3648" w:rsidRPr="003C418C">
        <w:rPr>
          <w:color w:val="auto"/>
          <w:sz w:val="24"/>
        </w:rPr>
        <w:t xml:space="preserve"> for the provision of notices</w:t>
      </w:r>
      <w:r w:rsidR="009F1B53" w:rsidRPr="003C418C">
        <w:rPr>
          <w:color w:val="auto"/>
          <w:sz w:val="24"/>
        </w:rPr>
        <w:t>, this information for CDR consumers must also include clear timeframes within which the</w:t>
      </w:r>
      <w:r w:rsidR="00DA3648" w:rsidRPr="003C418C">
        <w:rPr>
          <w:color w:val="auto"/>
          <w:sz w:val="24"/>
        </w:rPr>
        <w:t>y can expect to receive information or notifications from the</w:t>
      </w:r>
      <w:r w:rsidR="009F1B53" w:rsidRPr="003C418C">
        <w:rPr>
          <w:color w:val="auto"/>
          <w:sz w:val="24"/>
        </w:rPr>
        <w:t xml:space="preserve"> CDR entity.</w:t>
      </w:r>
      <w:r w:rsidR="00E062BE">
        <w:rPr>
          <w:color w:val="auto"/>
          <w:sz w:val="24"/>
        </w:rPr>
        <w:t xml:space="preserve"> References to ‘as soon as practicable’ must therefore be removed in favour of firm timeframes. </w:t>
      </w:r>
    </w:p>
    <w:p w14:paraId="2759A02B" w14:textId="77777777" w:rsidR="002C6C09" w:rsidRPr="003C418C" w:rsidRDefault="002C6C09" w:rsidP="008B53A6">
      <w:pPr>
        <w:pStyle w:val="BodyText1"/>
        <w:rPr>
          <w:color w:val="auto"/>
          <w:sz w:val="24"/>
        </w:rPr>
      </w:pPr>
      <w:r w:rsidRPr="003C418C">
        <w:rPr>
          <w:color w:val="auto"/>
          <w:sz w:val="24"/>
        </w:rPr>
        <w:lastRenderedPageBreak/>
        <w:t xml:space="preserve">CDR entities should be required to </w:t>
      </w:r>
      <w:r w:rsidR="008609DA" w:rsidRPr="003C418C">
        <w:rPr>
          <w:color w:val="auto"/>
          <w:sz w:val="24"/>
        </w:rPr>
        <w:t>include a section in their CDR P</w:t>
      </w:r>
      <w:r w:rsidRPr="003C418C">
        <w:rPr>
          <w:color w:val="auto"/>
          <w:sz w:val="24"/>
        </w:rPr>
        <w:t>olicy about communicating with consumers. This should include clear and easy to understand information about expected timeframes; what communication methods are available to CDR consumers (</w:t>
      </w:r>
      <w:r w:rsidR="008609DA" w:rsidRPr="003C418C">
        <w:rPr>
          <w:color w:val="auto"/>
          <w:sz w:val="24"/>
        </w:rPr>
        <w:t>within</w:t>
      </w:r>
      <w:r w:rsidRPr="003C418C">
        <w:rPr>
          <w:color w:val="auto"/>
          <w:sz w:val="24"/>
        </w:rPr>
        <w:t xml:space="preserve"> the limitations set by the CDR Rules); how CDR consumers can request a specific type of communication method from the CDR entity; and what steps the CDR entity will take to ensure that all communications with the CDR consumer will abide by their </w:t>
      </w:r>
      <w:r w:rsidR="008609DA" w:rsidRPr="003C418C">
        <w:rPr>
          <w:color w:val="auto"/>
          <w:sz w:val="24"/>
        </w:rPr>
        <w:t xml:space="preserve">identified </w:t>
      </w:r>
      <w:r w:rsidRPr="003C418C">
        <w:rPr>
          <w:color w:val="auto"/>
          <w:sz w:val="24"/>
        </w:rPr>
        <w:t>preferences. This information must also specify that communications with consumers must be in plain English, and must be available in a range of accessible formats</w:t>
      </w:r>
      <w:r w:rsidR="00353504" w:rsidRPr="003C418C">
        <w:rPr>
          <w:color w:val="auto"/>
          <w:sz w:val="24"/>
        </w:rPr>
        <w:t xml:space="preserve"> (within an expected and appropriate timeframe)</w:t>
      </w:r>
      <w:r w:rsidRPr="003C418C">
        <w:rPr>
          <w:color w:val="auto"/>
          <w:sz w:val="24"/>
        </w:rPr>
        <w:t xml:space="preserve">. </w:t>
      </w:r>
      <w:r w:rsidR="008609DA" w:rsidRPr="003C418C">
        <w:rPr>
          <w:color w:val="auto"/>
          <w:sz w:val="24"/>
        </w:rPr>
        <w:t>Similarly, the CDR P</w:t>
      </w:r>
      <w:r w:rsidRPr="003C418C">
        <w:rPr>
          <w:color w:val="auto"/>
          <w:sz w:val="24"/>
        </w:rPr>
        <w:t>olicy itself must not only be clearly expressed, easy to understand and easy to navigate,</w:t>
      </w:r>
      <w:r w:rsidRPr="003C418C">
        <w:rPr>
          <w:rStyle w:val="FootnoteReference"/>
          <w:color w:val="auto"/>
          <w:sz w:val="24"/>
        </w:rPr>
        <w:footnoteReference w:id="18"/>
      </w:r>
      <w:r w:rsidRPr="003C418C">
        <w:rPr>
          <w:color w:val="auto"/>
          <w:sz w:val="24"/>
        </w:rPr>
        <w:t xml:space="preserve"> but must also be provided in accessible formats and using plain English.</w:t>
      </w:r>
    </w:p>
    <w:p w14:paraId="34625090" w14:textId="77777777" w:rsidR="00135C16" w:rsidRPr="003C418C" w:rsidRDefault="00135C16" w:rsidP="00D91383">
      <w:pPr>
        <w:pStyle w:val="Heading2"/>
        <w:rPr>
          <w:rFonts w:ascii="Arial" w:hAnsi="Arial" w:cs="Arial"/>
          <w:b w:val="0"/>
          <w:color w:val="auto"/>
          <w:sz w:val="24"/>
          <w:szCs w:val="22"/>
          <w:u w:val="single"/>
        </w:rPr>
      </w:pPr>
      <w:r w:rsidRPr="003C418C">
        <w:rPr>
          <w:rFonts w:ascii="Arial" w:hAnsi="Arial" w:cs="Arial"/>
          <w:b w:val="0"/>
          <w:color w:val="auto"/>
          <w:sz w:val="24"/>
          <w:szCs w:val="22"/>
          <w:u w:val="single"/>
        </w:rPr>
        <w:t>Accessibility</w:t>
      </w:r>
    </w:p>
    <w:p w14:paraId="3AB96DF8" w14:textId="77777777" w:rsidR="002C6C09" w:rsidRPr="003C418C" w:rsidRDefault="00135C16" w:rsidP="00135C16">
      <w:pPr>
        <w:pStyle w:val="BodyText1"/>
        <w:rPr>
          <w:color w:val="auto"/>
          <w:sz w:val="24"/>
        </w:rPr>
      </w:pPr>
      <w:r w:rsidRPr="003C418C">
        <w:rPr>
          <w:color w:val="auto"/>
          <w:sz w:val="24"/>
        </w:rPr>
        <w:t xml:space="preserve">It is important that the information and communication provided to CDR consumers is accessible, clear and easy to understand. </w:t>
      </w:r>
      <w:r w:rsidR="00353504" w:rsidRPr="003C418C">
        <w:rPr>
          <w:color w:val="auto"/>
          <w:sz w:val="24"/>
        </w:rPr>
        <w:t xml:space="preserve">Although there are two </w:t>
      </w:r>
      <w:r w:rsidR="002C6C09" w:rsidRPr="003C418C">
        <w:rPr>
          <w:color w:val="auto"/>
          <w:sz w:val="24"/>
        </w:rPr>
        <w:t xml:space="preserve">references </w:t>
      </w:r>
      <w:r w:rsidR="00353504" w:rsidRPr="003C418C">
        <w:rPr>
          <w:color w:val="auto"/>
          <w:sz w:val="24"/>
        </w:rPr>
        <w:t xml:space="preserve">in the Draft Guidelines </w:t>
      </w:r>
      <w:r w:rsidR="002C6C09" w:rsidRPr="003C418C">
        <w:rPr>
          <w:color w:val="auto"/>
          <w:sz w:val="24"/>
        </w:rPr>
        <w:t xml:space="preserve">to </w:t>
      </w:r>
      <w:r w:rsidR="00353504" w:rsidRPr="003C418C">
        <w:rPr>
          <w:color w:val="auto"/>
          <w:sz w:val="24"/>
        </w:rPr>
        <w:t xml:space="preserve">the </w:t>
      </w:r>
      <w:r w:rsidR="002C6C09" w:rsidRPr="003C418C">
        <w:rPr>
          <w:color w:val="auto"/>
          <w:sz w:val="24"/>
        </w:rPr>
        <w:t>‘individual needs of the consumer (for example, additional steps required to make the content accessible)’</w:t>
      </w:r>
      <w:r w:rsidR="008609DA" w:rsidRPr="003C418C">
        <w:rPr>
          <w:color w:val="auto"/>
          <w:sz w:val="24"/>
        </w:rPr>
        <w:t>,</w:t>
      </w:r>
      <w:r w:rsidR="00353504" w:rsidRPr="003C418C">
        <w:rPr>
          <w:rStyle w:val="FootnoteReference"/>
          <w:color w:val="auto"/>
          <w:sz w:val="24"/>
        </w:rPr>
        <w:footnoteReference w:id="19"/>
      </w:r>
      <w:r w:rsidR="002C6C09" w:rsidRPr="003C418C">
        <w:rPr>
          <w:color w:val="auto"/>
          <w:sz w:val="24"/>
        </w:rPr>
        <w:t xml:space="preserve"> </w:t>
      </w:r>
      <w:r w:rsidR="00353504" w:rsidRPr="003C418C">
        <w:rPr>
          <w:color w:val="auto"/>
          <w:sz w:val="24"/>
        </w:rPr>
        <w:t>this is offered as a factor that may influence a determination of whether notifications are occurring ‘as soon as practicable.’ As such, more could be done to ensure greater accessibility of the CDR regime.</w:t>
      </w:r>
    </w:p>
    <w:p w14:paraId="76BC8BC5" w14:textId="77777777" w:rsidR="00135C16" w:rsidRPr="003C418C" w:rsidRDefault="002C6C09" w:rsidP="002C6C09">
      <w:pPr>
        <w:rPr>
          <w:rFonts w:ascii="Arial" w:hAnsi="Arial" w:cs="Arial"/>
          <w:sz w:val="24"/>
        </w:rPr>
      </w:pPr>
      <w:r w:rsidRPr="003C418C">
        <w:rPr>
          <w:rFonts w:ascii="Arial" w:hAnsi="Arial" w:cs="Arial"/>
          <w:sz w:val="24"/>
        </w:rPr>
        <w:t>For instance, in respect to paragraph 1.43,</w:t>
      </w:r>
      <w:r w:rsidRPr="003C418C">
        <w:rPr>
          <w:rStyle w:val="FootnoteReference"/>
          <w:rFonts w:ascii="Arial" w:hAnsi="Arial" w:cs="Arial"/>
          <w:sz w:val="24"/>
        </w:rPr>
        <w:footnoteReference w:id="20"/>
      </w:r>
      <w:r w:rsidRPr="003C418C">
        <w:rPr>
          <w:rFonts w:ascii="Arial" w:hAnsi="Arial" w:cs="Arial"/>
          <w:sz w:val="24"/>
        </w:rPr>
        <w:t xml:space="preserve"> we understand that a range of formats may be used to communicate an entities’</w:t>
      </w:r>
      <w:r w:rsidR="008609DA" w:rsidRPr="003C418C">
        <w:rPr>
          <w:rFonts w:ascii="Arial" w:hAnsi="Arial" w:cs="Arial"/>
          <w:sz w:val="24"/>
        </w:rPr>
        <w:t xml:space="preserve"> CDR P</w:t>
      </w:r>
      <w:r w:rsidRPr="003C418C">
        <w:rPr>
          <w:rFonts w:ascii="Arial" w:hAnsi="Arial" w:cs="Arial"/>
          <w:sz w:val="24"/>
        </w:rPr>
        <w:t xml:space="preserve">olicy. However, ACCAN is concerned to ensure that CDR </w:t>
      </w:r>
      <w:r w:rsidR="008609DA" w:rsidRPr="003C418C">
        <w:rPr>
          <w:rFonts w:ascii="Arial" w:hAnsi="Arial" w:cs="Arial"/>
          <w:sz w:val="24"/>
        </w:rPr>
        <w:t>P</w:t>
      </w:r>
      <w:r w:rsidRPr="003C418C">
        <w:rPr>
          <w:rFonts w:ascii="Arial" w:hAnsi="Arial" w:cs="Arial"/>
          <w:sz w:val="24"/>
        </w:rPr>
        <w:t>olicies are provided in accessible formats, meaning that any infographics must have alternative text; any animations or videos must be audio described, captioned and Auslan interpreted; and any text versions must be written in plain English to maximise comprehensibility. Additionally</w:t>
      </w:r>
      <w:r w:rsidR="00135C16" w:rsidRPr="003C418C">
        <w:rPr>
          <w:rFonts w:ascii="Arial" w:hAnsi="Arial" w:cs="Arial"/>
          <w:sz w:val="24"/>
        </w:rPr>
        <w:t xml:space="preserve">, in relation to Privacy Safeguard 10 regarding notifying consumers </w:t>
      </w:r>
      <w:r w:rsidR="00B845C3">
        <w:rPr>
          <w:rFonts w:ascii="Arial" w:hAnsi="Arial" w:cs="Arial"/>
          <w:sz w:val="24"/>
        </w:rPr>
        <w:t xml:space="preserve">about </w:t>
      </w:r>
      <w:r w:rsidR="00135C16" w:rsidRPr="003C418C">
        <w:rPr>
          <w:rFonts w:ascii="Arial" w:hAnsi="Arial" w:cs="Arial"/>
          <w:sz w:val="24"/>
        </w:rPr>
        <w:t xml:space="preserve">what CDR data was disclosed, CDR entities should be required to have regard not only </w:t>
      </w:r>
      <w:r w:rsidR="00B845C3">
        <w:rPr>
          <w:rFonts w:ascii="Arial" w:hAnsi="Arial" w:cs="Arial"/>
          <w:sz w:val="24"/>
        </w:rPr>
        <w:t>to</w:t>
      </w:r>
      <w:r w:rsidR="00135C16" w:rsidRPr="003C418C">
        <w:rPr>
          <w:rFonts w:ascii="Arial" w:hAnsi="Arial" w:cs="Arial"/>
          <w:sz w:val="24"/>
        </w:rPr>
        <w:t xml:space="preserve"> the Data Language Standards</w:t>
      </w:r>
      <w:r w:rsidR="00135C16" w:rsidRPr="003C418C">
        <w:rPr>
          <w:rStyle w:val="FootnoteReference"/>
          <w:rFonts w:ascii="Arial" w:hAnsi="Arial" w:cs="Arial"/>
          <w:sz w:val="24"/>
        </w:rPr>
        <w:footnoteReference w:id="21"/>
      </w:r>
      <w:r w:rsidR="00135C16" w:rsidRPr="003C418C">
        <w:rPr>
          <w:rFonts w:ascii="Arial" w:hAnsi="Arial" w:cs="Arial"/>
          <w:sz w:val="24"/>
        </w:rPr>
        <w:t xml:space="preserve"> but also the accessibility of the language they are using.</w:t>
      </w:r>
    </w:p>
    <w:p w14:paraId="3A4B0C1D" w14:textId="77777777" w:rsidR="00135C16" w:rsidRPr="003C418C" w:rsidRDefault="002C6C09" w:rsidP="00135C16">
      <w:pPr>
        <w:pStyle w:val="BodyText1"/>
        <w:rPr>
          <w:color w:val="auto"/>
          <w:sz w:val="24"/>
        </w:rPr>
      </w:pPr>
      <w:r w:rsidRPr="003C418C">
        <w:rPr>
          <w:color w:val="auto"/>
          <w:sz w:val="24"/>
        </w:rPr>
        <w:t>Finally,</w:t>
      </w:r>
      <w:r w:rsidR="00135C16" w:rsidRPr="003C418C">
        <w:rPr>
          <w:color w:val="auto"/>
          <w:sz w:val="24"/>
        </w:rPr>
        <w:t xml:space="preserve"> ACCAN recommends that the text of paragraph 1.56</w:t>
      </w:r>
      <w:r w:rsidR="00135C16" w:rsidRPr="003C418C">
        <w:rPr>
          <w:rStyle w:val="FootnoteReference"/>
          <w:color w:val="auto"/>
          <w:sz w:val="24"/>
        </w:rPr>
        <w:footnoteReference w:id="22"/>
      </w:r>
      <w:r w:rsidR="00135C16" w:rsidRPr="003C418C">
        <w:rPr>
          <w:color w:val="auto"/>
          <w:sz w:val="24"/>
        </w:rPr>
        <w:t xml:space="preserve"> should be changed</w:t>
      </w:r>
      <w:r w:rsidR="00353504" w:rsidRPr="003C418C">
        <w:rPr>
          <w:rStyle w:val="FootnoteReference"/>
          <w:color w:val="auto"/>
          <w:sz w:val="24"/>
        </w:rPr>
        <w:footnoteReference w:id="23"/>
      </w:r>
      <w:r w:rsidR="00135C16" w:rsidRPr="003C418C">
        <w:rPr>
          <w:color w:val="auto"/>
          <w:sz w:val="24"/>
        </w:rPr>
        <w:t xml:space="preserve"> so that it reads as follows</w:t>
      </w:r>
      <w:r w:rsidRPr="003C418C">
        <w:rPr>
          <w:color w:val="auto"/>
          <w:sz w:val="24"/>
        </w:rPr>
        <w:t>:</w:t>
      </w:r>
    </w:p>
    <w:p w14:paraId="6C1C7EA3" w14:textId="77777777" w:rsidR="00135C16" w:rsidRPr="003C418C" w:rsidRDefault="00135C16" w:rsidP="00135C16">
      <w:pPr>
        <w:pStyle w:val="BodyText1"/>
        <w:rPr>
          <w:color w:val="auto"/>
          <w:sz w:val="24"/>
        </w:rPr>
      </w:pPr>
      <w:r w:rsidRPr="003C418C">
        <w:rPr>
          <w:color w:val="auto"/>
          <w:sz w:val="24"/>
        </w:rPr>
        <w:t xml:space="preserve">‘Appropriate accessibility measures should be put in place so that the policy may be accessed by consumers with </w:t>
      </w:r>
      <w:r w:rsidRPr="003C418C">
        <w:rPr>
          <w:i/>
          <w:color w:val="auto"/>
          <w:sz w:val="24"/>
        </w:rPr>
        <w:t>accessibility requirements</w:t>
      </w:r>
      <w:r w:rsidRPr="003C418C">
        <w:rPr>
          <w:color w:val="auto"/>
          <w:sz w:val="24"/>
        </w:rPr>
        <w:t xml:space="preserve"> (such as consumers with vision impairment, or consumers from a non-English speaking background). While these accessibility measures would not necessarily have to be available online or in </w:t>
      </w:r>
      <w:r w:rsidRPr="003C418C">
        <w:rPr>
          <w:color w:val="auto"/>
          <w:sz w:val="24"/>
        </w:rPr>
        <w:lastRenderedPageBreak/>
        <w:t xml:space="preserve">a mobile application </w:t>
      </w:r>
      <w:r w:rsidRPr="003C418C">
        <w:rPr>
          <w:i/>
          <w:color w:val="auto"/>
          <w:sz w:val="24"/>
        </w:rPr>
        <w:t>(such as braille, for instance),</w:t>
      </w:r>
      <w:r w:rsidRPr="003C418C">
        <w:rPr>
          <w:color w:val="auto"/>
          <w:sz w:val="24"/>
        </w:rPr>
        <w:t xml:space="preserve"> there needs to be a clear and accessible method to contact the entity and request this information.’</w:t>
      </w:r>
    </w:p>
    <w:p w14:paraId="1C3325B5" w14:textId="77777777" w:rsidR="00BD31DA" w:rsidRPr="003C418C" w:rsidRDefault="0015642C" w:rsidP="00347819">
      <w:pPr>
        <w:pStyle w:val="BodyText1"/>
        <w:rPr>
          <w:color w:val="auto"/>
          <w:sz w:val="24"/>
        </w:rPr>
      </w:pPr>
      <w:r w:rsidRPr="003C418C">
        <w:rPr>
          <w:color w:val="auto"/>
          <w:sz w:val="24"/>
        </w:rPr>
        <w:t>Please do not hesitate to contact us should you require clarification or additional information on any of the i</w:t>
      </w:r>
      <w:r w:rsidR="008609DA" w:rsidRPr="003C418C">
        <w:rPr>
          <w:color w:val="auto"/>
          <w:sz w:val="24"/>
        </w:rPr>
        <w:t>ssues raised in our submission.</w:t>
      </w:r>
    </w:p>
    <w:p w14:paraId="713A5935" w14:textId="77777777" w:rsidR="00347819" w:rsidRPr="003C418C" w:rsidRDefault="0015642C" w:rsidP="00347819">
      <w:pPr>
        <w:pStyle w:val="BodyText1"/>
        <w:rPr>
          <w:color w:val="auto"/>
          <w:sz w:val="24"/>
        </w:rPr>
      </w:pPr>
      <w:r w:rsidRPr="003C418C">
        <w:rPr>
          <w:color w:val="auto"/>
          <w:sz w:val="24"/>
        </w:rPr>
        <w:t>Yours s</w:t>
      </w:r>
      <w:r w:rsidR="00347819" w:rsidRPr="003C418C">
        <w:rPr>
          <w:color w:val="auto"/>
          <w:sz w:val="24"/>
        </w:rPr>
        <w:t>incerely,</w:t>
      </w:r>
    </w:p>
    <w:p w14:paraId="667D38E4" w14:textId="77777777" w:rsidR="00347819" w:rsidRPr="003C418C" w:rsidRDefault="00347819" w:rsidP="00347819">
      <w:pPr>
        <w:pStyle w:val="BodyText1"/>
        <w:rPr>
          <w:color w:val="auto"/>
          <w:sz w:val="24"/>
        </w:rPr>
      </w:pPr>
    </w:p>
    <w:p w14:paraId="6CFC7FBB" w14:textId="77777777" w:rsidR="00C51804" w:rsidRPr="003C418C" w:rsidRDefault="00347819" w:rsidP="00347819">
      <w:pPr>
        <w:pStyle w:val="BodyText1"/>
        <w:rPr>
          <w:color w:val="auto"/>
          <w:sz w:val="24"/>
        </w:rPr>
      </w:pPr>
      <w:r w:rsidRPr="003C418C">
        <w:rPr>
          <w:color w:val="auto"/>
          <w:sz w:val="24"/>
        </w:rPr>
        <w:t>Meredith Lea</w:t>
      </w:r>
      <w:r w:rsidRPr="003C418C">
        <w:rPr>
          <w:color w:val="auto"/>
          <w:sz w:val="24"/>
        </w:rPr>
        <w:br/>
        <w:t xml:space="preserve">Disability Policy Adviser </w:t>
      </w:r>
    </w:p>
    <w:sectPr w:rsidR="00C51804" w:rsidRPr="003C418C" w:rsidSect="00617D0B">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043EE" w14:textId="77777777" w:rsidR="00617D0B" w:rsidRDefault="00617D0B" w:rsidP="003955C0">
      <w:pPr>
        <w:spacing w:after="0" w:line="240" w:lineRule="auto"/>
      </w:pPr>
      <w:r>
        <w:separator/>
      </w:r>
    </w:p>
  </w:endnote>
  <w:endnote w:type="continuationSeparator" w:id="0">
    <w:p w14:paraId="2D313243" w14:textId="77777777" w:rsidR="00617D0B" w:rsidRDefault="00617D0B" w:rsidP="0039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57A92" w14:textId="77777777" w:rsidR="00617D0B" w:rsidRPr="00E05115" w:rsidRDefault="00617D0B" w:rsidP="00617D0B">
    <w:pPr>
      <w:spacing w:after="0" w:line="240" w:lineRule="auto"/>
      <w:rPr>
        <w:color w:val="23B0E6"/>
      </w:rPr>
    </w:pPr>
    <w:r w:rsidRPr="00E05115">
      <w:rPr>
        <w:color w:val="23B0E6"/>
      </w:rPr>
      <w:t>www.accan.org.au | info@accan.org.au | twitter: @ACCAN_AU</w:t>
    </w:r>
    <w:r>
      <w:rPr>
        <w:color w:val="23B0E6"/>
      </w:rPr>
      <w:tab/>
    </w:r>
    <w:r>
      <w:rPr>
        <w:color w:val="23B0E6"/>
      </w:rPr>
      <w:tab/>
    </w:r>
    <w:r>
      <w:rPr>
        <w:color w:val="23B0E6"/>
      </w:rPr>
      <w:tab/>
    </w:r>
    <w:r>
      <w:rPr>
        <w:color w:val="23B0E6"/>
      </w:rPr>
      <w:tab/>
    </w:r>
    <w:r>
      <w:rPr>
        <w:color w:val="23B0E6"/>
      </w:rPr>
      <w:tab/>
    </w:r>
    <w:r w:rsidRPr="00C4251E">
      <w:fldChar w:fldCharType="begin"/>
    </w:r>
    <w:r w:rsidRPr="00C4251E">
      <w:instrText xml:space="preserve"> PAGE   \* MERGEFORMAT </w:instrText>
    </w:r>
    <w:r w:rsidRPr="00C4251E">
      <w:fldChar w:fldCharType="separate"/>
    </w:r>
    <w:r w:rsidR="00F82055">
      <w:rPr>
        <w:noProof/>
      </w:rPr>
      <w:t>6</w:t>
    </w:r>
    <w:r w:rsidRPr="00C4251E">
      <w:rPr>
        <w:noProof/>
      </w:rPr>
      <w:fldChar w:fldCharType="end"/>
    </w:r>
  </w:p>
  <w:p w14:paraId="172C25FB" w14:textId="77777777" w:rsidR="00617D0B" w:rsidRDefault="00617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32E01" w14:textId="77777777" w:rsidR="00617D0B" w:rsidRPr="00E05115" w:rsidRDefault="00617D0B" w:rsidP="00617D0B">
    <w:pPr>
      <w:spacing w:after="0"/>
      <w:ind w:hanging="567"/>
      <w:rPr>
        <w:color w:val="23B0E6"/>
      </w:rPr>
    </w:pPr>
    <w:r w:rsidRPr="00E05115">
      <w:rPr>
        <w:color w:val="23B0E6"/>
      </w:rPr>
      <w:t>Australian Communications Consumer Action Network (ACCAN)</w:t>
    </w:r>
  </w:p>
  <w:p w14:paraId="4A58AAF6" w14:textId="77777777" w:rsidR="00617D0B" w:rsidRDefault="00617D0B" w:rsidP="00617D0B">
    <w:pPr>
      <w:spacing w:after="0"/>
      <w:ind w:hanging="567"/>
      <w:rPr>
        <w:i/>
        <w:color w:val="23B0E6"/>
      </w:rPr>
    </w:pPr>
    <w:r w:rsidRPr="00E05115">
      <w:rPr>
        <w:i/>
        <w:color w:val="23B0E6"/>
      </w:rPr>
      <w:t xml:space="preserve">Australia’s peak </w:t>
    </w:r>
    <w:r>
      <w:rPr>
        <w:i/>
        <w:color w:val="23B0E6"/>
      </w:rPr>
      <w:t>body representing communications consumers</w:t>
    </w:r>
  </w:p>
  <w:p w14:paraId="46A38DF6" w14:textId="77777777" w:rsidR="00617D0B" w:rsidRPr="00E05115" w:rsidRDefault="00617D0B" w:rsidP="00617D0B">
    <w:pPr>
      <w:spacing w:after="0"/>
      <w:ind w:left="-567" w:hanging="567"/>
      <w:rPr>
        <w:i/>
        <w:color w:val="23B0E6"/>
      </w:rPr>
    </w:pPr>
    <w:r>
      <w:rPr>
        <w:noProof/>
      </w:rPr>
      <mc:AlternateContent>
        <mc:Choice Requires="wps">
          <w:drawing>
            <wp:anchor distT="0" distB="0" distL="114300" distR="114300" simplePos="0" relativeHeight="251661312" behindDoc="0" locked="0" layoutInCell="1" allowOverlap="1" wp14:anchorId="50B1C6D9" wp14:editId="4F264E2B">
              <wp:simplePos x="0" y="0"/>
              <wp:positionH relativeFrom="column">
                <wp:posOffset>-396240</wp:posOffset>
              </wp:positionH>
              <wp:positionV relativeFrom="paragraph">
                <wp:posOffset>97155</wp:posOffset>
              </wp:positionV>
              <wp:extent cx="6461760" cy="0"/>
              <wp:effectExtent l="0" t="19050" r="15240" b="19050"/>
              <wp:wrapNone/>
              <wp:docPr id="1" name="Straight Connector 1"/>
              <wp:cNvGraphicFramePr/>
              <a:graphic xmlns:a="http://schemas.openxmlformats.org/drawingml/2006/main">
                <a:graphicData uri="http://schemas.microsoft.com/office/word/2010/wordprocessingShape">
                  <wps:wsp>
                    <wps:cNvCnPr/>
                    <wps:spPr>
                      <a:xfrm>
                        <a:off x="0" y="0"/>
                        <a:ext cx="6461760"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362330"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pt,7.65pt" to="477.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f+h3gEAAA4EAAAOAAAAZHJzL2Uyb0RvYy54bWysU9uO0zAQfUfiHyy/0yRdFFZR05Xosrwg&#10;qFj4ANexE0u+aWya9O8ZO2l2tSAkEC9Oxp45c84Ze3c3GU3OAoJytqXVpqREWO46ZfuWfv/28OaW&#10;khCZ7Zh2VrT0IgK9279+tRt9I7ZucLoTQBDEhmb0LR1i9E1RBD4Iw8LGeWHxUDowLGIIfdEBGxHd&#10;6GJblnUxOug8OC5CwN37+ZDuM76UgscvUgYRiW4pcot5hbye0lrsd6zpgflB8YUG+wcWhimLTVeo&#10;exYZ+QHqFyijOLjgZNxwZwonpeIia0A1VflCzePAvMha0JzgV5vC/4Pln89HIKrD2VFimcERPUZg&#10;qh8iOThr0UAHpEo+jT40mH6wR1ii4I+QRE8STPqiHDJlby+rt2KKhONm/bau3tU4An49K54KPYT4&#10;UThD0k9LtbJJNmvY+VOI2AxTrylpW1sytvTmtirLnBacVt2D0jodBuhPBw3kzHDk25v35Yc6sUeI&#10;Z2kYaYubSdOsIv/FixZzg69CoivIu5o7pPsoVljGubAxu5KRMDuVSaSwFi7U/lS45KdSke/q3xSv&#10;Fbmzs3EtNso6+B3tOF0pyzn/6sCsO1lwct0lzzdbg5cuO7c8kHSrn8e5/OkZ738CAAD//wMAUEsD&#10;BBQABgAIAAAAIQDrZFnD3gAAAAkBAAAPAAAAZHJzL2Rvd25yZXYueG1sTI/BTsJAEIbvJrzDZky8&#10;wdZCCdZuCSFgYmIiIN6X7tA2dGdrd4H69o7xIMeZ/8s/32Tz3jbigp2vHSl4HEUgkApnaioV7D/W&#10;wxkIHzQZ3ThCBd/oYZ4P7jKdGnelLV52oRRcQj7VCqoQ2lRKX1RotR+5Fomzo+usDjx2pTSdvnK5&#10;bWQcRVNpdU18odItLissTruzVbB+XbxtWv+1XFkr6Th+X31OXvZKPdz3i2cQAfvwD8OvPqtDzk4H&#10;dybjRaNgOI0njHKQjEEw8JQkMYjD30Lmmbz9IP8BAAD//wMAUEsBAi0AFAAGAAgAAAAhALaDOJL+&#10;AAAA4QEAABMAAAAAAAAAAAAAAAAAAAAAAFtDb250ZW50X1R5cGVzXS54bWxQSwECLQAUAAYACAAA&#10;ACEAOP0h/9YAAACUAQAACwAAAAAAAAAAAAAAAAAvAQAAX3JlbHMvLnJlbHNQSwECLQAUAAYACAAA&#10;ACEAe5H/od4BAAAOBAAADgAAAAAAAAAAAAAAAAAuAgAAZHJzL2Uyb0RvYy54bWxQSwECLQAUAAYA&#10;CAAAACEA62RZw94AAAAJAQAADwAAAAAAAAAAAAAAAAA4BAAAZHJzL2Rvd25yZXYueG1sUEsFBgAA&#10;AAAEAAQA8wAAAEMFAAAAAA==&#10;" strokecolor="#23b0e6" strokeweight="3pt"/>
          </w:pict>
        </mc:Fallback>
      </mc:AlternateContent>
    </w:r>
  </w:p>
  <w:p w14:paraId="0B89F41B" w14:textId="77777777" w:rsidR="00617D0B" w:rsidRDefault="00617D0B" w:rsidP="00617D0B">
    <w:pPr>
      <w:spacing w:after="0"/>
      <w:ind w:hanging="567"/>
    </w:pPr>
    <w:r>
      <w:t>PO Box 639, Broadway NSW 2007</w:t>
    </w:r>
  </w:p>
  <w:p w14:paraId="46666C33" w14:textId="77777777" w:rsidR="00617D0B" w:rsidRDefault="00617D0B" w:rsidP="00617D0B">
    <w:pPr>
      <w:spacing w:after="0"/>
      <w:ind w:hanging="567"/>
    </w:pPr>
    <w:r>
      <w:t xml:space="preserve">Tel: (02) 9288 4000 | Fax: (02) 9288 4019 | Contact us through the </w:t>
    </w:r>
    <w:hyperlink r:id="rId1" w:history="1">
      <w:r w:rsidRPr="00FE6EAF">
        <w:rPr>
          <w:rStyle w:val="Hyperlink"/>
        </w:rPr>
        <w:t>National Relay Service</w:t>
      </w:r>
    </w:hyperlink>
  </w:p>
  <w:p w14:paraId="6251C9CD" w14:textId="77777777" w:rsidR="00617D0B" w:rsidRPr="007949B6" w:rsidRDefault="00617D0B" w:rsidP="00617D0B">
    <w:pPr>
      <w:spacing w:after="0"/>
      <w:ind w:hanging="567"/>
      <w:rPr>
        <w:color w:val="23B0E6"/>
      </w:rPr>
    </w:pPr>
    <w:r w:rsidRPr="00E05115">
      <w:rPr>
        <w:color w:val="23B0E6"/>
      </w:rPr>
      <w:t>www.accan.org.au | info@accan.org.au | twitter: @ACCAN_AU</w:t>
    </w:r>
    <w:r>
      <w:rPr>
        <w:color w:val="23B0E6"/>
      </w:rPr>
      <w:t xml:space="preserve"> | www.facebook.com/accanau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D2145" w14:textId="77777777" w:rsidR="00617D0B" w:rsidRDefault="00617D0B" w:rsidP="003955C0">
      <w:pPr>
        <w:spacing w:after="0" w:line="240" w:lineRule="auto"/>
      </w:pPr>
      <w:r>
        <w:separator/>
      </w:r>
    </w:p>
  </w:footnote>
  <w:footnote w:type="continuationSeparator" w:id="0">
    <w:p w14:paraId="0BFA0194" w14:textId="77777777" w:rsidR="00617D0B" w:rsidRDefault="00617D0B" w:rsidP="003955C0">
      <w:pPr>
        <w:spacing w:after="0" w:line="240" w:lineRule="auto"/>
      </w:pPr>
      <w:r>
        <w:continuationSeparator/>
      </w:r>
    </w:p>
  </w:footnote>
  <w:footnote w:id="1">
    <w:p w14:paraId="0B91B193" w14:textId="77777777" w:rsidR="00617D0B" w:rsidRPr="003C418C" w:rsidRDefault="00617D0B">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Pr="003C418C">
        <w:rPr>
          <w:rFonts w:ascii="Arial" w:hAnsi="Arial" w:cs="Arial"/>
          <w:sz w:val="18"/>
          <w:lang w:val="en-US"/>
        </w:rPr>
        <w:t xml:space="preserve">See for instance </w:t>
      </w:r>
      <w:r w:rsidR="00D91383" w:rsidRPr="003C418C">
        <w:rPr>
          <w:rFonts w:ascii="Arial" w:hAnsi="Arial" w:cs="Arial"/>
          <w:sz w:val="18"/>
          <w:lang w:val="en-US"/>
        </w:rPr>
        <w:t xml:space="preserve">ACCAN, 2018a ‘Treasury Laws Amendment (Consumer Data Right) Bill 2018 Consultation – Submission by the Australian Communications Consumer Action Network’, ACCAN, available: </w:t>
      </w:r>
      <w:hyperlink r:id="rId1" w:history="1">
        <w:r w:rsidR="00D91383" w:rsidRPr="003C418C">
          <w:rPr>
            <w:rStyle w:val="Hyperlink"/>
            <w:rFonts w:ascii="Arial" w:hAnsi="Arial" w:cs="Arial"/>
            <w:sz w:val="18"/>
            <w:lang w:val="en-US"/>
          </w:rPr>
          <w:t>https://accan.org.au/our-work/submissions/1536-consumer-data-right-submission</w:t>
        </w:r>
      </w:hyperlink>
      <w:r w:rsidR="00D91383" w:rsidRPr="003C418C">
        <w:rPr>
          <w:rFonts w:ascii="Arial" w:hAnsi="Arial" w:cs="Arial"/>
          <w:sz w:val="18"/>
          <w:lang w:val="en-US"/>
        </w:rPr>
        <w:t xml:space="preserve"> </w:t>
      </w:r>
    </w:p>
  </w:footnote>
  <w:footnote w:id="2">
    <w:p w14:paraId="6F5601BB" w14:textId="77777777" w:rsidR="00617D0B" w:rsidRPr="003C418C" w:rsidRDefault="00617D0B">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00D91383" w:rsidRPr="003C418C">
        <w:rPr>
          <w:rFonts w:ascii="Arial" w:hAnsi="Arial" w:cs="Arial"/>
          <w:sz w:val="18"/>
        </w:rPr>
        <w:t xml:space="preserve">See for instance </w:t>
      </w:r>
      <w:r w:rsidRPr="003C418C">
        <w:rPr>
          <w:rFonts w:ascii="Arial" w:hAnsi="Arial" w:cs="Arial"/>
          <w:sz w:val="18"/>
          <w:lang w:val="en-US"/>
        </w:rPr>
        <w:t>ACCAN</w:t>
      </w:r>
      <w:r w:rsidR="00D91383" w:rsidRPr="003C418C">
        <w:rPr>
          <w:rFonts w:ascii="Arial" w:hAnsi="Arial" w:cs="Arial"/>
          <w:sz w:val="18"/>
          <w:lang w:val="en-US"/>
        </w:rPr>
        <w:t>, 2018b ‘Submission t</w:t>
      </w:r>
      <w:r w:rsidRPr="003C418C">
        <w:rPr>
          <w:rFonts w:ascii="Arial" w:hAnsi="Arial" w:cs="Arial"/>
          <w:sz w:val="18"/>
          <w:lang w:val="en-US"/>
        </w:rPr>
        <w:t>o the ACCC Consumer Data Right Rules Framework Consultation</w:t>
      </w:r>
      <w:r w:rsidR="00D91383" w:rsidRPr="003C418C">
        <w:rPr>
          <w:rFonts w:ascii="Arial" w:hAnsi="Arial" w:cs="Arial"/>
          <w:sz w:val="18"/>
          <w:lang w:val="en-US"/>
        </w:rPr>
        <w:t xml:space="preserve">’, ACCAN, </w:t>
      </w:r>
      <w:r w:rsidRPr="003C418C">
        <w:rPr>
          <w:rFonts w:ascii="Arial" w:hAnsi="Arial" w:cs="Arial"/>
          <w:sz w:val="18"/>
          <w:lang w:val="en-US"/>
        </w:rPr>
        <w:t xml:space="preserve">available: </w:t>
      </w:r>
      <w:hyperlink r:id="rId2" w:history="1">
        <w:r w:rsidRPr="003C418C">
          <w:rPr>
            <w:rStyle w:val="Hyperlink"/>
            <w:rFonts w:ascii="Arial" w:hAnsi="Arial" w:cs="Arial"/>
            <w:sz w:val="18"/>
            <w:lang w:val="en-US"/>
          </w:rPr>
          <w:t>https://accan.org.au/our-work/submissions/1549-cdr-rules-framework</w:t>
        </w:r>
      </w:hyperlink>
      <w:r w:rsidRPr="003C418C">
        <w:rPr>
          <w:rFonts w:ascii="Arial" w:hAnsi="Arial" w:cs="Arial"/>
          <w:sz w:val="18"/>
          <w:lang w:val="en-US"/>
        </w:rPr>
        <w:t xml:space="preserve"> </w:t>
      </w:r>
    </w:p>
  </w:footnote>
  <w:footnote w:id="3">
    <w:p w14:paraId="518D5F04" w14:textId="77777777" w:rsidR="00617D0B" w:rsidRPr="003C418C" w:rsidRDefault="00617D0B">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004F6146" w:rsidRPr="003C418C">
        <w:rPr>
          <w:rFonts w:ascii="Arial" w:hAnsi="Arial" w:cs="Arial"/>
          <w:sz w:val="18"/>
        </w:rPr>
        <w:t>Chapter</w:t>
      </w:r>
      <w:r w:rsidRPr="003C418C">
        <w:rPr>
          <w:rFonts w:ascii="Arial" w:hAnsi="Arial" w:cs="Arial"/>
          <w:sz w:val="18"/>
          <w:lang w:val="en-US"/>
        </w:rPr>
        <w:t xml:space="preserve"> 1, page 8, paragraph 1.34</w:t>
      </w:r>
    </w:p>
  </w:footnote>
  <w:footnote w:id="4">
    <w:p w14:paraId="3782EE80" w14:textId="77777777" w:rsidR="00617D0B" w:rsidRPr="003C418C" w:rsidRDefault="00617D0B">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See for instance </w:t>
      </w:r>
      <w:r w:rsidR="004F6146" w:rsidRPr="003C418C">
        <w:rPr>
          <w:rFonts w:ascii="Arial" w:hAnsi="Arial" w:cs="Arial"/>
          <w:sz w:val="18"/>
        </w:rPr>
        <w:t>c</w:t>
      </w:r>
      <w:r w:rsidRPr="003C418C">
        <w:rPr>
          <w:rFonts w:ascii="Arial" w:hAnsi="Arial" w:cs="Arial"/>
          <w:sz w:val="18"/>
        </w:rPr>
        <w:t>hapter 11</w:t>
      </w:r>
      <w:r w:rsidR="004F6146" w:rsidRPr="003C418C">
        <w:rPr>
          <w:rFonts w:ascii="Arial" w:hAnsi="Arial" w:cs="Arial"/>
          <w:sz w:val="18"/>
        </w:rPr>
        <w:t>,</w:t>
      </w:r>
      <w:r w:rsidRPr="003C418C">
        <w:rPr>
          <w:rFonts w:ascii="Arial" w:hAnsi="Arial" w:cs="Arial"/>
          <w:sz w:val="18"/>
        </w:rPr>
        <w:t xml:space="preserve"> p</w:t>
      </w:r>
      <w:r w:rsidR="004F6146" w:rsidRPr="003C418C">
        <w:rPr>
          <w:rFonts w:ascii="Arial" w:hAnsi="Arial" w:cs="Arial"/>
          <w:sz w:val="18"/>
        </w:rPr>
        <w:t xml:space="preserve">age </w:t>
      </w:r>
      <w:r w:rsidRPr="003C418C">
        <w:rPr>
          <w:rFonts w:ascii="Arial" w:hAnsi="Arial" w:cs="Arial"/>
          <w:sz w:val="18"/>
        </w:rPr>
        <w:t>8</w:t>
      </w:r>
      <w:r w:rsidR="004F6146" w:rsidRPr="003C418C">
        <w:rPr>
          <w:rFonts w:ascii="Arial" w:hAnsi="Arial" w:cs="Arial"/>
          <w:sz w:val="18"/>
        </w:rPr>
        <w:t>,</w:t>
      </w:r>
      <w:r w:rsidRPr="003C418C">
        <w:rPr>
          <w:rFonts w:ascii="Arial" w:hAnsi="Arial" w:cs="Arial"/>
          <w:sz w:val="18"/>
        </w:rPr>
        <w:t xml:space="preserve"> paragraph 11.26</w:t>
      </w:r>
    </w:p>
  </w:footnote>
  <w:footnote w:id="5">
    <w:p w14:paraId="35047A5E" w14:textId="77777777" w:rsidR="00617D0B" w:rsidRPr="003C418C" w:rsidRDefault="00617D0B">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Chapter 11</w:t>
      </w:r>
      <w:r w:rsidR="004F6146" w:rsidRPr="003C418C">
        <w:rPr>
          <w:rFonts w:ascii="Arial" w:hAnsi="Arial" w:cs="Arial"/>
          <w:sz w:val="18"/>
        </w:rPr>
        <w:t>,</w:t>
      </w:r>
      <w:r w:rsidRPr="003C418C">
        <w:rPr>
          <w:rFonts w:ascii="Arial" w:hAnsi="Arial" w:cs="Arial"/>
          <w:sz w:val="18"/>
        </w:rPr>
        <w:t xml:space="preserve"> page 8</w:t>
      </w:r>
      <w:r w:rsidR="004F6146" w:rsidRPr="003C418C">
        <w:rPr>
          <w:rFonts w:ascii="Arial" w:hAnsi="Arial" w:cs="Arial"/>
          <w:sz w:val="18"/>
        </w:rPr>
        <w:t>,</w:t>
      </w:r>
      <w:r w:rsidRPr="003C418C">
        <w:rPr>
          <w:rFonts w:ascii="Arial" w:hAnsi="Arial" w:cs="Arial"/>
          <w:sz w:val="18"/>
        </w:rPr>
        <w:t xml:space="preserve"> paragraph 11.28 </w:t>
      </w:r>
    </w:p>
  </w:footnote>
  <w:footnote w:id="6">
    <w:p w14:paraId="07D74823" w14:textId="77777777" w:rsidR="004F6146" w:rsidRPr="003C418C" w:rsidRDefault="004F6146">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Pr="003C418C">
        <w:rPr>
          <w:rFonts w:ascii="Arial" w:hAnsi="Arial" w:cs="Arial"/>
          <w:sz w:val="18"/>
          <w:lang w:val="en-US"/>
        </w:rPr>
        <w:t>Chapter 8, pages 6-7, paragraph 8.25</w:t>
      </w:r>
    </w:p>
  </w:footnote>
  <w:footnote w:id="7">
    <w:p w14:paraId="68F70DFA" w14:textId="77777777" w:rsidR="003A48ED" w:rsidRPr="003C418C" w:rsidRDefault="003A48ED" w:rsidP="003A48ED">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Pr="003C418C">
        <w:rPr>
          <w:rFonts w:ascii="Arial" w:hAnsi="Arial" w:cs="Arial"/>
          <w:sz w:val="18"/>
          <w:lang w:val="en-US"/>
        </w:rPr>
        <w:t>Chapter 11, page 9, paragraph 11.32</w:t>
      </w:r>
    </w:p>
  </w:footnote>
  <w:footnote w:id="8">
    <w:p w14:paraId="68E0108D" w14:textId="77777777" w:rsidR="00617D0B" w:rsidRPr="003C418C" w:rsidRDefault="00617D0B" w:rsidP="00617D0B">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Pr="003C418C">
        <w:rPr>
          <w:rFonts w:ascii="Arial" w:hAnsi="Arial" w:cs="Arial"/>
          <w:sz w:val="18"/>
          <w:lang w:val="en-US"/>
        </w:rPr>
        <w:t>Research has shown</w:t>
      </w:r>
      <w:r w:rsidR="003A48ED" w:rsidRPr="003C418C">
        <w:rPr>
          <w:rFonts w:ascii="Arial" w:hAnsi="Arial" w:cs="Arial"/>
          <w:sz w:val="18"/>
          <w:lang w:val="en-US"/>
        </w:rPr>
        <w:t>, for instance,</w:t>
      </w:r>
      <w:r w:rsidRPr="003C418C">
        <w:rPr>
          <w:rFonts w:ascii="Arial" w:hAnsi="Arial" w:cs="Arial"/>
          <w:sz w:val="18"/>
          <w:lang w:val="en-US"/>
        </w:rPr>
        <w:t xml:space="preserve"> that more consumers would consider changing providers if their mobile provider misused consumer data, as opposed to </w:t>
      </w:r>
      <w:r w:rsidR="003A48ED" w:rsidRPr="003C418C">
        <w:rPr>
          <w:rFonts w:ascii="Arial" w:hAnsi="Arial" w:cs="Arial"/>
          <w:sz w:val="18"/>
          <w:lang w:val="en-US"/>
        </w:rPr>
        <w:t xml:space="preserve">the number of consumers that would consider </w:t>
      </w:r>
      <w:r w:rsidRPr="003C418C">
        <w:rPr>
          <w:rFonts w:ascii="Arial" w:hAnsi="Arial" w:cs="Arial"/>
          <w:sz w:val="18"/>
          <w:lang w:val="en-US"/>
        </w:rPr>
        <w:t>changing providers if their mobile provider was hacked. The same research found that consumers are uncomfortabl</w:t>
      </w:r>
      <w:r w:rsidR="003A48ED" w:rsidRPr="003C418C">
        <w:rPr>
          <w:rFonts w:ascii="Arial" w:hAnsi="Arial" w:cs="Arial"/>
          <w:sz w:val="18"/>
          <w:lang w:val="en-US"/>
        </w:rPr>
        <w:t>e</w:t>
      </w:r>
      <w:r w:rsidRPr="003C418C">
        <w:rPr>
          <w:rFonts w:ascii="Arial" w:hAnsi="Arial" w:cs="Arial"/>
          <w:sz w:val="18"/>
          <w:lang w:val="en-US"/>
        </w:rPr>
        <w:t xml:space="preserve"> with the ways in which businesses or organisations address their concerns about pr</w:t>
      </w:r>
      <w:r w:rsidR="003A48ED" w:rsidRPr="003C418C">
        <w:rPr>
          <w:rFonts w:ascii="Arial" w:hAnsi="Arial" w:cs="Arial"/>
          <w:sz w:val="18"/>
          <w:lang w:val="en-US"/>
        </w:rPr>
        <w:t>ivacy and data security. For more information see</w:t>
      </w:r>
      <w:r w:rsidRPr="003C418C">
        <w:rPr>
          <w:rFonts w:ascii="Arial" w:hAnsi="Arial" w:cs="Arial"/>
          <w:sz w:val="18"/>
          <w:lang w:val="en-US"/>
        </w:rPr>
        <w:t xml:space="preserve">: KPMG Australia, 2019 ‘Consumer Loss Barometer: The economics of trust’, available: </w:t>
      </w:r>
      <w:hyperlink r:id="rId3" w:history="1">
        <w:r w:rsidRPr="003C418C">
          <w:rPr>
            <w:rStyle w:val="Hyperlink"/>
            <w:rFonts w:ascii="Arial" w:hAnsi="Arial" w:cs="Arial"/>
            <w:sz w:val="18"/>
            <w:lang w:val="en-US"/>
          </w:rPr>
          <w:t>https://assets.kpmg/content/dam/kpmg/xx/pdf/2019/03/consumer-loss-barometer-2019.pdf</w:t>
        </w:r>
      </w:hyperlink>
      <w:r w:rsidRPr="003C418C">
        <w:rPr>
          <w:rFonts w:ascii="Arial" w:hAnsi="Arial" w:cs="Arial"/>
          <w:sz w:val="18"/>
          <w:lang w:val="en-US"/>
        </w:rPr>
        <w:t xml:space="preserve">  </w:t>
      </w:r>
    </w:p>
  </w:footnote>
  <w:footnote w:id="9">
    <w:p w14:paraId="76E7DE2A" w14:textId="77777777" w:rsidR="00617D0B" w:rsidRPr="003C418C" w:rsidRDefault="00617D0B" w:rsidP="002052BD">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Pr="003C418C">
        <w:rPr>
          <w:rFonts w:ascii="Arial" w:hAnsi="Arial" w:cs="Arial"/>
          <w:sz w:val="18"/>
          <w:lang w:val="en-US"/>
        </w:rPr>
        <w:t>Chapter 1</w:t>
      </w:r>
      <w:r w:rsidR="003A48ED" w:rsidRPr="003C418C">
        <w:rPr>
          <w:rFonts w:ascii="Arial" w:hAnsi="Arial" w:cs="Arial"/>
          <w:sz w:val="18"/>
          <w:lang w:val="en-US"/>
        </w:rPr>
        <w:t>,</w:t>
      </w:r>
      <w:r w:rsidRPr="003C418C">
        <w:rPr>
          <w:rFonts w:ascii="Arial" w:hAnsi="Arial" w:cs="Arial"/>
          <w:sz w:val="18"/>
          <w:lang w:val="en-US"/>
        </w:rPr>
        <w:t xml:space="preserve"> page 7</w:t>
      </w:r>
      <w:r w:rsidR="003A48ED" w:rsidRPr="003C418C">
        <w:rPr>
          <w:rFonts w:ascii="Arial" w:hAnsi="Arial" w:cs="Arial"/>
          <w:sz w:val="18"/>
          <w:lang w:val="en-US"/>
        </w:rPr>
        <w:t>, paragraph 1.25</w:t>
      </w:r>
    </w:p>
  </w:footnote>
  <w:footnote w:id="10">
    <w:p w14:paraId="3842F582" w14:textId="77777777" w:rsidR="00617D0B" w:rsidRPr="003C418C" w:rsidRDefault="00617D0B" w:rsidP="002052BD">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Pr="003C418C">
        <w:rPr>
          <w:rFonts w:ascii="Arial" w:hAnsi="Arial" w:cs="Arial"/>
          <w:sz w:val="18"/>
          <w:lang w:val="en-US"/>
        </w:rPr>
        <w:t>Chapter 1</w:t>
      </w:r>
      <w:r w:rsidR="003A48ED" w:rsidRPr="003C418C">
        <w:rPr>
          <w:rFonts w:ascii="Arial" w:hAnsi="Arial" w:cs="Arial"/>
          <w:sz w:val="18"/>
          <w:lang w:val="en-US"/>
        </w:rPr>
        <w:t>,</w:t>
      </w:r>
      <w:r w:rsidRPr="003C418C">
        <w:rPr>
          <w:rFonts w:ascii="Arial" w:hAnsi="Arial" w:cs="Arial"/>
          <w:sz w:val="18"/>
          <w:lang w:val="en-US"/>
        </w:rPr>
        <w:t xml:space="preserve"> page 9</w:t>
      </w:r>
      <w:r w:rsidR="003A48ED" w:rsidRPr="003C418C">
        <w:rPr>
          <w:rFonts w:ascii="Arial" w:hAnsi="Arial" w:cs="Arial"/>
          <w:sz w:val="18"/>
          <w:lang w:val="en-US"/>
        </w:rPr>
        <w:t>,</w:t>
      </w:r>
      <w:r w:rsidRPr="003C418C">
        <w:rPr>
          <w:rFonts w:ascii="Arial" w:hAnsi="Arial" w:cs="Arial"/>
          <w:sz w:val="18"/>
          <w:lang w:val="en-US"/>
        </w:rPr>
        <w:t xml:space="preserve"> paragraph 1.41</w:t>
      </w:r>
    </w:p>
  </w:footnote>
  <w:footnote w:id="11">
    <w:p w14:paraId="7BD146A1" w14:textId="77777777" w:rsidR="00617D0B" w:rsidRPr="003C418C" w:rsidRDefault="00617D0B" w:rsidP="002052BD">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Pr="003C418C">
        <w:rPr>
          <w:rFonts w:ascii="Arial" w:hAnsi="Arial" w:cs="Arial"/>
          <w:sz w:val="18"/>
          <w:lang w:val="en-US"/>
        </w:rPr>
        <w:t>Chapter 1</w:t>
      </w:r>
      <w:r w:rsidR="00E25CCD" w:rsidRPr="003C418C">
        <w:rPr>
          <w:rFonts w:ascii="Arial" w:hAnsi="Arial" w:cs="Arial"/>
          <w:sz w:val="18"/>
          <w:lang w:val="en-US"/>
        </w:rPr>
        <w:t>,</w:t>
      </w:r>
      <w:r w:rsidRPr="003C418C">
        <w:rPr>
          <w:rFonts w:ascii="Arial" w:hAnsi="Arial" w:cs="Arial"/>
          <w:sz w:val="18"/>
          <w:lang w:val="en-US"/>
        </w:rPr>
        <w:t xml:space="preserve"> p</w:t>
      </w:r>
      <w:r w:rsidR="00E25CCD" w:rsidRPr="003C418C">
        <w:rPr>
          <w:rFonts w:ascii="Arial" w:hAnsi="Arial" w:cs="Arial"/>
          <w:sz w:val="18"/>
          <w:lang w:val="en-US"/>
        </w:rPr>
        <w:t xml:space="preserve">age </w:t>
      </w:r>
      <w:r w:rsidRPr="003C418C">
        <w:rPr>
          <w:rFonts w:ascii="Arial" w:hAnsi="Arial" w:cs="Arial"/>
          <w:sz w:val="18"/>
          <w:lang w:val="en-US"/>
        </w:rPr>
        <w:t>6</w:t>
      </w:r>
      <w:r w:rsidR="00E25CCD" w:rsidRPr="003C418C">
        <w:rPr>
          <w:rFonts w:ascii="Arial" w:hAnsi="Arial" w:cs="Arial"/>
          <w:sz w:val="18"/>
          <w:lang w:val="en-US"/>
        </w:rPr>
        <w:t>,</w:t>
      </w:r>
      <w:r w:rsidRPr="003C418C">
        <w:rPr>
          <w:rFonts w:ascii="Arial" w:hAnsi="Arial" w:cs="Arial"/>
          <w:sz w:val="18"/>
          <w:lang w:val="en-US"/>
        </w:rPr>
        <w:t xml:space="preserve"> paragraph 1.21</w:t>
      </w:r>
    </w:p>
  </w:footnote>
  <w:footnote w:id="12">
    <w:p w14:paraId="268F767E" w14:textId="77777777" w:rsidR="00617D0B" w:rsidRPr="003C418C" w:rsidRDefault="00617D0B">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Pr="003C418C">
        <w:rPr>
          <w:rFonts w:ascii="Arial" w:hAnsi="Arial" w:cs="Arial"/>
          <w:sz w:val="18"/>
          <w:lang w:val="en-US"/>
        </w:rPr>
        <w:t>For instance, the Information Governance framework as outlined in Chapter 12</w:t>
      </w:r>
      <w:r w:rsidR="00E25CCD" w:rsidRPr="003C418C">
        <w:rPr>
          <w:rFonts w:ascii="Arial" w:hAnsi="Arial" w:cs="Arial"/>
          <w:sz w:val="18"/>
          <w:lang w:val="en-US"/>
        </w:rPr>
        <w:t>,</w:t>
      </w:r>
      <w:r w:rsidRPr="003C418C">
        <w:rPr>
          <w:rFonts w:ascii="Arial" w:hAnsi="Arial" w:cs="Arial"/>
          <w:sz w:val="18"/>
          <w:lang w:val="en-US"/>
        </w:rPr>
        <w:t xml:space="preserve"> page 11</w:t>
      </w:r>
      <w:r w:rsidR="00E25CCD" w:rsidRPr="003C418C">
        <w:rPr>
          <w:rFonts w:ascii="Arial" w:hAnsi="Arial" w:cs="Arial"/>
          <w:sz w:val="18"/>
          <w:lang w:val="en-US"/>
        </w:rPr>
        <w:t>, paragraph 12.37(b)</w:t>
      </w:r>
    </w:p>
  </w:footnote>
  <w:footnote w:id="13">
    <w:p w14:paraId="68C177BE" w14:textId="77777777" w:rsidR="00617D0B" w:rsidRPr="003C418C" w:rsidRDefault="00617D0B">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Chapter 1</w:t>
      </w:r>
      <w:r w:rsidR="00E25CCD" w:rsidRPr="003C418C">
        <w:rPr>
          <w:rFonts w:ascii="Arial" w:hAnsi="Arial" w:cs="Arial"/>
          <w:sz w:val="18"/>
        </w:rPr>
        <w:t>,</w:t>
      </w:r>
      <w:r w:rsidRPr="003C418C">
        <w:rPr>
          <w:rFonts w:ascii="Arial" w:hAnsi="Arial" w:cs="Arial"/>
          <w:sz w:val="18"/>
        </w:rPr>
        <w:t xml:space="preserve"> page 5</w:t>
      </w:r>
      <w:r w:rsidR="00E25CCD" w:rsidRPr="003C418C">
        <w:rPr>
          <w:rFonts w:ascii="Arial" w:hAnsi="Arial" w:cs="Arial"/>
          <w:sz w:val="18"/>
        </w:rPr>
        <w:t>,</w:t>
      </w:r>
      <w:r w:rsidRPr="003C418C">
        <w:rPr>
          <w:rFonts w:ascii="Arial" w:hAnsi="Arial" w:cs="Arial"/>
          <w:sz w:val="18"/>
        </w:rPr>
        <w:t xml:space="preserve"> paragraph 1.16</w:t>
      </w:r>
    </w:p>
  </w:footnote>
  <w:footnote w:id="14">
    <w:p w14:paraId="611BA829" w14:textId="77777777" w:rsidR="00617D0B" w:rsidRPr="003C418C" w:rsidRDefault="00617D0B" w:rsidP="00082CCE">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Pr="003C418C">
        <w:rPr>
          <w:rFonts w:ascii="Arial" w:hAnsi="Arial" w:cs="Arial"/>
          <w:sz w:val="18"/>
          <w:lang w:val="en-US"/>
        </w:rPr>
        <w:t>Referenced in chapter 12</w:t>
      </w:r>
      <w:r w:rsidR="00E25CCD" w:rsidRPr="003C418C">
        <w:rPr>
          <w:rFonts w:ascii="Arial" w:hAnsi="Arial" w:cs="Arial"/>
          <w:sz w:val="18"/>
          <w:lang w:val="en-US"/>
        </w:rPr>
        <w:t>,</w:t>
      </w:r>
      <w:r w:rsidRPr="003C418C">
        <w:rPr>
          <w:rFonts w:ascii="Arial" w:hAnsi="Arial" w:cs="Arial"/>
          <w:sz w:val="18"/>
          <w:lang w:val="en-US"/>
        </w:rPr>
        <w:t xml:space="preserve"> p</w:t>
      </w:r>
      <w:r w:rsidR="00E25CCD" w:rsidRPr="003C418C">
        <w:rPr>
          <w:rFonts w:ascii="Arial" w:hAnsi="Arial" w:cs="Arial"/>
          <w:sz w:val="18"/>
          <w:lang w:val="en-US"/>
        </w:rPr>
        <w:t xml:space="preserve">age </w:t>
      </w:r>
      <w:r w:rsidRPr="003C418C">
        <w:rPr>
          <w:rFonts w:ascii="Arial" w:hAnsi="Arial" w:cs="Arial"/>
          <w:sz w:val="18"/>
          <w:lang w:val="en-US"/>
        </w:rPr>
        <w:t>21</w:t>
      </w:r>
      <w:r w:rsidR="00E25CCD" w:rsidRPr="003C418C">
        <w:rPr>
          <w:rFonts w:ascii="Arial" w:hAnsi="Arial" w:cs="Arial"/>
          <w:sz w:val="18"/>
          <w:lang w:val="en-US"/>
        </w:rPr>
        <w:t>,</w:t>
      </w:r>
      <w:r w:rsidRPr="003C418C">
        <w:rPr>
          <w:rFonts w:ascii="Arial" w:hAnsi="Arial" w:cs="Arial"/>
          <w:sz w:val="18"/>
          <w:lang w:val="en-US"/>
        </w:rPr>
        <w:t xml:space="preserve"> paragraph 12.91</w:t>
      </w:r>
    </w:p>
  </w:footnote>
  <w:footnote w:id="15">
    <w:p w14:paraId="7D0F1B8F" w14:textId="77777777" w:rsidR="00617D0B" w:rsidRPr="003C418C" w:rsidRDefault="00617D0B" w:rsidP="00082CCE">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Pr="003C418C">
        <w:rPr>
          <w:rFonts w:ascii="Arial" w:hAnsi="Arial" w:cs="Arial"/>
          <w:sz w:val="18"/>
          <w:lang w:val="en-US"/>
        </w:rPr>
        <w:t>Chapter 9</w:t>
      </w:r>
      <w:r w:rsidR="00E25CCD" w:rsidRPr="003C418C">
        <w:rPr>
          <w:rFonts w:ascii="Arial" w:hAnsi="Arial" w:cs="Arial"/>
          <w:sz w:val="18"/>
          <w:lang w:val="en-US"/>
        </w:rPr>
        <w:t>, pages 7-</w:t>
      </w:r>
      <w:r w:rsidRPr="003C418C">
        <w:rPr>
          <w:rFonts w:ascii="Arial" w:hAnsi="Arial" w:cs="Arial"/>
          <w:sz w:val="18"/>
          <w:lang w:val="en-US"/>
        </w:rPr>
        <w:t>8</w:t>
      </w:r>
      <w:r w:rsidR="00E25CCD" w:rsidRPr="003C418C">
        <w:rPr>
          <w:rFonts w:ascii="Arial" w:hAnsi="Arial" w:cs="Arial"/>
          <w:sz w:val="18"/>
          <w:lang w:val="en-US"/>
        </w:rPr>
        <w:t>, paragraph 9.27</w:t>
      </w:r>
      <w:r w:rsidRPr="003C418C">
        <w:rPr>
          <w:rFonts w:ascii="Arial" w:hAnsi="Arial" w:cs="Arial"/>
          <w:sz w:val="18"/>
          <w:lang w:val="en-US"/>
        </w:rPr>
        <w:t xml:space="preserve"> </w:t>
      </w:r>
    </w:p>
  </w:footnote>
  <w:footnote w:id="16">
    <w:p w14:paraId="47A14804" w14:textId="77777777" w:rsidR="00617D0B" w:rsidRPr="003C418C" w:rsidRDefault="00617D0B" w:rsidP="00082CCE">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Pr="003C418C">
        <w:rPr>
          <w:rFonts w:ascii="Arial" w:hAnsi="Arial" w:cs="Arial"/>
          <w:sz w:val="18"/>
          <w:lang w:val="en-US"/>
        </w:rPr>
        <w:t>Chapter 9, page 6, paragraphs 9.17-9.20</w:t>
      </w:r>
    </w:p>
  </w:footnote>
  <w:footnote w:id="17">
    <w:p w14:paraId="1154A017" w14:textId="77777777" w:rsidR="00617D0B" w:rsidRPr="003C418C" w:rsidRDefault="00617D0B" w:rsidP="008B53A6">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Pr="003C418C">
        <w:rPr>
          <w:rFonts w:ascii="Arial" w:hAnsi="Arial" w:cs="Arial"/>
          <w:sz w:val="18"/>
          <w:lang w:val="en-US"/>
        </w:rPr>
        <w:t>As outlined in the Draft Guidelines chapter 13, p</w:t>
      </w:r>
      <w:r w:rsidR="00E25CCD" w:rsidRPr="003C418C">
        <w:rPr>
          <w:rFonts w:ascii="Arial" w:hAnsi="Arial" w:cs="Arial"/>
          <w:sz w:val="18"/>
          <w:lang w:val="en-US"/>
        </w:rPr>
        <w:t>age 6, paragraph 13.15</w:t>
      </w:r>
    </w:p>
  </w:footnote>
  <w:footnote w:id="18">
    <w:p w14:paraId="768E55A3" w14:textId="77777777" w:rsidR="00617D0B" w:rsidRPr="003C418C" w:rsidRDefault="00617D0B" w:rsidP="002C6C09">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Pr="003C418C">
        <w:rPr>
          <w:rFonts w:ascii="Arial" w:hAnsi="Arial" w:cs="Arial"/>
          <w:sz w:val="18"/>
          <w:lang w:val="en-US"/>
        </w:rPr>
        <w:t>Chapter 1</w:t>
      </w:r>
      <w:r w:rsidR="008609DA" w:rsidRPr="003C418C">
        <w:rPr>
          <w:rFonts w:ascii="Arial" w:hAnsi="Arial" w:cs="Arial"/>
          <w:sz w:val="18"/>
          <w:lang w:val="en-US"/>
        </w:rPr>
        <w:t>,</w:t>
      </w:r>
      <w:r w:rsidRPr="003C418C">
        <w:rPr>
          <w:rFonts w:ascii="Arial" w:hAnsi="Arial" w:cs="Arial"/>
          <w:sz w:val="18"/>
          <w:lang w:val="en-US"/>
        </w:rPr>
        <w:t xml:space="preserve"> page 9</w:t>
      </w:r>
      <w:r w:rsidR="008609DA" w:rsidRPr="003C418C">
        <w:rPr>
          <w:rFonts w:ascii="Arial" w:hAnsi="Arial" w:cs="Arial"/>
          <w:sz w:val="18"/>
          <w:lang w:val="en-US"/>
        </w:rPr>
        <w:t>,</w:t>
      </w:r>
      <w:r w:rsidRPr="003C418C">
        <w:rPr>
          <w:rFonts w:ascii="Arial" w:hAnsi="Arial" w:cs="Arial"/>
          <w:sz w:val="18"/>
          <w:lang w:val="en-US"/>
        </w:rPr>
        <w:t xml:space="preserve"> paragraph 1.40</w:t>
      </w:r>
    </w:p>
  </w:footnote>
  <w:footnote w:id="19">
    <w:p w14:paraId="4D7852C3" w14:textId="77777777" w:rsidR="00617D0B" w:rsidRPr="003C418C" w:rsidRDefault="00617D0B">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As stated in chapter 5</w:t>
      </w:r>
      <w:r w:rsidR="008609DA" w:rsidRPr="003C418C">
        <w:rPr>
          <w:rFonts w:ascii="Arial" w:hAnsi="Arial" w:cs="Arial"/>
          <w:sz w:val="18"/>
        </w:rPr>
        <w:t>,</w:t>
      </w:r>
      <w:r w:rsidRPr="003C418C">
        <w:rPr>
          <w:rFonts w:ascii="Arial" w:hAnsi="Arial" w:cs="Arial"/>
          <w:sz w:val="18"/>
        </w:rPr>
        <w:t xml:space="preserve"> p</w:t>
      </w:r>
      <w:r w:rsidR="008609DA" w:rsidRPr="003C418C">
        <w:rPr>
          <w:rFonts w:ascii="Arial" w:hAnsi="Arial" w:cs="Arial"/>
          <w:sz w:val="18"/>
        </w:rPr>
        <w:t xml:space="preserve">age </w:t>
      </w:r>
      <w:r w:rsidRPr="003C418C">
        <w:rPr>
          <w:rFonts w:ascii="Arial" w:hAnsi="Arial" w:cs="Arial"/>
          <w:sz w:val="18"/>
        </w:rPr>
        <w:t>5</w:t>
      </w:r>
      <w:r w:rsidR="008609DA" w:rsidRPr="003C418C">
        <w:rPr>
          <w:rFonts w:ascii="Arial" w:hAnsi="Arial" w:cs="Arial"/>
          <w:sz w:val="18"/>
        </w:rPr>
        <w:t>,</w:t>
      </w:r>
      <w:r w:rsidRPr="003C418C">
        <w:rPr>
          <w:rFonts w:ascii="Arial" w:hAnsi="Arial" w:cs="Arial"/>
          <w:sz w:val="18"/>
        </w:rPr>
        <w:t xml:space="preserve"> paragraph 5.18 and chapter 10</w:t>
      </w:r>
      <w:r w:rsidR="008609DA" w:rsidRPr="003C418C">
        <w:rPr>
          <w:rFonts w:ascii="Arial" w:hAnsi="Arial" w:cs="Arial"/>
          <w:sz w:val="18"/>
        </w:rPr>
        <w:t>,</w:t>
      </w:r>
      <w:r w:rsidRPr="003C418C">
        <w:rPr>
          <w:rFonts w:ascii="Arial" w:hAnsi="Arial" w:cs="Arial"/>
          <w:sz w:val="18"/>
        </w:rPr>
        <w:t xml:space="preserve"> p</w:t>
      </w:r>
      <w:r w:rsidR="008609DA" w:rsidRPr="003C418C">
        <w:rPr>
          <w:rFonts w:ascii="Arial" w:hAnsi="Arial" w:cs="Arial"/>
          <w:sz w:val="18"/>
        </w:rPr>
        <w:t xml:space="preserve">age </w:t>
      </w:r>
      <w:r w:rsidRPr="003C418C">
        <w:rPr>
          <w:rFonts w:ascii="Arial" w:hAnsi="Arial" w:cs="Arial"/>
          <w:sz w:val="18"/>
        </w:rPr>
        <w:t>4</w:t>
      </w:r>
      <w:r w:rsidR="008609DA" w:rsidRPr="003C418C">
        <w:rPr>
          <w:rFonts w:ascii="Arial" w:hAnsi="Arial" w:cs="Arial"/>
          <w:sz w:val="18"/>
        </w:rPr>
        <w:t>,</w:t>
      </w:r>
      <w:r w:rsidRPr="003C418C">
        <w:rPr>
          <w:rFonts w:ascii="Arial" w:hAnsi="Arial" w:cs="Arial"/>
          <w:sz w:val="18"/>
        </w:rPr>
        <w:t xml:space="preserve"> paragraph 10.16</w:t>
      </w:r>
    </w:p>
  </w:footnote>
  <w:footnote w:id="20">
    <w:p w14:paraId="1C0BE91F" w14:textId="77777777" w:rsidR="00617D0B" w:rsidRPr="003C418C" w:rsidRDefault="00617D0B" w:rsidP="002C6C09">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Pr="003C418C">
        <w:rPr>
          <w:rFonts w:ascii="Arial" w:hAnsi="Arial" w:cs="Arial"/>
          <w:sz w:val="18"/>
          <w:lang w:val="en-US"/>
        </w:rPr>
        <w:t>Chapter 1, page 9</w:t>
      </w:r>
      <w:r w:rsidR="008609DA" w:rsidRPr="003C418C">
        <w:rPr>
          <w:rFonts w:ascii="Arial" w:hAnsi="Arial" w:cs="Arial"/>
          <w:sz w:val="18"/>
          <w:lang w:val="en-US"/>
        </w:rPr>
        <w:t>, paragraph 1.43</w:t>
      </w:r>
    </w:p>
  </w:footnote>
  <w:footnote w:id="21">
    <w:p w14:paraId="0FFAFB6B" w14:textId="77777777" w:rsidR="00617D0B" w:rsidRPr="003C418C" w:rsidRDefault="00617D0B" w:rsidP="00135C16">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Pr="003C418C">
        <w:rPr>
          <w:rFonts w:ascii="Arial" w:hAnsi="Arial" w:cs="Arial"/>
          <w:sz w:val="18"/>
          <w:lang w:val="en-US"/>
        </w:rPr>
        <w:t>As outlined in chapter 10</w:t>
      </w:r>
      <w:r w:rsidR="008609DA" w:rsidRPr="003C418C">
        <w:rPr>
          <w:rFonts w:ascii="Arial" w:hAnsi="Arial" w:cs="Arial"/>
          <w:sz w:val="18"/>
          <w:lang w:val="en-US"/>
        </w:rPr>
        <w:t>,</w:t>
      </w:r>
      <w:r w:rsidRPr="003C418C">
        <w:rPr>
          <w:rFonts w:ascii="Arial" w:hAnsi="Arial" w:cs="Arial"/>
          <w:sz w:val="18"/>
          <w:lang w:val="en-US"/>
        </w:rPr>
        <w:t xml:space="preserve"> p</w:t>
      </w:r>
      <w:r w:rsidR="008609DA" w:rsidRPr="003C418C">
        <w:rPr>
          <w:rFonts w:ascii="Arial" w:hAnsi="Arial" w:cs="Arial"/>
          <w:sz w:val="18"/>
          <w:lang w:val="en-US"/>
        </w:rPr>
        <w:t xml:space="preserve">age </w:t>
      </w:r>
      <w:r w:rsidRPr="003C418C">
        <w:rPr>
          <w:rFonts w:ascii="Arial" w:hAnsi="Arial" w:cs="Arial"/>
          <w:sz w:val="18"/>
          <w:lang w:val="en-US"/>
        </w:rPr>
        <w:t>5</w:t>
      </w:r>
      <w:r w:rsidR="008609DA" w:rsidRPr="003C418C">
        <w:rPr>
          <w:rFonts w:ascii="Arial" w:hAnsi="Arial" w:cs="Arial"/>
          <w:sz w:val="18"/>
          <w:lang w:val="en-US"/>
        </w:rPr>
        <w:t>,</w:t>
      </w:r>
      <w:r w:rsidRPr="003C418C">
        <w:rPr>
          <w:rFonts w:ascii="Arial" w:hAnsi="Arial" w:cs="Arial"/>
          <w:sz w:val="18"/>
          <w:lang w:val="en-US"/>
        </w:rPr>
        <w:t xml:space="preserve"> paragraph 10.21</w:t>
      </w:r>
    </w:p>
  </w:footnote>
  <w:footnote w:id="22">
    <w:p w14:paraId="2A8BF158" w14:textId="77777777" w:rsidR="00617D0B" w:rsidRPr="003C418C" w:rsidRDefault="00617D0B" w:rsidP="00135C16">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Chapter 1</w:t>
      </w:r>
      <w:r w:rsidR="008609DA" w:rsidRPr="003C418C">
        <w:rPr>
          <w:rFonts w:ascii="Arial" w:hAnsi="Arial" w:cs="Arial"/>
          <w:sz w:val="18"/>
        </w:rPr>
        <w:t>,</w:t>
      </w:r>
      <w:r w:rsidRPr="003C418C">
        <w:rPr>
          <w:rFonts w:ascii="Arial" w:hAnsi="Arial" w:cs="Arial"/>
          <w:sz w:val="18"/>
        </w:rPr>
        <w:t xml:space="preserve"> page 13</w:t>
      </w:r>
      <w:r w:rsidR="008609DA" w:rsidRPr="003C418C">
        <w:rPr>
          <w:rFonts w:ascii="Arial" w:hAnsi="Arial" w:cs="Arial"/>
          <w:sz w:val="18"/>
        </w:rPr>
        <w:t>,</w:t>
      </w:r>
      <w:r w:rsidRPr="003C418C">
        <w:rPr>
          <w:rFonts w:ascii="Arial" w:hAnsi="Arial" w:cs="Arial"/>
          <w:sz w:val="18"/>
        </w:rPr>
        <w:t xml:space="preserve"> paragraph 1.56</w:t>
      </w:r>
    </w:p>
  </w:footnote>
  <w:footnote w:id="23">
    <w:p w14:paraId="55B67CA8" w14:textId="77777777" w:rsidR="00617D0B" w:rsidRPr="003C418C" w:rsidRDefault="00617D0B" w:rsidP="00353504">
      <w:pPr>
        <w:pStyle w:val="FootnoteText"/>
        <w:rPr>
          <w:rFonts w:ascii="Arial" w:hAnsi="Arial" w:cs="Arial"/>
          <w:sz w:val="18"/>
          <w:lang w:val="en-US"/>
        </w:rPr>
      </w:pPr>
      <w:r w:rsidRPr="003C418C">
        <w:rPr>
          <w:rStyle w:val="FootnoteReference"/>
          <w:rFonts w:ascii="Arial" w:hAnsi="Arial" w:cs="Arial"/>
          <w:sz w:val="18"/>
        </w:rPr>
        <w:footnoteRef/>
      </w:r>
      <w:r w:rsidRPr="003C418C">
        <w:rPr>
          <w:rFonts w:ascii="Arial" w:hAnsi="Arial" w:cs="Arial"/>
          <w:sz w:val="18"/>
        </w:rPr>
        <w:t xml:space="preserve"> </w:t>
      </w:r>
      <w:r w:rsidRPr="003C418C">
        <w:rPr>
          <w:rFonts w:ascii="Arial" w:hAnsi="Arial" w:cs="Arial"/>
          <w:sz w:val="18"/>
          <w:lang w:val="en-US"/>
        </w:rPr>
        <w:t xml:space="preserve">Primarily to remove reference to the term ‘special needs’ – for more information </w:t>
      </w:r>
      <w:r w:rsidR="008609DA" w:rsidRPr="003C418C">
        <w:rPr>
          <w:rFonts w:ascii="Arial" w:hAnsi="Arial" w:cs="Arial"/>
          <w:sz w:val="18"/>
          <w:lang w:val="en-US"/>
        </w:rPr>
        <w:t xml:space="preserve">around inclusive terminology </w:t>
      </w:r>
      <w:r w:rsidRPr="003C418C">
        <w:rPr>
          <w:rFonts w:ascii="Arial" w:hAnsi="Arial" w:cs="Arial"/>
          <w:sz w:val="18"/>
          <w:lang w:val="en-US"/>
        </w:rPr>
        <w:t>see</w:t>
      </w:r>
      <w:r w:rsidR="008609DA" w:rsidRPr="003C418C">
        <w:rPr>
          <w:rFonts w:ascii="Arial" w:hAnsi="Arial" w:cs="Arial"/>
          <w:sz w:val="18"/>
          <w:lang w:val="en-US"/>
        </w:rPr>
        <w:t>:</w:t>
      </w:r>
      <w:r w:rsidRPr="003C418C">
        <w:rPr>
          <w:rFonts w:ascii="Arial" w:hAnsi="Arial" w:cs="Arial"/>
          <w:sz w:val="18"/>
          <w:lang w:val="en-US"/>
        </w:rPr>
        <w:t xml:space="preserve"> </w:t>
      </w:r>
      <w:hyperlink r:id="rId4" w:history="1">
        <w:r w:rsidRPr="003C418C">
          <w:rPr>
            <w:rStyle w:val="Hyperlink"/>
            <w:rFonts w:ascii="Arial" w:hAnsi="Arial" w:cs="Arial"/>
            <w:sz w:val="18"/>
            <w:lang w:val="en-US"/>
          </w:rPr>
          <w:t>https://www.and.org.au/pages/inclusive-language.html</w:t>
        </w:r>
      </w:hyperlink>
      <w:r w:rsidRPr="003C418C">
        <w:rPr>
          <w:rFonts w:ascii="Arial" w:hAnsi="Arial" w:cs="Arial"/>
          <w:sz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74482" w14:textId="77777777" w:rsidR="00617D0B" w:rsidRDefault="00617D0B" w:rsidP="00617D0B">
    <w:pPr>
      <w:pStyle w:val="Header"/>
    </w:pPr>
    <w:r>
      <w:rPr>
        <w:noProof/>
      </w:rPr>
      <w:drawing>
        <wp:anchor distT="0" distB="0" distL="114300" distR="114300" simplePos="0" relativeHeight="251659264" behindDoc="1" locked="0" layoutInCell="1" allowOverlap="1" wp14:anchorId="4641D948" wp14:editId="67397566">
          <wp:simplePos x="0" y="0"/>
          <wp:positionH relativeFrom="column">
            <wp:posOffset>5029200</wp:posOffset>
          </wp:positionH>
          <wp:positionV relativeFrom="paragraph">
            <wp:posOffset>175260</wp:posOffset>
          </wp:positionV>
          <wp:extent cx="664682" cy="308131"/>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669899" cy="31054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057E8" w14:textId="77777777" w:rsidR="00617D0B" w:rsidRDefault="00617D0B" w:rsidP="00617D0B">
    <w:pPr>
      <w:pStyle w:val="Header"/>
      <w:jc w:val="right"/>
    </w:pPr>
    <w:r>
      <w:rPr>
        <w:noProof/>
      </w:rPr>
      <w:drawing>
        <wp:anchor distT="0" distB="0" distL="114300" distR="114300" simplePos="0" relativeHeight="251660288" behindDoc="1" locked="0" layoutInCell="1" allowOverlap="1" wp14:anchorId="2259A685" wp14:editId="6455F556">
          <wp:simplePos x="0" y="0"/>
          <wp:positionH relativeFrom="column">
            <wp:posOffset>4072890</wp:posOffset>
          </wp:positionH>
          <wp:positionV relativeFrom="paragraph">
            <wp:posOffset>332740</wp:posOffset>
          </wp:positionV>
          <wp:extent cx="1630800" cy="756000"/>
          <wp:effectExtent l="0" t="0" r="762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1630800" cy="7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534F5"/>
    <w:multiLevelType w:val="hybridMultilevel"/>
    <w:tmpl w:val="D7D827CA"/>
    <w:lvl w:ilvl="0" w:tplc="51C8C7FE">
      <w:start w:val="20"/>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77500D"/>
    <w:multiLevelType w:val="hybridMultilevel"/>
    <w:tmpl w:val="AE600DD0"/>
    <w:lvl w:ilvl="0" w:tplc="0986DC9A">
      <w:start w:val="2018"/>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819"/>
    <w:rsid w:val="000224A4"/>
    <w:rsid w:val="00082CCE"/>
    <w:rsid w:val="000B075D"/>
    <w:rsid w:val="001023AB"/>
    <w:rsid w:val="00117C11"/>
    <w:rsid w:val="00135C16"/>
    <w:rsid w:val="00154449"/>
    <w:rsid w:val="0015642C"/>
    <w:rsid w:val="001D2C64"/>
    <w:rsid w:val="001F436F"/>
    <w:rsid w:val="002052BD"/>
    <w:rsid w:val="002A5C58"/>
    <w:rsid w:val="002B1961"/>
    <w:rsid w:val="002C6C09"/>
    <w:rsid w:val="00316C12"/>
    <w:rsid w:val="00347819"/>
    <w:rsid w:val="00353504"/>
    <w:rsid w:val="003955C0"/>
    <w:rsid w:val="003A48ED"/>
    <w:rsid w:val="003C418C"/>
    <w:rsid w:val="003E1CC2"/>
    <w:rsid w:val="0041101A"/>
    <w:rsid w:val="00461D00"/>
    <w:rsid w:val="004B1733"/>
    <w:rsid w:val="004C41BE"/>
    <w:rsid w:val="004F6146"/>
    <w:rsid w:val="005E0F9B"/>
    <w:rsid w:val="005F614B"/>
    <w:rsid w:val="00616434"/>
    <w:rsid w:val="00617D0B"/>
    <w:rsid w:val="00650840"/>
    <w:rsid w:val="006A51D3"/>
    <w:rsid w:val="007643BF"/>
    <w:rsid w:val="007D6819"/>
    <w:rsid w:val="008006D5"/>
    <w:rsid w:val="0083644D"/>
    <w:rsid w:val="008609DA"/>
    <w:rsid w:val="008B53A6"/>
    <w:rsid w:val="009019DA"/>
    <w:rsid w:val="00920C6D"/>
    <w:rsid w:val="009D71AA"/>
    <w:rsid w:val="009F1B53"/>
    <w:rsid w:val="00A10427"/>
    <w:rsid w:val="00A11095"/>
    <w:rsid w:val="00A6561E"/>
    <w:rsid w:val="00AC49CC"/>
    <w:rsid w:val="00AD3181"/>
    <w:rsid w:val="00B20EF8"/>
    <w:rsid w:val="00B845C3"/>
    <w:rsid w:val="00BD31DA"/>
    <w:rsid w:val="00C51804"/>
    <w:rsid w:val="00CD5698"/>
    <w:rsid w:val="00D50464"/>
    <w:rsid w:val="00D91383"/>
    <w:rsid w:val="00DA3648"/>
    <w:rsid w:val="00E006C2"/>
    <w:rsid w:val="00E01949"/>
    <w:rsid w:val="00E062BE"/>
    <w:rsid w:val="00E25CCD"/>
    <w:rsid w:val="00F33C04"/>
    <w:rsid w:val="00F820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3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819"/>
    <w:rPr>
      <w:rFonts w:eastAsiaTheme="minorEastAsia"/>
      <w:lang w:eastAsia="en-AU"/>
    </w:rPr>
  </w:style>
  <w:style w:type="paragraph" w:styleId="Heading1">
    <w:name w:val="heading 1"/>
    <w:basedOn w:val="Normal"/>
    <w:next w:val="Normal"/>
    <w:link w:val="Heading1Char"/>
    <w:uiPriority w:val="9"/>
    <w:qFormat/>
    <w:rsid w:val="00D913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13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819"/>
    <w:rPr>
      <w:rFonts w:eastAsiaTheme="minorEastAsia"/>
      <w:lang w:eastAsia="en-AU"/>
    </w:rPr>
  </w:style>
  <w:style w:type="paragraph" w:styleId="Footer">
    <w:name w:val="footer"/>
    <w:basedOn w:val="Normal"/>
    <w:link w:val="FooterChar"/>
    <w:uiPriority w:val="99"/>
    <w:unhideWhenUsed/>
    <w:rsid w:val="00347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819"/>
    <w:rPr>
      <w:rFonts w:eastAsiaTheme="minorEastAsia"/>
      <w:lang w:eastAsia="en-AU"/>
    </w:rPr>
  </w:style>
  <w:style w:type="paragraph" w:customStyle="1" w:styleId="BodyText1">
    <w:name w:val="Body Text1"/>
    <w:basedOn w:val="Normal"/>
    <w:qFormat/>
    <w:rsid w:val="00347819"/>
    <w:rPr>
      <w:rFonts w:ascii="Arial" w:eastAsia="Calibri" w:hAnsi="Arial" w:cs="Arial"/>
      <w:color w:val="000000"/>
      <w:lang w:eastAsia="en-US"/>
    </w:rPr>
  </w:style>
  <w:style w:type="character" w:styleId="Hyperlink">
    <w:name w:val="Hyperlink"/>
    <w:basedOn w:val="DefaultParagraphFont"/>
    <w:uiPriority w:val="99"/>
    <w:unhideWhenUsed/>
    <w:rsid w:val="00347819"/>
    <w:rPr>
      <w:color w:val="0000FF" w:themeColor="hyperlink"/>
      <w:u w:val="single"/>
    </w:rPr>
  </w:style>
  <w:style w:type="paragraph" w:styleId="FootnoteText">
    <w:name w:val="footnote text"/>
    <w:basedOn w:val="Normal"/>
    <w:link w:val="FootnoteTextChar"/>
    <w:uiPriority w:val="99"/>
    <w:semiHidden/>
    <w:unhideWhenUsed/>
    <w:rsid w:val="003955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5C0"/>
    <w:rPr>
      <w:rFonts w:eastAsiaTheme="minorEastAsia"/>
      <w:sz w:val="20"/>
      <w:szCs w:val="20"/>
      <w:lang w:eastAsia="en-AU"/>
    </w:rPr>
  </w:style>
  <w:style w:type="character" w:styleId="FootnoteReference">
    <w:name w:val="footnote reference"/>
    <w:basedOn w:val="DefaultParagraphFont"/>
    <w:uiPriority w:val="99"/>
    <w:semiHidden/>
    <w:unhideWhenUsed/>
    <w:rsid w:val="003955C0"/>
    <w:rPr>
      <w:vertAlign w:val="superscript"/>
    </w:rPr>
  </w:style>
  <w:style w:type="character" w:styleId="Strong">
    <w:name w:val="Strong"/>
    <w:basedOn w:val="DefaultParagraphFont"/>
    <w:uiPriority w:val="22"/>
    <w:qFormat/>
    <w:rsid w:val="00D91383"/>
    <w:rPr>
      <w:b/>
      <w:bCs/>
    </w:rPr>
  </w:style>
  <w:style w:type="character" w:customStyle="1" w:styleId="Heading2Char">
    <w:name w:val="Heading 2 Char"/>
    <w:basedOn w:val="DefaultParagraphFont"/>
    <w:link w:val="Heading2"/>
    <w:uiPriority w:val="9"/>
    <w:rsid w:val="00D91383"/>
    <w:rPr>
      <w:rFonts w:asciiTheme="majorHAnsi" w:eastAsiaTheme="majorEastAsia" w:hAnsiTheme="majorHAnsi" w:cstheme="majorBidi"/>
      <w:b/>
      <w:bCs/>
      <w:color w:val="4F81BD" w:themeColor="accent1"/>
      <w:sz w:val="26"/>
      <w:szCs w:val="26"/>
      <w:lang w:eastAsia="en-AU"/>
    </w:rPr>
  </w:style>
  <w:style w:type="character" w:customStyle="1" w:styleId="Heading1Char">
    <w:name w:val="Heading 1 Char"/>
    <w:basedOn w:val="DefaultParagraphFont"/>
    <w:link w:val="Heading1"/>
    <w:uiPriority w:val="9"/>
    <w:rsid w:val="00D91383"/>
    <w:rPr>
      <w:rFonts w:asciiTheme="majorHAnsi" w:eastAsiaTheme="majorEastAsia" w:hAnsiTheme="majorHAnsi" w:cstheme="majorBidi"/>
      <w:b/>
      <w:bCs/>
      <w:color w:val="365F91" w:themeColor="accent1" w:themeShade="BF"/>
      <w:sz w:val="28"/>
      <w:szCs w:val="28"/>
      <w:lang w:eastAsia="en-AU"/>
    </w:rPr>
  </w:style>
  <w:style w:type="character" w:styleId="CommentReference">
    <w:name w:val="annotation reference"/>
    <w:basedOn w:val="DefaultParagraphFont"/>
    <w:uiPriority w:val="99"/>
    <w:semiHidden/>
    <w:unhideWhenUsed/>
    <w:rsid w:val="00E006C2"/>
    <w:rPr>
      <w:sz w:val="16"/>
      <w:szCs w:val="16"/>
    </w:rPr>
  </w:style>
  <w:style w:type="paragraph" w:styleId="CommentText">
    <w:name w:val="annotation text"/>
    <w:basedOn w:val="Normal"/>
    <w:link w:val="CommentTextChar"/>
    <w:uiPriority w:val="99"/>
    <w:semiHidden/>
    <w:unhideWhenUsed/>
    <w:rsid w:val="00E006C2"/>
    <w:pPr>
      <w:spacing w:line="240" w:lineRule="auto"/>
    </w:pPr>
    <w:rPr>
      <w:sz w:val="20"/>
      <w:szCs w:val="20"/>
    </w:rPr>
  </w:style>
  <w:style w:type="character" w:customStyle="1" w:styleId="CommentTextChar">
    <w:name w:val="Comment Text Char"/>
    <w:basedOn w:val="DefaultParagraphFont"/>
    <w:link w:val="CommentText"/>
    <w:uiPriority w:val="99"/>
    <w:semiHidden/>
    <w:rsid w:val="00E006C2"/>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E006C2"/>
    <w:rPr>
      <w:b/>
      <w:bCs/>
    </w:rPr>
  </w:style>
  <w:style w:type="character" w:customStyle="1" w:styleId="CommentSubjectChar">
    <w:name w:val="Comment Subject Char"/>
    <w:basedOn w:val="CommentTextChar"/>
    <w:link w:val="CommentSubject"/>
    <w:uiPriority w:val="99"/>
    <w:semiHidden/>
    <w:rsid w:val="00E006C2"/>
    <w:rPr>
      <w:rFonts w:eastAsiaTheme="minorEastAsia"/>
      <w:b/>
      <w:bCs/>
      <w:sz w:val="20"/>
      <w:szCs w:val="20"/>
      <w:lang w:eastAsia="en-AU"/>
    </w:rPr>
  </w:style>
  <w:style w:type="paragraph" w:styleId="BalloonText">
    <w:name w:val="Balloon Text"/>
    <w:basedOn w:val="Normal"/>
    <w:link w:val="BalloonTextChar"/>
    <w:uiPriority w:val="99"/>
    <w:semiHidden/>
    <w:unhideWhenUsed/>
    <w:rsid w:val="00E00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6C2"/>
    <w:rPr>
      <w:rFonts w:ascii="Tahoma" w:eastAsiaTheme="minorEastAsia" w:hAnsi="Tahoma" w:cs="Tahoma"/>
      <w:sz w:val="16"/>
      <w:szCs w:val="16"/>
      <w:lang w:eastAsia="en-AU"/>
    </w:rPr>
  </w:style>
  <w:style w:type="character" w:styleId="FollowedHyperlink">
    <w:name w:val="FollowedHyperlink"/>
    <w:basedOn w:val="DefaultParagraphFont"/>
    <w:uiPriority w:val="99"/>
    <w:semiHidden/>
    <w:unhideWhenUsed/>
    <w:rsid w:val="005E0F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sultation@oaic.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relayservice.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kpmg/content/dam/kpmg/xx/pdf/2019/03/consumer-loss-barometer-2019.pdf" TargetMode="External"/><Relationship Id="rId2" Type="http://schemas.openxmlformats.org/officeDocument/2006/relationships/hyperlink" Target="https://accan.org.au/our-work/submissions/1549-cdr-rules-framework" TargetMode="External"/><Relationship Id="rId1" Type="http://schemas.openxmlformats.org/officeDocument/2006/relationships/hyperlink" Target="https://accan.org.au/our-work/submissions/1536-consumer-data-right-submission" TargetMode="External"/><Relationship Id="rId4" Type="http://schemas.openxmlformats.org/officeDocument/2006/relationships/hyperlink" Target="https://www.and.org.au/pages/inclusive-languag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1925</Words>
  <Characters>10976</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2020-01-07T04:53:00Z</dcterms:created>
  <dcterms:modified xsi:type="dcterms:W3CDTF">2020-01-07T04:53:00Z</dcterms:modified>
</cp:coreProperties>
</file>