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6EE90" w14:textId="77777777" w:rsidR="002B6A16" w:rsidRDefault="002B6A16" w:rsidP="002B6A16">
      <w:pPr>
        <w:spacing w:after="0" w:line="240" w:lineRule="auto"/>
        <w:rPr>
          <w:rFonts w:ascii="Source Sans Pro" w:eastAsia="Batang" w:hAnsi="Source Sans Pro" w:cs="Times New Roman"/>
          <w:szCs w:val="20"/>
          <w:lang w:eastAsia="ko-KR"/>
        </w:rPr>
      </w:pPr>
      <w:bookmarkStart w:id="0" w:name="_Hlk503275036"/>
    </w:p>
    <w:p w14:paraId="0A74D1C2" w14:textId="77777777" w:rsidR="002B6A16" w:rsidRDefault="002B6A16" w:rsidP="002B6A16">
      <w:pPr>
        <w:spacing w:after="0" w:line="240" w:lineRule="auto"/>
        <w:rPr>
          <w:rFonts w:ascii="Source Sans Pro" w:eastAsia="Batang" w:hAnsi="Source Sans Pro" w:cs="Times New Roman"/>
          <w:szCs w:val="20"/>
          <w:lang w:eastAsia="ko-KR"/>
        </w:rPr>
      </w:pPr>
    </w:p>
    <w:p w14:paraId="64678A41" w14:textId="779AD89C" w:rsidR="002B6A16" w:rsidRPr="002B6A16" w:rsidRDefault="002B6A16" w:rsidP="002B6A16">
      <w:pPr>
        <w:spacing w:after="0" w:line="240" w:lineRule="auto"/>
        <w:rPr>
          <w:rFonts w:ascii="Source Sans Pro" w:eastAsia="Batang" w:hAnsi="Source Sans Pro" w:cs="Times New Roman"/>
          <w:szCs w:val="20"/>
          <w:lang w:eastAsia="ko-KR"/>
        </w:rPr>
      </w:pPr>
      <w:r w:rsidRPr="002B6A16">
        <w:rPr>
          <w:rFonts w:ascii="Source Sans Pro" w:eastAsia="Batang" w:hAnsi="Source Sans Pro" w:cs="Times New Roman"/>
          <w:szCs w:val="20"/>
          <w:lang w:eastAsia="ko-KR"/>
        </w:rPr>
        <w:t>November 2020</w:t>
      </w:r>
    </w:p>
    <w:p w14:paraId="732FCC42" w14:textId="77777777" w:rsidR="002B6A16" w:rsidRPr="002B6A16" w:rsidRDefault="002B6A16" w:rsidP="002B6A16">
      <w:pPr>
        <w:keepNext/>
        <w:keepLines/>
        <w:spacing w:after="180" w:line="380" w:lineRule="exact"/>
        <w:outlineLvl w:val="1"/>
        <w:rPr>
          <w:rFonts w:ascii="Source Sans Pro SemiBold" w:eastAsia="SimHei" w:hAnsi="Source Sans Pro SemiBold" w:cs="Times New Roman"/>
          <w:color w:val="002A3A"/>
          <w:spacing w:val="1"/>
          <w:sz w:val="36"/>
          <w:szCs w:val="36"/>
        </w:rPr>
      </w:pPr>
      <w:r w:rsidRPr="002B6A16">
        <w:rPr>
          <w:rFonts w:ascii="Source Sans Pro SemiBold" w:eastAsia="SimHei" w:hAnsi="Source Sans Pro SemiBold" w:cs="Times New Roman"/>
          <w:color w:val="002A3A"/>
          <w:spacing w:val="1"/>
          <w:sz w:val="36"/>
          <w:szCs w:val="36"/>
        </w:rPr>
        <w:br/>
      </w:r>
      <w:bookmarkEnd w:id="0"/>
      <w:r w:rsidRPr="002B6A16">
        <w:rPr>
          <w:rFonts w:ascii="Source Sans Pro SemiBold" w:eastAsia="SimHei" w:hAnsi="Source Sans Pro SemiBold" w:cs="Times New Roman"/>
          <w:color w:val="002A3A"/>
          <w:spacing w:val="1"/>
          <w:sz w:val="36"/>
          <w:szCs w:val="36"/>
        </w:rPr>
        <w:t xml:space="preserve">Overview of the </w:t>
      </w:r>
      <w:r w:rsidRPr="002B6A16">
        <w:rPr>
          <w:rFonts w:ascii="Source Sans Pro SemiBold" w:eastAsia="SimHei" w:hAnsi="Source Sans Pro SemiBold" w:cs="Times New Roman"/>
          <w:i/>
          <w:iCs/>
          <w:color w:val="002A3A"/>
          <w:spacing w:val="1"/>
          <w:sz w:val="36"/>
          <w:szCs w:val="36"/>
        </w:rPr>
        <w:t>Freedom of Information Act 1982</w:t>
      </w:r>
    </w:p>
    <w:p w14:paraId="0BBBE85B" w14:textId="650F31F9" w:rsidR="002B6A16" w:rsidRPr="002B6A16" w:rsidRDefault="002B6A16" w:rsidP="002B6A16">
      <w:pPr>
        <w:spacing w:after="120" w:line="240" w:lineRule="auto"/>
        <w:rPr>
          <w:rFonts w:ascii="Source Sans Pro" w:eastAsia="Batang" w:hAnsi="Source Sans Pro" w:cs="Times New Roman"/>
          <w:lang w:eastAsia="ko-KR"/>
        </w:rPr>
      </w:pPr>
      <w:r w:rsidRPr="002B6A16">
        <w:rPr>
          <w:rFonts w:ascii="Source Sans Pro" w:eastAsia="Batang" w:hAnsi="Source Sans Pro" w:cs="Times New Roman"/>
          <w:lang w:eastAsia="ko-KR"/>
        </w:rPr>
        <w:t xml:space="preserve">This fact sheet </w:t>
      </w:r>
      <w:r>
        <w:rPr>
          <w:rFonts w:ascii="Source Sans Pro" w:eastAsia="Batang" w:hAnsi="Source Sans Pro" w:cs="Times New Roman"/>
          <w:lang w:eastAsia="ko-KR"/>
        </w:rPr>
        <w:t>provides</w:t>
      </w:r>
      <w:r w:rsidRPr="002B6A16">
        <w:rPr>
          <w:rFonts w:ascii="Source Sans Pro" w:eastAsia="Batang" w:hAnsi="Source Sans Pro" w:cs="Times New Roman"/>
          <w:lang w:eastAsia="ko-KR"/>
        </w:rPr>
        <w:t xml:space="preserve"> agency staff with a broad overview of the </w:t>
      </w:r>
      <w:r w:rsidRPr="002B6A16">
        <w:rPr>
          <w:rFonts w:ascii="Source Sans Pro" w:eastAsia="Batang" w:hAnsi="Source Sans Pro" w:cs="Times New Roman"/>
          <w:i/>
          <w:iCs/>
          <w:lang w:eastAsia="ko-KR"/>
        </w:rPr>
        <w:t>Freedom of Information Act 1982</w:t>
      </w:r>
      <w:r w:rsidRPr="002B6A16">
        <w:rPr>
          <w:rFonts w:ascii="Source Sans Pro" w:eastAsia="Batang" w:hAnsi="Source Sans Pro" w:cs="Times New Roman"/>
          <w:lang w:eastAsia="ko-KR"/>
        </w:rPr>
        <w:t xml:space="preserve"> (FOI Act) and the steps required to be taken when an FOI request is received. </w:t>
      </w:r>
    </w:p>
    <w:p w14:paraId="42CD9F95" w14:textId="77777777" w:rsidR="002B6A16" w:rsidRPr="002B6A16" w:rsidRDefault="002B6A16" w:rsidP="002B6A16">
      <w:pPr>
        <w:spacing w:after="120" w:line="240" w:lineRule="auto"/>
        <w:rPr>
          <w:rFonts w:ascii="Source Sans Pro" w:eastAsia="Batang" w:hAnsi="Source Sans Pro" w:cs="Times New Roman"/>
          <w:lang w:eastAsia="ko-KR"/>
        </w:rPr>
      </w:pPr>
      <w:r w:rsidRPr="002B6A16">
        <w:rPr>
          <w:rFonts w:ascii="Source Sans Pro" w:eastAsia="Batang" w:hAnsi="Source Sans Pro" w:cs="Times New Roman"/>
          <w:lang w:eastAsia="ko-KR"/>
        </w:rPr>
        <w:t xml:space="preserve">The FOI Act </w:t>
      </w:r>
      <w:r w:rsidRPr="002B6A16">
        <w:rPr>
          <w:rFonts w:ascii="Source Sans Pro" w:eastAsia="Batang" w:hAnsi="Source Sans Pro" w:cs="Times New Roman"/>
          <w:szCs w:val="20"/>
          <w:lang w:eastAsia="ko-KR"/>
        </w:rPr>
        <w:t>is regulated by the Office of the Australian Information Commissioner (OAIC), an independent statutory agency within the Attorney-General’s portfolio.</w:t>
      </w:r>
    </w:p>
    <w:p w14:paraId="656FFDA1" w14:textId="77777777" w:rsidR="002B6A16" w:rsidRPr="002B6A16" w:rsidRDefault="002B6A16" w:rsidP="002B6A16">
      <w:pPr>
        <w:spacing w:after="120" w:line="240" w:lineRule="auto"/>
        <w:rPr>
          <w:rFonts w:ascii="Source Sans Pro" w:eastAsia="Batang" w:hAnsi="Source Sans Pro" w:cs="Times New Roman"/>
          <w:lang w:eastAsia="ko-KR"/>
        </w:rPr>
      </w:pPr>
      <w:r w:rsidRPr="002B6A16">
        <w:rPr>
          <w:rFonts w:ascii="Source Sans Pro" w:eastAsia="Batang" w:hAnsi="Source Sans Pro" w:cs="Times New Roman"/>
          <w:lang w:eastAsia="ko-KR"/>
        </w:rPr>
        <w:t>The FOI Act gives the Australian community a right of access to information held by most Australian government agencies.</w:t>
      </w:r>
    </w:p>
    <w:p w14:paraId="1461F5EA" w14:textId="77777777" w:rsidR="002B6A16" w:rsidRPr="002B6A16" w:rsidRDefault="002B6A16" w:rsidP="002B6A16">
      <w:pPr>
        <w:keepNext/>
        <w:keepLines/>
        <w:spacing w:before="180" w:after="120" w:line="240" w:lineRule="auto"/>
        <w:outlineLvl w:val="2"/>
        <w:rPr>
          <w:rFonts w:ascii="Source Sans Pro SemiBold" w:eastAsia="Dotum" w:hAnsi="Source Sans Pro SemiBold" w:cs="Times New Roman"/>
          <w:bCs/>
          <w:color w:val="002A3A"/>
          <w:sz w:val="30"/>
          <w:szCs w:val="20"/>
        </w:rPr>
      </w:pPr>
      <w:r w:rsidRPr="002B6A16">
        <w:rPr>
          <w:rFonts w:ascii="Source Sans Pro SemiBold" w:eastAsia="Dotum" w:hAnsi="Source Sans Pro SemiBold" w:cs="Times New Roman"/>
          <w:bCs/>
          <w:color w:val="002A3A"/>
          <w:sz w:val="30"/>
          <w:szCs w:val="20"/>
        </w:rPr>
        <w:t>What happens after an agency receives an FOI request?</w:t>
      </w:r>
    </w:p>
    <w:p w14:paraId="0D23BF1E" w14:textId="77777777" w:rsidR="002B6A16" w:rsidRPr="002B6A16" w:rsidRDefault="002B6A16" w:rsidP="002B6A16">
      <w:pPr>
        <w:spacing w:after="120" w:line="240" w:lineRule="auto"/>
        <w:rPr>
          <w:rFonts w:ascii="Source Sans Pro" w:eastAsia="Batang" w:hAnsi="Source Sans Pro" w:cs="Times New Roman"/>
          <w:lang w:eastAsia="ko-KR"/>
        </w:rPr>
      </w:pPr>
      <w:r w:rsidRPr="002B6A16">
        <w:rPr>
          <w:rFonts w:ascii="Source Sans Pro" w:eastAsia="Batang" w:hAnsi="Source Sans Pro" w:cs="Times New Roman"/>
          <w:lang w:eastAsia="ko-KR"/>
        </w:rPr>
        <w:t xml:space="preserve">The FOI Act requires agencies to acknowledge receipt of an FOI request within 14 days. Agencies must process all FOI requests as soon as possible, and no later than 30 calendar days after the day on which the request was received. </w:t>
      </w:r>
    </w:p>
    <w:p w14:paraId="2F67A2B6" w14:textId="77777777" w:rsidR="002B6A16" w:rsidRPr="002B6A16" w:rsidRDefault="002B6A16" w:rsidP="002B6A16">
      <w:pPr>
        <w:spacing w:after="120" w:line="240" w:lineRule="auto"/>
        <w:rPr>
          <w:rFonts w:ascii="Source Sans Pro" w:eastAsia="Batang" w:hAnsi="Source Sans Pro" w:cs="Times New Roman"/>
          <w:lang w:eastAsia="ko-KR"/>
        </w:rPr>
      </w:pPr>
      <w:r w:rsidRPr="002B6A16">
        <w:rPr>
          <w:rFonts w:ascii="Source Sans Pro" w:eastAsia="Batang" w:hAnsi="Source Sans Pro" w:cs="Times New Roman"/>
          <w:lang w:eastAsia="ko-KR"/>
        </w:rPr>
        <w:t xml:space="preserve">In some limited circumstances the statutory timeframe may be extended; for example, with the agreement of the applicant or if agencies need to consult a third party. </w:t>
      </w:r>
    </w:p>
    <w:p w14:paraId="35D9FE87" w14:textId="77777777" w:rsidR="002B6A16" w:rsidRPr="002B6A16" w:rsidRDefault="002B6A16" w:rsidP="002B6A16">
      <w:pPr>
        <w:spacing w:after="120" w:line="240" w:lineRule="auto"/>
        <w:rPr>
          <w:rFonts w:ascii="Source Sans Pro" w:eastAsia="Batang" w:hAnsi="Source Sans Pro" w:cs="Times New Roman"/>
          <w:lang w:eastAsia="ko-KR"/>
        </w:rPr>
      </w:pPr>
      <w:r w:rsidRPr="002B6A16">
        <w:rPr>
          <w:rFonts w:ascii="Source Sans Pro" w:eastAsia="Batang" w:hAnsi="Source Sans Pro" w:cs="Times New Roman"/>
          <w:lang w:eastAsia="ko-KR"/>
        </w:rPr>
        <w:t xml:space="preserve">An extension of time for a large or complex request may also be granted by the Information Commissioner. </w:t>
      </w:r>
    </w:p>
    <w:p w14:paraId="070655CA" w14:textId="77777777" w:rsidR="002B6A16" w:rsidRPr="002B6A16" w:rsidRDefault="002B6A16" w:rsidP="002B6A16">
      <w:pPr>
        <w:spacing w:after="120" w:line="240" w:lineRule="auto"/>
        <w:rPr>
          <w:rFonts w:ascii="Source Sans Pro" w:eastAsia="Batang" w:hAnsi="Source Sans Pro" w:cs="Calibri"/>
          <w:lang w:val="en-US" w:eastAsia="ko-KR"/>
        </w:rPr>
      </w:pPr>
      <w:r w:rsidRPr="002B6A16">
        <w:rPr>
          <w:rFonts w:ascii="Source Sans Pro" w:eastAsia="Batang" w:hAnsi="Source Sans Pro" w:cs="Calibri"/>
          <w:lang w:val="en-US" w:eastAsia="ko-KR"/>
        </w:rPr>
        <w:t>Failure to comply with the time limit means the agency is deemed to have refused the FOI request (this is called a ‘deemed refusal’). A deemed refusal is reviewable by the Information Commissioner.</w:t>
      </w:r>
    </w:p>
    <w:p w14:paraId="1915EA92" w14:textId="77777777" w:rsidR="002B6A16" w:rsidRPr="002B6A16" w:rsidRDefault="002B6A16" w:rsidP="002B6A16">
      <w:pPr>
        <w:spacing w:after="120" w:line="240" w:lineRule="auto"/>
        <w:rPr>
          <w:rFonts w:ascii="Source Sans Pro" w:eastAsia="Batang" w:hAnsi="Source Sans Pro" w:cs="Times New Roman"/>
          <w:lang w:eastAsia="ko-KR"/>
        </w:rPr>
      </w:pPr>
      <w:r w:rsidRPr="002B6A16">
        <w:rPr>
          <w:rFonts w:ascii="Source Sans Pro" w:eastAsia="Batang" w:hAnsi="Source Sans Pro" w:cs="Segoe UI"/>
          <w:lang w:eastAsia="ko-KR"/>
        </w:rPr>
        <w:t>For more information about the processing periods see ‘</w:t>
      </w:r>
      <w:hyperlink r:id="rId7" w:history="1">
        <w:r w:rsidRPr="002B6A16">
          <w:rPr>
            <w:rFonts w:ascii="Source Sans Pro" w:eastAsia="Batang" w:hAnsi="Source Sans Pro" w:cs="Segoe UI"/>
            <w:color w:val="002A3A"/>
            <w:u w:val="single"/>
            <w:lang w:eastAsia="ko-KR"/>
          </w:rPr>
          <w:t>How long does an agency have to process a freedom of information request</w:t>
        </w:r>
      </w:hyperlink>
      <w:r w:rsidRPr="002B6A16">
        <w:rPr>
          <w:rFonts w:ascii="Source Sans Pro" w:eastAsia="Batang" w:hAnsi="Source Sans Pro" w:cs="Segoe UI"/>
          <w:lang w:eastAsia="ko-KR"/>
        </w:rPr>
        <w:t xml:space="preserve">?’ and </w:t>
      </w:r>
      <w:hyperlink r:id="rId8" w:anchor="section-5" w:history="1">
        <w:r w:rsidRPr="002B6A16">
          <w:rPr>
            <w:rFonts w:ascii="Source Sans Pro" w:eastAsia="Batang" w:hAnsi="Source Sans Pro" w:cs="Segoe UI"/>
            <w:color w:val="002A3A"/>
            <w:u w:val="single"/>
            <w:lang w:eastAsia="ko-KR"/>
          </w:rPr>
          <w:t>FOI Essentials: Timeframes and Extensions</w:t>
        </w:r>
      </w:hyperlink>
      <w:r w:rsidRPr="002B6A16">
        <w:rPr>
          <w:rFonts w:ascii="Source Sans Pro" w:eastAsia="Batang" w:hAnsi="Source Sans Pro" w:cs="Segoe UI"/>
          <w:lang w:eastAsia="ko-KR"/>
        </w:rPr>
        <w:t xml:space="preserve"> on the OAIC website. </w:t>
      </w:r>
    </w:p>
    <w:p w14:paraId="78D4A1C0" w14:textId="77777777" w:rsidR="002B6A16" w:rsidRPr="002B6A16" w:rsidRDefault="002B6A16" w:rsidP="002B6A16">
      <w:pPr>
        <w:keepNext/>
        <w:keepLines/>
        <w:spacing w:before="180" w:after="120" w:line="240" w:lineRule="auto"/>
        <w:outlineLvl w:val="2"/>
        <w:rPr>
          <w:rFonts w:ascii="Source Sans Pro SemiBold" w:eastAsia="Dotum" w:hAnsi="Source Sans Pro SemiBold" w:cs="Times New Roman"/>
          <w:bCs/>
          <w:color w:val="002A3A"/>
          <w:sz w:val="30"/>
          <w:szCs w:val="20"/>
        </w:rPr>
      </w:pPr>
      <w:r w:rsidRPr="002B6A16">
        <w:rPr>
          <w:rFonts w:ascii="Source Sans Pro SemiBold" w:eastAsia="Dotum" w:hAnsi="Source Sans Pro SemiBold" w:cs="Times New Roman"/>
          <w:bCs/>
          <w:color w:val="002A3A"/>
          <w:sz w:val="30"/>
          <w:szCs w:val="20"/>
        </w:rPr>
        <w:t>What happens if you are asked to find documents requested under the FOI Act?</w:t>
      </w:r>
    </w:p>
    <w:p w14:paraId="104E443B" w14:textId="77777777" w:rsidR="002B6A16" w:rsidRPr="002B6A16" w:rsidRDefault="002B6A16" w:rsidP="002B6A16">
      <w:pPr>
        <w:spacing w:after="120" w:line="240" w:lineRule="auto"/>
        <w:rPr>
          <w:rFonts w:ascii="Source Sans Pro" w:eastAsia="Batang" w:hAnsi="Source Sans Pro" w:cs="Times New Roman"/>
          <w:szCs w:val="20"/>
        </w:rPr>
      </w:pPr>
      <w:r w:rsidRPr="002B6A16">
        <w:rPr>
          <w:rFonts w:ascii="Source Sans Pro" w:eastAsia="Batang" w:hAnsi="Source Sans Pro" w:cs="Times New Roman"/>
          <w:szCs w:val="20"/>
        </w:rPr>
        <w:t xml:space="preserve">You may be asked to find documents requested under the FOI Act. Because statutory timeframes apply, it is important that you look for documents promptly, within the period of time given by your agency’s FOI team. </w:t>
      </w:r>
    </w:p>
    <w:p w14:paraId="259C3A1E" w14:textId="77777777" w:rsidR="002B6A16" w:rsidRPr="002B6A16" w:rsidRDefault="002B6A16" w:rsidP="002B6A16">
      <w:pPr>
        <w:spacing w:after="120" w:line="240" w:lineRule="auto"/>
        <w:rPr>
          <w:rFonts w:ascii="Source Sans Pro" w:eastAsia="Batang" w:hAnsi="Source Sans Pro" w:cs="Times New Roman"/>
          <w:lang w:eastAsia="ko-KR"/>
        </w:rPr>
      </w:pPr>
      <w:r w:rsidRPr="002B6A16">
        <w:rPr>
          <w:rFonts w:ascii="Source Sans Pro" w:eastAsia="Batang" w:hAnsi="Source Sans Pro" w:cs="Times New Roman"/>
          <w:szCs w:val="20"/>
          <w:lang w:eastAsia="ko-KR"/>
        </w:rPr>
        <w:t xml:space="preserve">You </w:t>
      </w:r>
      <w:r w:rsidRPr="002B6A16">
        <w:rPr>
          <w:rFonts w:ascii="Source Sans Pro" w:eastAsia="Batang" w:hAnsi="Source Sans Pro" w:cs="Times New Roman"/>
          <w:lang w:eastAsia="ko-KR"/>
        </w:rPr>
        <w:t>must take ‘all reasonable steps’ to find documents requested by members of the public under the FOI Act.</w:t>
      </w:r>
      <w:r w:rsidRPr="002B6A16">
        <w:rPr>
          <w:rFonts w:ascii="Source Sans Pro" w:eastAsia="Batang" w:hAnsi="Source Sans Pro" w:cs="Times New Roman"/>
          <w:b/>
          <w:bCs/>
          <w:color w:val="333333"/>
          <w:sz w:val="26"/>
          <w:szCs w:val="26"/>
          <w:shd w:val="clear" w:color="auto" w:fill="FFFFFF"/>
          <w:lang w:eastAsia="ko-KR"/>
        </w:rPr>
        <w:t xml:space="preserve"> </w:t>
      </w:r>
      <w:r w:rsidRPr="002B6A16">
        <w:rPr>
          <w:rFonts w:ascii="Source Sans Pro" w:eastAsia="Batang" w:hAnsi="Source Sans Pro" w:cs="Times New Roman"/>
          <w:shd w:val="clear" w:color="auto" w:fill="FFFFFF"/>
          <w:lang w:eastAsia="ko-KR"/>
        </w:rPr>
        <w:t xml:space="preserve">You </w:t>
      </w:r>
      <w:r w:rsidRPr="002B6A16">
        <w:rPr>
          <w:rFonts w:ascii="Source Sans Pro" w:eastAsia="Batang" w:hAnsi="Source Sans Pro" w:cs="Times New Roman"/>
          <w:lang w:eastAsia="ko-KR"/>
        </w:rPr>
        <w:t>should</w:t>
      </w:r>
      <w:r w:rsidRPr="002B6A16">
        <w:rPr>
          <w:rFonts w:ascii="Source Sans Pro" w:eastAsia="Batang" w:hAnsi="Source Sans Pro" w:cs="Times New Roman"/>
          <w:szCs w:val="20"/>
          <w:lang w:eastAsia="ko-KR"/>
        </w:rPr>
        <w:t xml:space="preserve"> undertake a reasonable search based on a flexible and common-sense interpretation of the terms of the request. </w:t>
      </w:r>
    </w:p>
    <w:p w14:paraId="756E4A97" w14:textId="77777777" w:rsidR="002B6A16" w:rsidRPr="002B6A16" w:rsidRDefault="002B6A16" w:rsidP="002B6A16">
      <w:pPr>
        <w:spacing w:after="120" w:line="240" w:lineRule="auto"/>
        <w:rPr>
          <w:rFonts w:ascii="Source Sans Pro" w:eastAsia="Batang" w:hAnsi="Source Sans Pro" w:cs="Times New Roman"/>
          <w:szCs w:val="20"/>
        </w:rPr>
      </w:pPr>
      <w:r w:rsidRPr="002B6A16">
        <w:rPr>
          <w:rFonts w:ascii="Source Sans Pro" w:eastAsia="Batang" w:hAnsi="Source Sans Pro" w:cs="Times New Roman"/>
          <w:szCs w:val="20"/>
        </w:rPr>
        <w:t xml:space="preserve">You must search in all places in which the documents may be stored. This includes databases, records management systems, email accounts, as well as filing systems. </w:t>
      </w:r>
    </w:p>
    <w:p w14:paraId="23307DD1" w14:textId="77777777" w:rsidR="002B6A16" w:rsidRPr="002B6A16" w:rsidRDefault="002B6A16" w:rsidP="002B6A16">
      <w:pPr>
        <w:spacing w:after="120" w:line="240" w:lineRule="auto"/>
        <w:rPr>
          <w:rFonts w:ascii="Source Sans Pro" w:eastAsia="Batang" w:hAnsi="Source Sans Pro" w:cs="Times New Roman"/>
          <w:szCs w:val="20"/>
        </w:rPr>
      </w:pPr>
      <w:r w:rsidRPr="002B6A16">
        <w:rPr>
          <w:rFonts w:ascii="Source Sans Pro" w:eastAsia="Batang" w:hAnsi="Source Sans Pro" w:cs="Times New Roman"/>
          <w:szCs w:val="20"/>
        </w:rPr>
        <w:t xml:space="preserve">If you do not provide documents within the timeframe requested, a decision will have to be made on the basis of the information available to the decision maker. Therefore it is important that you undertake all relevant searches, because your agency is relying on you to find all documents requested. </w:t>
      </w:r>
    </w:p>
    <w:p w14:paraId="16577140" w14:textId="77777777" w:rsidR="002B6A16" w:rsidRPr="002B6A16" w:rsidRDefault="002B6A16" w:rsidP="002B6A16">
      <w:pPr>
        <w:spacing w:after="120" w:line="240" w:lineRule="auto"/>
        <w:rPr>
          <w:rFonts w:ascii="Source Sans Pro" w:eastAsia="Batang" w:hAnsi="Source Sans Pro" w:cs="Segoe UI"/>
          <w:spacing w:val="-15"/>
          <w:lang w:eastAsia="ko-KR"/>
        </w:rPr>
      </w:pPr>
      <w:r w:rsidRPr="002B6A16">
        <w:rPr>
          <w:rFonts w:ascii="Source Sans Pro" w:eastAsia="Batang" w:hAnsi="Source Sans Pro" w:cs="Times New Roman"/>
          <w:szCs w:val="20"/>
        </w:rPr>
        <w:lastRenderedPageBreak/>
        <w:t xml:space="preserve">The OAIC has published a resource to guide you when looking for documents within the scope of an FOI request - </w:t>
      </w:r>
      <w:hyperlink r:id="rId9" w:history="1">
        <w:r w:rsidRPr="002B6A16">
          <w:rPr>
            <w:rFonts w:ascii="Source Sans Pro" w:eastAsia="Batang" w:hAnsi="Source Sans Pro" w:cstheme="minorHAnsi"/>
            <w:color w:val="002A3A"/>
            <w:spacing w:val="-15"/>
            <w:u w:val="single"/>
            <w:lang w:eastAsia="ko-KR"/>
          </w:rPr>
          <w:t>Processing FOI requests: taking all reasonable steps to find documents</w:t>
        </w:r>
      </w:hyperlink>
      <w:r w:rsidRPr="002B6A16">
        <w:rPr>
          <w:rFonts w:ascii="Source Sans Pro" w:eastAsia="Batang" w:hAnsi="Source Sans Pro" w:cs="Segoe UI"/>
          <w:spacing w:val="-15"/>
          <w:lang w:eastAsia="ko-KR"/>
        </w:rPr>
        <w:t xml:space="preserve">. </w:t>
      </w:r>
    </w:p>
    <w:p w14:paraId="33A0722D" w14:textId="77777777" w:rsidR="002B6A16" w:rsidRPr="002B6A16" w:rsidRDefault="002B6A16" w:rsidP="002B6A16">
      <w:pPr>
        <w:spacing w:after="120" w:line="240" w:lineRule="auto"/>
        <w:rPr>
          <w:rFonts w:ascii="Source Sans Pro" w:eastAsia="Batang" w:hAnsi="Source Sans Pro" w:cs="Times New Roman"/>
          <w:szCs w:val="20"/>
          <w:lang w:eastAsia="ko-KR"/>
        </w:rPr>
      </w:pPr>
      <w:r w:rsidRPr="002B6A16">
        <w:rPr>
          <w:rFonts w:ascii="Source Sans Pro" w:eastAsia="Batang" w:hAnsi="Source Sans Pro" w:cs="Times New Roman"/>
          <w:szCs w:val="20"/>
        </w:rPr>
        <w:t xml:space="preserve">This resource contains an </w:t>
      </w:r>
      <w:hyperlink r:id="rId10" w:history="1">
        <w:r w:rsidRPr="002B6A16">
          <w:rPr>
            <w:rFonts w:ascii="Source Sans Pro" w:eastAsia="Batang" w:hAnsi="Source Sans Pro" w:cs="Times New Roman"/>
            <w:color w:val="002A3A"/>
            <w:szCs w:val="20"/>
            <w:u w:val="single"/>
          </w:rPr>
          <w:t>editable search minute</w:t>
        </w:r>
      </w:hyperlink>
      <w:r w:rsidRPr="002B6A16">
        <w:rPr>
          <w:rFonts w:ascii="Source Sans Pro" w:eastAsia="Batang" w:hAnsi="Source Sans Pro" w:cs="Times New Roman"/>
          <w:szCs w:val="20"/>
        </w:rPr>
        <w:t xml:space="preserve"> that enables you to record the steps you have taken to look for documents.</w:t>
      </w:r>
    </w:p>
    <w:p w14:paraId="2D48FE97" w14:textId="77777777" w:rsidR="002B6A16" w:rsidRPr="002B6A16" w:rsidRDefault="002B6A16" w:rsidP="002B6A16">
      <w:pPr>
        <w:keepNext/>
        <w:keepLines/>
        <w:spacing w:before="180" w:after="120" w:line="240" w:lineRule="auto"/>
        <w:outlineLvl w:val="2"/>
        <w:rPr>
          <w:rFonts w:ascii="Source Sans Pro SemiBold" w:eastAsia="Dotum" w:hAnsi="Source Sans Pro SemiBold" w:cs="Times New Roman"/>
          <w:bCs/>
          <w:color w:val="002A3A"/>
          <w:sz w:val="30"/>
          <w:szCs w:val="20"/>
        </w:rPr>
      </w:pPr>
      <w:r w:rsidRPr="002B6A16">
        <w:rPr>
          <w:rFonts w:ascii="Source Sans Pro SemiBold" w:eastAsia="Dotum" w:hAnsi="Source Sans Pro SemiBold" w:cs="Times New Roman"/>
          <w:bCs/>
          <w:color w:val="002A3A"/>
          <w:sz w:val="30"/>
          <w:szCs w:val="20"/>
        </w:rPr>
        <w:t xml:space="preserve">Request for your views on whether documents should be released </w:t>
      </w:r>
    </w:p>
    <w:p w14:paraId="645BC351" w14:textId="77777777" w:rsidR="002B6A16" w:rsidRPr="002B6A16" w:rsidRDefault="002B6A16" w:rsidP="002B6A16">
      <w:pPr>
        <w:spacing w:after="180" w:line="240" w:lineRule="auto"/>
        <w:rPr>
          <w:rFonts w:ascii="Source Sans Pro" w:eastAsia="Batang" w:hAnsi="Source Sans Pro" w:cs="Times New Roman"/>
          <w:szCs w:val="20"/>
        </w:rPr>
      </w:pPr>
      <w:r w:rsidRPr="002B6A16">
        <w:rPr>
          <w:rFonts w:ascii="Source Sans Pro" w:eastAsia="Batang" w:hAnsi="Source Sans Pro" w:cs="Times New Roman"/>
          <w:szCs w:val="20"/>
        </w:rPr>
        <w:t xml:space="preserve">An FOI practitioner in your agency may ask you to say whether you think a document from your business area should be released. </w:t>
      </w:r>
    </w:p>
    <w:p w14:paraId="2F60D9D0" w14:textId="77777777" w:rsidR="002B6A16" w:rsidRPr="002B6A16" w:rsidRDefault="002B6A16" w:rsidP="002B6A16">
      <w:pPr>
        <w:spacing w:after="180" w:line="240" w:lineRule="auto"/>
        <w:rPr>
          <w:rFonts w:ascii="Source Sans Pro" w:eastAsia="Batang" w:hAnsi="Source Sans Pro" w:cs="Times New Roman"/>
          <w:szCs w:val="20"/>
        </w:rPr>
      </w:pPr>
      <w:r w:rsidRPr="002B6A16">
        <w:rPr>
          <w:rFonts w:ascii="Source Sans Pro" w:eastAsia="Batang" w:hAnsi="Source Sans Pro" w:cs="Times New Roman"/>
          <w:lang w:eastAsia="ko-KR"/>
        </w:rPr>
        <w:t xml:space="preserve">Agencies must give access to a document requested under the FOI Act unless, at that time of making its decision, the document is an ‘exempt document’. A decision maker needs evidence, which can include advice from agency staff such as you, to be satisfied that an exemption is applicable. </w:t>
      </w:r>
    </w:p>
    <w:p w14:paraId="3190BCCE" w14:textId="77777777" w:rsidR="002B6A16" w:rsidRPr="002B6A16" w:rsidRDefault="002B6A16" w:rsidP="002B6A16">
      <w:pPr>
        <w:spacing w:after="180" w:line="240" w:lineRule="auto"/>
        <w:rPr>
          <w:rFonts w:ascii="Source Sans Pro" w:eastAsia="Batang" w:hAnsi="Source Sans Pro" w:cs="Times New Roman"/>
          <w:szCs w:val="20"/>
        </w:rPr>
      </w:pPr>
      <w:r w:rsidRPr="002B6A16">
        <w:rPr>
          <w:rFonts w:ascii="Source Sans Pro" w:eastAsia="Batang" w:hAnsi="Source Sans Pro" w:cs="Times New Roman"/>
          <w:szCs w:val="20"/>
        </w:rPr>
        <w:t xml:space="preserve">If you are asked to provide an opinion, it is important your view is based on a consideration of the sensitivity of the documents and reasons that are permitted to be taken into account under the FOI Act. </w:t>
      </w:r>
    </w:p>
    <w:p w14:paraId="18A8062D" w14:textId="77777777" w:rsidR="002B6A16" w:rsidRPr="002B6A16" w:rsidRDefault="002B6A16" w:rsidP="002B6A16">
      <w:pPr>
        <w:spacing w:after="180" w:line="240" w:lineRule="auto"/>
        <w:rPr>
          <w:rFonts w:ascii="Source Sans Pro" w:eastAsia="Batang" w:hAnsi="Source Sans Pro" w:cs="Times New Roman"/>
          <w:b/>
          <w:bCs/>
          <w:szCs w:val="20"/>
        </w:rPr>
      </w:pPr>
      <w:r w:rsidRPr="002B6A16">
        <w:rPr>
          <w:rFonts w:ascii="Source Sans Pro" w:eastAsia="Batang" w:hAnsi="Source Sans Pro" w:cs="Times New Roman"/>
          <w:b/>
          <w:bCs/>
          <w:szCs w:val="20"/>
          <w:lang w:eastAsia="ko-KR"/>
        </w:rPr>
        <w:t>Providing views on the sensitivity of a document</w:t>
      </w:r>
    </w:p>
    <w:p w14:paraId="0101AFF0" w14:textId="77777777" w:rsidR="002B6A16" w:rsidRPr="002B6A16" w:rsidRDefault="002B6A16" w:rsidP="002B6A16">
      <w:pPr>
        <w:spacing w:after="180" w:line="240" w:lineRule="auto"/>
        <w:rPr>
          <w:rFonts w:ascii="Source Sans Pro" w:eastAsia="Batang" w:hAnsi="Source Sans Pro" w:cs="Times New Roman"/>
          <w:szCs w:val="20"/>
        </w:rPr>
      </w:pPr>
      <w:r w:rsidRPr="002B6A16">
        <w:rPr>
          <w:rFonts w:ascii="Source Sans Pro" w:eastAsia="Batang" w:hAnsi="Source Sans Pro" w:cs="Times New Roman"/>
          <w:szCs w:val="20"/>
        </w:rPr>
        <w:t xml:space="preserve">A security classification on a document does not mean that a document is exempt from disclosure under the FOI Act. A document is only exempt if one of the exemptions in the FOI Act applies. It is possible that only one sentence is exempt and the rest of the document can be released, even if the whole document is classified. In some cases, documents may be classified but the sensitivity that originally justified the classification has passed, in which case the document may no longer be exempt from disclosure under the FOI Act. </w:t>
      </w:r>
    </w:p>
    <w:p w14:paraId="38C73785" w14:textId="77777777" w:rsidR="002B6A16" w:rsidRPr="002B6A16" w:rsidRDefault="002B6A16" w:rsidP="002B6A16">
      <w:pPr>
        <w:spacing w:after="180" w:line="240" w:lineRule="auto"/>
        <w:rPr>
          <w:rFonts w:ascii="Source Sans Pro" w:eastAsia="Batang" w:hAnsi="Source Sans Pro" w:cs="Times New Roman"/>
          <w:b/>
          <w:bCs/>
          <w:szCs w:val="20"/>
        </w:rPr>
      </w:pPr>
      <w:r w:rsidRPr="002B6A16">
        <w:rPr>
          <w:rFonts w:ascii="Source Sans Pro" w:eastAsia="Batang" w:hAnsi="Source Sans Pro" w:cs="Times New Roman"/>
          <w:b/>
          <w:bCs/>
          <w:szCs w:val="20"/>
        </w:rPr>
        <w:t xml:space="preserve">Documents that are unlikely to be exempt </w:t>
      </w:r>
    </w:p>
    <w:p w14:paraId="4DA9BF09" w14:textId="77777777" w:rsidR="002B6A16" w:rsidRPr="002B6A16" w:rsidRDefault="002B6A16" w:rsidP="002B6A16">
      <w:pPr>
        <w:spacing w:after="180" w:line="240" w:lineRule="auto"/>
        <w:rPr>
          <w:rFonts w:ascii="Source Sans Pro" w:eastAsia="Batang" w:hAnsi="Source Sans Pro" w:cs="Times New Roman"/>
          <w:lang w:eastAsia="ko-KR"/>
        </w:rPr>
      </w:pPr>
      <w:r w:rsidRPr="002B6A16">
        <w:rPr>
          <w:rFonts w:ascii="Source Sans Pro" w:eastAsia="Batang" w:hAnsi="Source Sans Pro" w:cs="Times New Roman"/>
          <w:lang w:eastAsia="ko-KR"/>
        </w:rPr>
        <w:t xml:space="preserve">Some documents held by an agency are unlikely to be exempt from disclosure. Examples include documents that agencies are required to publish as part of their Information Publication Scheme, such as the agency’s organisational chart; statutory appointments; annual reports; information routinely released in response to FOI requests; or an agency’s operational information (this is information that assists an agency perform or exercise functions or powers in making decisions or recommendations affecting members of the public). </w:t>
      </w:r>
    </w:p>
    <w:p w14:paraId="76773062" w14:textId="77777777" w:rsidR="002B6A16" w:rsidRPr="002B6A16" w:rsidRDefault="002B6A16" w:rsidP="002B6A16">
      <w:pPr>
        <w:pBdr>
          <w:top w:val="single" w:sz="4" w:space="10" w:color="DDD8D9"/>
          <w:left w:val="single" w:sz="4" w:space="10" w:color="DDD8D9"/>
          <w:bottom w:val="single" w:sz="4" w:space="10" w:color="DDD8D9"/>
          <w:right w:val="single" w:sz="4" w:space="10" w:color="DDD8D9"/>
        </w:pBdr>
        <w:shd w:val="clear" w:color="auto" w:fill="E0DBE3"/>
        <w:spacing w:after="180" w:line="240" w:lineRule="auto"/>
        <w:ind w:left="227" w:right="227"/>
        <w:rPr>
          <w:rFonts w:ascii="Source Sans Pro" w:eastAsia="Source Sans Pro" w:hAnsi="Source Sans Pro" w:cs="Times New Roman"/>
          <w:spacing w:val="1"/>
        </w:rPr>
      </w:pPr>
      <w:r w:rsidRPr="002B6A16">
        <w:rPr>
          <w:rFonts w:ascii="Source Sans Pro" w:eastAsia="Source Sans Pro" w:hAnsi="Source Sans Pro" w:cs="Times New Roman"/>
          <w:spacing w:val="1"/>
        </w:rPr>
        <w:t>[FOI PRACTITIONER: please insert a list of document types that your agency normally releases under administrative access arrangements or under FOI].</w:t>
      </w:r>
    </w:p>
    <w:p w14:paraId="58A25B81" w14:textId="77777777" w:rsidR="002B6A16" w:rsidRPr="002B6A16" w:rsidRDefault="002B6A16" w:rsidP="002B6A16">
      <w:pPr>
        <w:spacing w:after="180" w:line="240" w:lineRule="auto"/>
        <w:rPr>
          <w:rFonts w:ascii="Source Sans Pro" w:eastAsia="Batang" w:hAnsi="Source Sans Pro" w:cs="Times New Roman"/>
          <w:b/>
          <w:szCs w:val="20"/>
          <w:lang w:eastAsia="ko-KR"/>
        </w:rPr>
      </w:pPr>
      <w:r w:rsidRPr="002B6A16">
        <w:rPr>
          <w:rFonts w:ascii="Source Sans Pro" w:eastAsia="Batang" w:hAnsi="Source Sans Pro" w:cs="Times New Roman"/>
          <w:b/>
          <w:bCs/>
          <w:szCs w:val="20"/>
          <w:lang w:eastAsia="ko-KR"/>
        </w:rPr>
        <w:t xml:space="preserve">Reasons that cannot be taken into account in deciding whether documents are exempt </w:t>
      </w:r>
    </w:p>
    <w:p w14:paraId="679D5980" w14:textId="77777777" w:rsidR="002B6A16" w:rsidRPr="002B6A16" w:rsidRDefault="002B6A16" w:rsidP="002B6A16">
      <w:pPr>
        <w:spacing w:after="120" w:line="240" w:lineRule="auto"/>
        <w:rPr>
          <w:rFonts w:ascii="Source Sans Pro" w:eastAsia="Batang" w:hAnsi="Source Sans Pro" w:cs="Times New Roman"/>
          <w:lang w:eastAsia="ko-KR"/>
        </w:rPr>
      </w:pPr>
      <w:r w:rsidRPr="002B6A16">
        <w:rPr>
          <w:rFonts w:ascii="Source Sans Pro" w:eastAsia="Batang" w:hAnsi="Source Sans Pro" w:cs="Times New Roman"/>
          <w:lang w:eastAsia="ko-KR"/>
        </w:rPr>
        <w:t xml:space="preserve">The FOI Act lists factors that cannot be taken into account when deciding whether documents are exempt from disclosure. </w:t>
      </w:r>
      <w:r w:rsidRPr="002B6A16">
        <w:rPr>
          <w:rFonts w:ascii="Source Sans Pro" w:eastAsia="Batang" w:hAnsi="Source Sans Pro" w:cs="Calibri"/>
          <w:color w:val="000000"/>
          <w:lang w:val="en-US" w:eastAsia="ko-KR"/>
        </w:rPr>
        <w:t xml:space="preserve">These irrelevant factors are when: </w:t>
      </w:r>
    </w:p>
    <w:p w14:paraId="1A7F6416" w14:textId="77777777" w:rsidR="002B6A16" w:rsidRPr="002B6A16" w:rsidRDefault="002B6A16" w:rsidP="002B6A16">
      <w:pPr>
        <w:numPr>
          <w:ilvl w:val="0"/>
          <w:numId w:val="3"/>
        </w:numPr>
        <w:spacing w:after="120" w:line="240" w:lineRule="auto"/>
        <w:ind w:left="357" w:hanging="357"/>
        <w:rPr>
          <w:rFonts w:ascii="Source Sans Pro" w:eastAsia="Batang" w:hAnsi="Source Sans Pro" w:cs="Times New Roman"/>
          <w:lang w:eastAsia="ko-KR"/>
        </w:rPr>
      </w:pPr>
      <w:r w:rsidRPr="002B6A16">
        <w:rPr>
          <w:rFonts w:ascii="Source Sans Pro" w:eastAsia="Batang" w:hAnsi="Source Sans Pro" w:cs="Times New Roman"/>
          <w:lang w:eastAsia="ko-KR"/>
        </w:rPr>
        <w:t xml:space="preserve">access to the document could result in embarrassment to the Government or cause a loss of confidence in the Government </w:t>
      </w:r>
    </w:p>
    <w:p w14:paraId="242F58A4" w14:textId="77777777" w:rsidR="002B6A16" w:rsidRPr="002B6A16" w:rsidRDefault="002B6A16" w:rsidP="002B6A16">
      <w:pPr>
        <w:numPr>
          <w:ilvl w:val="0"/>
          <w:numId w:val="3"/>
        </w:numPr>
        <w:spacing w:after="120" w:line="240" w:lineRule="auto"/>
        <w:ind w:left="357" w:hanging="357"/>
        <w:rPr>
          <w:rFonts w:ascii="Source Sans Pro" w:eastAsia="Batang" w:hAnsi="Source Sans Pro" w:cs="Times New Roman"/>
          <w:lang w:eastAsia="ko-KR"/>
        </w:rPr>
      </w:pPr>
      <w:r w:rsidRPr="002B6A16">
        <w:rPr>
          <w:rFonts w:ascii="Source Sans Pro" w:eastAsia="Batang" w:hAnsi="Source Sans Pro" w:cs="Times New Roman"/>
          <w:lang w:eastAsia="ko-KR"/>
        </w:rPr>
        <w:t xml:space="preserve">access to the document could result in a person misinterpreting or misunderstanding the document </w:t>
      </w:r>
    </w:p>
    <w:p w14:paraId="47684B58" w14:textId="77777777" w:rsidR="002B6A16" w:rsidRPr="002B6A16" w:rsidRDefault="002B6A16" w:rsidP="002B6A16">
      <w:pPr>
        <w:numPr>
          <w:ilvl w:val="0"/>
          <w:numId w:val="3"/>
        </w:numPr>
        <w:spacing w:after="120" w:line="240" w:lineRule="auto"/>
        <w:ind w:left="357" w:hanging="357"/>
        <w:rPr>
          <w:rFonts w:ascii="Source Sans Pro" w:eastAsia="Batang" w:hAnsi="Source Sans Pro" w:cs="Times New Roman"/>
          <w:lang w:eastAsia="ko-KR"/>
        </w:rPr>
      </w:pPr>
      <w:r w:rsidRPr="002B6A16">
        <w:rPr>
          <w:rFonts w:ascii="Source Sans Pro" w:eastAsia="Batang" w:hAnsi="Source Sans Pro" w:cs="Times New Roman"/>
          <w:lang w:eastAsia="ko-KR"/>
        </w:rPr>
        <w:t xml:space="preserve">the author of the document was (or is) of high seniority in the agency </w:t>
      </w:r>
    </w:p>
    <w:p w14:paraId="071F388D" w14:textId="77777777" w:rsidR="002B6A16" w:rsidRPr="002B6A16" w:rsidRDefault="002B6A16" w:rsidP="002B6A16">
      <w:pPr>
        <w:numPr>
          <w:ilvl w:val="0"/>
          <w:numId w:val="3"/>
        </w:numPr>
        <w:spacing w:after="120" w:line="240" w:lineRule="auto"/>
        <w:ind w:left="357" w:hanging="357"/>
        <w:rPr>
          <w:rFonts w:ascii="Source Sans Pro" w:eastAsia="Batang" w:hAnsi="Source Sans Pro" w:cs="Times New Roman"/>
          <w:lang w:eastAsia="ko-KR"/>
        </w:rPr>
      </w:pPr>
      <w:r w:rsidRPr="002B6A16">
        <w:rPr>
          <w:rFonts w:ascii="Source Sans Pro" w:eastAsia="Batang" w:hAnsi="Source Sans Pro" w:cs="Times New Roman"/>
          <w:lang w:eastAsia="ko-KR"/>
        </w:rPr>
        <w:t xml:space="preserve">access to the document could result in confusion or unnecessary debate. </w:t>
      </w:r>
    </w:p>
    <w:p w14:paraId="69E6C820" w14:textId="090E21C6" w:rsidR="002B6A16" w:rsidRPr="002B6A16" w:rsidRDefault="002B6A16" w:rsidP="002B6A16">
      <w:pPr>
        <w:spacing w:after="180" w:line="240" w:lineRule="auto"/>
        <w:rPr>
          <w:rFonts w:ascii="Source Sans Pro" w:eastAsia="Batang" w:hAnsi="Source Sans Pro" w:cs="Times New Roman"/>
          <w:b/>
          <w:bCs/>
          <w:lang w:eastAsia="ko-KR"/>
        </w:rPr>
      </w:pPr>
      <w:r w:rsidRPr="002B6A16">
        <w:rPr>
          <w:rFonts w:ascii="Source Sans Pro" w:eastAsia="Batang" w:hAnsi="Source Sans Pro" w:cs="Times New Roman"/>
          <w:b/>
          <w:bCs/>
          <w:lang w:eastAsia="ko-KR"/>
        </w:rPr>
        <w:lastRenderedPageBreak/>
        <w:t xml:space="preserve">Reasons why documents may be </w:t>
      </w:r>
      <w:r w:rsidRPr="002B6A16">
        <w:rPr>
          <w:rFonts w:ascii="Source Sans Pro" w:eastAsia="Batang" w:hAnsi="Source Sans Pro" w:cs="Times New Roman"/>
          <w:b/>
          <w:bCs/>
          <w:szCs w:val="20"/>
          <w:lang w:eastAsia="ko-KR"/>
        </w:rPr>
        <w:t>exempt</w:t>
      </w:r>
    </w:p>
    <w:p w14:paraId="559863A4" w14:textId="77777777" w:rsidR="002B6A16" w:rsidRPr="002B6A16" w:rsidRDefault="002B6A16" w:rsidP="002B6A16">
      <w:pPr>
        <w:spacing w:after="120" w:line="240" w:lineRule="auto"/>
        <w:rPr>
          <w:rFonts w:ascii="Source Sans Pro" w:eastAsia="Batang" w:hAnsi="Source Sans Pro" w:cs="Times New Roman"/>
          <w:lang w:eastAsia="ko-KR"/>
        </w:rPr>
      </w:pPr>
      <w:r w:rsidRPr="002B6A16">
        <w:rPr>
          <w:rFonts w:ascii="Source Sans Pro" w:eastAsia="Batang" w:hAnsi="Source Sans Pro" w:cs="Times New Roman"/>
          <w:lang w:eastAsia="ko-KR"/>
        </w:rPr>
        <w:t>The FOI Act establishes two types of exempt documents:</w:t>
      </w:r>
    </w:p>
    <w:p w14:paraId="5233799F" w14:textId="77777777" w:rsidR="002B6A16" w:rsidRPr="002B6A16" w:rsidRDefault="002B6A16" w:rsidP="002B6A16">
      <w:pPr>
        <w:numPr>
          <w:ilvl w:val="0"/>
          <w:numId w:val="1"/>
        </w:numPr>
        <w:spacing w:after="120" w:line="240" w:lineRule="auto"/>
        <w:ind w:left="357" w:hanging="357"/>
        <w:rPr>
          <w:rFonts w:ascii="Source Sans Pro" w:eastAsia="Batang" w:hAnsi="Source Sans Pro" w:cs="Times New Roman"/>
          <w:lang w:eastAsia="ko-KR"/>
        </w:rPr>
      </w:pPr>
      <w:r w:rsidRPr="002B6A16">
        <w:rPr>
          <w:rFonts w:ascii="Source Sans Pro" w:eastAsia="Batang" w:hAnsi="Source Sans Pro" w:cs="Times New Roman"/>
          <w:lang w:eastAsia="ko-KR"/>
        </w:rPr>
        <w:t>Documents that are exempt.</w:t>
      </w:r>
    </w:p>
    <w:p w14:paraId="3BFD72F2" w14:textId="77777777" w:rsidR="002B6A16" w:rsidRPr="002B6A16" w:rsidRDefault="002B6A16" w:rsidP="002B6A16">
      <w:pPr>
        <w:numPr>
          <w:ilvl w:val="0"/>
          <w:numId w:val="4"/>
        </w:numPr>
        <w:spacing w:after="120" w:line="240" w:lineRule="auto"/>
        <w:contextualSpacing/>
        <w:rPr>
          <w:rFonts w:ascii="Source Sans Pro" w:eastAsia="Batang" w:hAnsi="Source Sans Pro" w:cs="Times New Roman"/>
          <w:lang w:eastAsia="ko-KR"/>
        </w:rPr>
      </w:pPr>
      <w:r w:rsidRPr="002B6A16">
        <w:rPr>
          <w:rFonts w:ascii="Source Sans Pro" w:eastAsia="Batang" w:hAnsi="Source Sans Pro" w:cs="Times New Roman"/>
          <w:lang w:eastAsia="ko-KR"/>
        </w:rPr>
        <w:t>For example, documents affecting national security, Cabinet documents, or documents affecting law enforcement and public safety and documents subject to legal professional privilege or which were obtained in confidence.</w:t>
      </w:r>
    </w:p>
    <w:p w14:paraId="052F7314" w14:textId="77777777" w:rsidR="002B6A16" w:rsidRPr="002B6A16" w:rsidRDefault="002B6A16" w:rsidP="002B6A16">
      <w:pPr>
        <w:spacing w:after="120" w:line="240" w:lineRule="auto"/>
        <w:ind w:left="1080"/>
        <w:contextualSpacing/>
        <w:rPr>
          <w:rFonts w:ascii="Source Sans Pro" w:eastAsia="Batang" w:hAnsi="Source Sans Pro" w:cs="Times New Roman"/>
          <w:lang w:eastAsia="ko-KR"/>
        </w:rPr>
      </w:pPr>
    </w:p>
    <w:p w14:paraId="085E6C7C" w14:textId="77777777" w:rsidR="002B6A16" w:rsidRPr="002B6A16" w:rsidRDefault="002B6A16" w:rsidP="00D60017">
      <w:pPr>
        <w:numPr>
          <w:ilvl w:val="0"/>
          <w:numId w:val="1"/>
        </w:numPr>
        <w:spacing w:after="120" w:line="240" w:lineRule="auto"/>
        <w:ind w:left="360" w:hanging="357"/>
        <w:rPr>
          <w:rFonts w:ascii="Source Sans Pro" w:eastAsia="Batang" w:hAnsi="Source Sans Pro" w:cs="Times New Roman"/>
          <w:lang w:eastAsia="ko-KR"/>
        </w:rPr>
      </w:pPr>
      <w:r w:rsidRPr="002B6A16">
        <w:rPr>
          <w:rFonts w:ascii="Source Sans Pro" w:eastAsia="Batang" w:hAnsi="Source Sans Pro" w:cs="Times New Roman"/>
          <w:lang w:eastAsia="ko-KR"/>
        </w:rPr>
        <w:t>Documents that are conditionally exempt. An agency must give access to a conditionally exempt document unless at the time disclosure would, on balance, be contrary to the public interest.</w:t>
      </w:r>
    </w:p>
    <w:p w14:paraId="73F63267" w14:textId="77777777" w:rsidR="002B6A16" w:rsidRPr="002B6A16" w:rsidRDefault="002B6A16" w:rsidP="00D60017">
      <w:pPr>
        <w:numPr>
          <w:ilvl w:val="0"/>
          <w:numId w:val="4"/>
        </w:numPr>
        <w:spacing w:after="120" w:line="240" w:lineRule="auto"/>
        <w:ind w:hanging="357"/>
        <w:rPr>
          <w:rFonts w:ascii="Source Sans Pro" w:eastAsia="Batang" w:hAnsi="Source Sans Pro" w:cs="Times New Roman"/>
          <w:lang w:eastAsia="ko-KR"/>
        </w:rPr>
      </w:pPr>
      <w:r w:rsidRPr="002B6A16">
        <w:rPr>
          <w:rFonts w:ascii="Source Sans Pro" w:eastAsia="Batang" w:hAnsi="Source Sans Pro" w:cs="Times New Roman"/>
          <w:lang w:eastAsia="ko-KR"/>
        </w:rPr>
        <w:t xml:space="preserve">Conditionally exempt documents include documents affecting personal privacy, deliberative processes or certain business information. </w:t>
      </w:r>
    </w:p>
    <w:p w14:paraId="49FC3C94" w14:textId="77777777" w:rsidR="002B6A16" w:rsidRPr="002B6A16" w:rsidRDefault="002B6A16" w:rsidP="002B6A16">
      <w:pPr>
        <w:numPr>
          <w:ilvl w:val="0"/>
          <w:numId w:val="4"/>
        </w:numPr>
        <w:spacing w:after="120" w:line="240" w:lineRule="auto"/>
        <w:ind w:left="714" w:hanging="357"/>
        <w:rPr>
          <w:rFonts w:ascii="Source Sans Pro" w:eastAsia="Batang" w:hAnsi="Source Sans Pro" w:cs="Times New Roman"/>
          <w:lang w:eastAsia="ko-KR"/>
        </w:rPr>
      </w:pPr>
      <w:r w:rsidRPr="002B6A16">
        <w:rPr>
          <w:rFonts w:ascii="Source Sans Pro" w:eastAsia="Batang" w:hAnsi="Source Sans Pro" w:cs="Times New Roman"/>
          <w:lang w:eastAsia="ko-KR"/>
        </w:rPr>
        <w:t>A decision maker cannot refuse access to a document simply because it is conditionally exempt. The decision maker must apply the public interest test, which is weighted towards disclosure. Disclosure of conditionally exempt documents is required unless in the circumstances it would be contrary to the public interest to give access.</w:t>
      </w:r>
    </w:p>
    <w:p w14:paraId="6CACCF55" w14:textId="77777777" w:rsidR="002B6A16" w:rsidRPr="002B6A16" w:rsidRDefault="002B6A16" w:rsidP="002B6A16">
      <w:pPr>
        <w:spacing w:after="180" w:line="240" w:lineRule="auto"/>
        <w:rPr>
          <w:rFonts w:ascii="Source Sans Pro" w:eastAsia="Batang" w:hAnsi="Source Sans Pro" w:cs="Times New Roman"/>
          <w:lang w:eastAsia="ko-KR"/>
        </w:rPr>
      </w:pPr>
      <w:r w:rsidRPr="002B6A16">
        <w:rPr>
          <w:rFonts w:ascii="Source Sans Pro" w:eastAsia="Batang" w:hAnsi="Source Sans Pro" w:cs="Times New Roman"/>
          <w:lang w:eastAsia="ko-KR"/>
        </w:rPr>
        <w:t xml:space="preserve">For more information about exemptions, see the FOI Guidelines, especially </w:t>
      </w:r>
      <w:hyperlink r:id="rId11" w:history="1">
        <w:r w:rsidRPr="002B6A16">
          <w:rPr>
            <w:rFonts w:ascii="Source Sans Pro" w:eastAsia="Batang" w:hAnsi="Source Sans Pro" w:cs="Times New Roman"/>
            <w:u w:val="single"/>
            <w:lang w:eastAsia="ko-KR"/>
          </w:rPr>
          <w:t>Part 5 (Exemptions)</w:t>
        </w:r>
      </w:hyperlink>
      <w:r w:rsidRPr="002B6A16">
        <w:rPr>
          <w:rFonts w:ascii="Source Sans Pro" w:eastAsia="Batang" w:hAnsi="Source Sans Pro" w:cs="Times New Roman"/>
          <w:lang w:eastAsia="ko-KR"/>
        </w:rPr>
        <w:t xml:space="preserve"> and </w:t>
      </w:r>
      <w:hyperlink r:id="rId12" w:history="1">
        <w:r w:rsidRPr="002B6A16">
          <w:rPr>
            <w:rFonts w:ascii="Source Sans Pro" w:eastAsia="Batang" w:hAnsi="Source Sans Pro" w:cs="Times New Roman"/>
            <w:u w:val="single"/>
            <w:lang w:eastAsia="ko-KR"/>
          </w:rPr>
          <w:t>Part 6 (Conditional exemptions)</w:t>
        </w:r>
      </w:hyperlink>
      <w:r w:rsidRPr="002B6A16">
        <w:rPr>
          <w:rFonts w:ascii="Source Sans Pro" w:eastAsia="Batang" w:hAnsi="Source Sans Pro" w:cs="Times New Roman"/>
          <w:lang w:eastAsia="ko-KR"/>
        </w:rPr>
        <w:t xml:space="preserve"> and </w:t>
      </w:r>
      <w:hyperlink r:id="rId13" w:anchor="section-4" w:history="1">
        <w:r w:rsidRPr="002B6A16">
          <w:rPr>
            <w:rFonts w:ascii="Source Sans Pro" w:eastAsia="Batang" w:hAnsi="Source Sans Pro" w:cs="Times New Roman"/>
            <w:color w:val="002A3A"/>
            <w:u w:val="single"/>
            <w:lang w:eastAsia="ko-KR"/>
          </w:rPr>
          <w:t>FOI Essentials: Deciding a freedom of information request</w:t>
        </w:r>
      </w:hyperlink>
      <w:r w:rsidRPr="002B6A16">
        <w:rPr>
          <w:rFonts w:ascii="Source Sans Pro" w:eastAsia="Batang" w:hAnsi="Source Sans Pro" w:cs="Times New Roman"/>
          <w:lang w:eastAsia="ko-KR"/>
        </w:rPr>
        <w:t>.</w:t>
      </w:r>
    </w:p>
    <w:p w14:paraId="3C9ADA5A" w14:textId="77777777" w:rsidR="002B6A16" w:rsidRPr="002B6A16" w:rsidRDefault="002B6A16" w:rsidP="002B6A16">
      <w:pPr>
        <w:spacing w:after="120" w:line="240" w:lineRule="auto"/>
        <w:rPr>
          <w:rFonts w:ascii="Source Sans Pro" w:eastAsia="Batang" w:hAnsi="Source Sans Pro" w:cs="Times New Roman"/>
          <w:lang w:eastAsia="ko-KR"/>
        </w:rPr>
      </w:pPr>
      <w:r w:rsidRPr="002B6A16">
        <w:rPr>
          <w:rFonts w:ascii="Source Sans Pro" w:eastAsia="Batang" w:hAnsi="Source Sans Pro" w:cs="Times New Roman"/>
          <w:lang w:eastAsia="ko-KR"/>
        </w:rPr>
        <w:t xml:space="preserve">The OAIC has developed a </w:t>
      </w:r>
      <w:hyperlink r:id="rId14" w:history="1">
        <w:r w:rsidRPr="002B6A16">
          <w:rPr>
            <w:rFonts w:ascii="Source Sans Pro" w:eastAsia="Batang" w:hAnsi="Source Sans Pro" w:cs="Times New Roman"/>
            <w:u w:val="single"/>
            <w:lang w:eastAsia="ko-KR"/>
          </w:rPr>
          <w:t>statement of reasons checklist</w:t>
        </w:r>
      </w:hyperlink>
      <w:r w:rsidRPr="002B6A16">
        <w:rPr>
          <w:rFonts w:ascii="Source Sans Pro" w:eastAsia="Batang" w:hAnsi="Source Sans Pro" w:cs="Times New Roman"/>
          <w:lang w:eastAsia="ko-KR"/>
        </w:rPr>
        <w:t xml:space="preserve"> for decision makers, as well as a </w:t>
      </w:r>
      <w:hyperlink r:id="rId15" w:history="1">
        <w:r w:rsidRPr="002B6A16">
          <w:rPr>
            <w:rFonts w:ascii="Source Sans Pro" w:eastAsia="Batang" w:hAnsi="Source Sans Pro" w:cs="Times New Roman"/>
            <w:u w:val="single"/>
            <w:lang w:eastAsia="ko-KR"/>
          </w:rPr>
          <w:t>sample FOI notice</w:t>
        </w:r>
      </w:hyperlink>
      <w:r w:rsidRPr="002B6A16">
        <w:rPr>
          <w:rFonts w:ascii="Source Sans Pro" w:eastAsia="Batang" w:hAnsi="Source Sans Pro" w:cs="Times New Roman"/>
          <w:lang w:eastAsia="ko-KR"/>
        </w:rPr>
        <w:t xml:space="preserve"> that outlines the kind of information that must be given to applicants when refusing access. </w:t>
      </w:r>
    </w:p>
    <w:p w14:paraId="1BB78CE2" w14:textId="77777777" w:rsidR="002B6A16" w:rsidRPr="002B6A16" w:rsidRDefault="002B6A16" w:rsidP="002B6A16">
      <w:pPr>
        <w:spacing w:after="120" w:line="240" w:lineRule="auto"/>
        <w:rPr>
          <w:rFonts w:ascii="Source Sans Pro" w:eastAsia="Batang" w:hAnsi="Source Sans Pro" w:cs="Times New Roman"/>
          <w:highlight w:val="yellow"/>
          <w:lang w:eastAsia="ko-KR"/>
        </w:rPr>
      </w:pPr>
      <w:r w:rsidRPr="002B6A16">
        <w:rPr>
          <w:rFonts w:ascii="Source Sans Pro" w:eastAsia="Batang" w:hAnsi="Source Sans Pro" w:cs="Times New Roman"/>
          <w:szCs w:val="20"/>
        </w:rPr>
        <w:t xml:space="preserve">See also the OAIC’s short video on </w:t>
      </w:r>
      <w:hyperlink r:id="rId16" w:history="1">
        <w:r w:rsidRPr="002B6A16">
          <w:rPr>
            <w:rFonts w:ascii="Source Sans Pro" w:eastAsia="Batang" w:hAnsi="Source Sans Pro" w:cs="Times New Roman"/>
            <w:color w:val="002A3A"/>
            <w:szCs w:val="20"/>
            <w:u w:val="single"/>
          </w:rPr>
          <w:t>12 tips for FOI decision makers</w:t>
        </w:r>
      </w:hyperlink>
      <w:r w:rsidRPr="002B6A16">
        <w:rPr>
          <w:rFonts w:ascii="Source Sans Pro" w:eastAsia="Batang" w:hAnsi="Source Sans Pro" w:cs="Times New Roman"/>
          <w:szCs w:val="20"/>
        </w:rPr>
        <w:t xml:space="preserve">. </w:t>
      </w:r>
    </w:p>
    <w:p w14:paraId="6BA479F0" w14:textId="77777777" w:rsidR="002B6A16" w:rsidRPr="002B6A16" w:rsidRDefault="002B6A16" w:rsidP="002B6A16">
      <w:pPr>
        <w:keepNext/>
        <w:keepLines/>
        <w:spacing w:before="180" w:after="120" w:line="240" w:lineRule="auto"/>
        <w:outlineLvl w:val="2"/>
        <w:rPr>
          <w:rFonts w:ascii="Source Sans Pro SemiBold" w:eastAsia="Dotum" w:hAnsi="Source Sans Pro SemiBold" w:cs="Times New Roman"/>
          <w:bCs/>
          <w:color w:val="002A3A"/>
          <w:sz w:val="30"/>
          <w:szCs w:val="20"/>
        </w:rPr>
      </w:pPr>
      <w:r w:rsidRPr="002B6A16">
        <w:rPr>
          <w:rFonts w:ascii="Source Sans Pro SemiBold" w:eastAsia="Dotum" w:hAnsi="Source Sans Pro SemiBold" w:cs="Times New Roman"/>
          <w:bCs/>
          <w:color w:val="002A3A"/>
          <w:sz w:val="30"/>
          <w:szCs w:val="20"/>
        </w:rPr>
        <w:t xml:space="preserve">Contact us </w:t>
      </w:r>
    </w:p>
    <w:p w14:paraId="1FE6E31A" w14:textId="77777777" w:rsidR="002B6A16" w:rsidRPr="002B6A16" w:rsidRDefault="002B6A16" w:rsidP="002B6A16">
      <w:pPr>
        <w:numPr>
          <w:ilvl w:val="0"/>
          <w:numId w:val="3"/>
        </w:numPr>
        <w:spacing w:after="120" w:line="240" w:lineRule="auto"/>
        <w:ind w:left="360"/>
        <w:contextualSpacing/>
        <w:rPr>
          <w:rFonts w:ascii="Source Sans Pro" w:eastAsia="Batang" w:hAnsi="Source Sans Pro" w:cs="Times New Roman"/>
          <w:u w:val="single"/>
          <w:lang w:eastAsia="ko-KR"/>
        </w:rPr>
      </w:pPr>
      <w:r w:rsidRPr="002B6A16">
        <w:rPr>
          <w:rFonts w:ascii="Source Sans Pro" w:eastAsia="Batang" w:hAnsi="Source Sans Pro" w:cs="Times New Roman"/>
          <w:lang w:eastAsia="ko-KR"/>
        </w:rPr>
        <w:t xml:space="preserve">If you have specific questions about the FOI process or an FOI request within </w:t>
      </w:r>
      <w:r w:rsidRPr="002B6A16">
        <w:rPr>
          <w:rFonts w:ascii="Source Sans Pro" w:eastAsia="Source Sans Pro" w:hAnsi="Source Sans Pro" w:cs="Times New Roman"/>
          <w:spacing w:val="1"/>
          <w:shd w:val="clear" w:color="auto" w:fill="E0DBE3"/>
        </w:rPr>
        <w:t>[name of agency]</w:t>
      </w:r>
      <w:r w:rsidRPr="002B6A16">
        <w:rPr>
          <w:rFonts w:ascii="Source Sans Pro" w:eastAsia="Source Sans Pro" w:hAnsi="Source Sans Pro" w:cs="Times New Roman"/>
          <w:spacing w:val="1"/>
        </w:rPr>
        <w:t xml:space="preserve">, </w:t>
      </w:r>
      <w:r w:rsidRPr="002B6A16">
        <w:rPr>
          <w:rFonts w:ascii="Source Sans Pro" w:eastAsia="Batang" w:hAnsi="Source Sans Pro" w:cs="Times New Roman"/>
          <w:lang w:eastAsia="ko-KR"/>
        </w:rPr>
        <w:t xml:space="preserve">please contact </w:t>
      </w:r>
      <w:r w:rsidRPr="002B6A16">
        <w:rPr>
          <w:rFonts w:ascii="Source Sans Pro" w:eastAsia="Batang" w:hAnsi="Source Sans Pro" w:cs="Times New Roman"/>
          <w:shd w:val="clear" w:color="auto" w:fill="E0DBE3"/>
          <w:lang w:eastAsia="ko-KR"/>
        </w:rPr>
        <w:t>[name and contact details of most senior person in FOI section]</w:t>
      </w:r>
      <w:r w:rsidRPr="002B6A16">
        <w:rPr>
          <w:rFonts w:ascii="Source Sans Pro" w:eastAsia="Batang" w:hAnsi="Source Sans Pro" w:cs="Times New Roman"/>
          <w:lang w:eastAsia="ko-KR"/>
        </w:rPr>
        <w:t xml:space="preserve">. </w:t>
      </w:r>
    </w:p>
    <w:p w14:paraId="77A31A1C" w14:textId="77777777" w:rsidR="002B6A16" w:rsidRPr="002B6A16" w:rsidRDefault="002B6A16" w:rsidP="002B6A16">
      <w:pPr>
        <w:spacing w:after="120" w:line="240" w:lineRule="auto"/>
        <w:ind w:left="360"/>
        <w:contextualSpacing/>
        <w:rPr>
          <w:rFonts w:ascii="Source Sans Pro" w:eastAsia="Batang" w:hAnsi="Source Sans Pro" w:cs="Times New Roman"/>
          <w:u w:val="single"/>
          <w:lang w:eastAsia="ko-KR"/>
        </w:rPr>
      </w:pPr>
    </w:p>
    <w:p w14:paraId="472D90D1" w14:textId="377B70B8" w:rsidR="002B6A16" w:rsidRPr="002B6A16" w:rsidRDefault="002B6A16" w:rsidP="002B6A16">
      <w:pPr>
        <w:numPr>
          <w:ilvl w:val="0"/>
          <w:numId w:val="3"/>
        </w:numPr>
        <w:spacing w:after="120" w:line="240" w:lineRule="auto"/>
        <w:ind w:left="360"/>
        <w:contextualSpacing/>
        <w:rPr>
          <w:rFonts w:ascii="Source Sans Pro" w:eastAsia="Batang" w:hAnsi="Source Sans Pro" w:cs="Times New Roman"/>
          <w:u w:val="single"/>
          <w:lang w:eastAsia="ko-KR"/>
        </w:rPr>
      </w:pPr>
      <w:r w:rsidRPr="002B6A16">
        <w:rPr>
          <w:rFonts w:ascii="Source Sans Pro" w:eastAsia="Batang" w:hAnsi="Source Sans Pro" w:cs="Times New Roman"/>
          <w:lang w:eastAsia="ko-KR"/>
        </w:rPr>
        <w:t xml:space="preserve">If you have general questions about FOI you can email the OAIC at </w:t>
      </w:r>
      <w:hyperlink r:id="rId17" w:history="1">
        <w:r w:rsidRPr="002B6A16">
          <w:rPr>
            <w:rFonts w:ascii="Source Sans Pro" w:eastAsia="Batang" w:hAnsi="Source Sans Pro" w:cs="Times New Roman"/>
            <w:u w:val="single"/>
            <w:lang w:eastAsia="ko-KR"/>
          </w:rPr>
          <w:t>enquiries@oaic.gov.au</w:t>
        </w:r>
      </w:hyperlink>
      <w:r w:rsidRPr="002B6A16">
        <w:rPr>
          <w:rFonts w:ascii="Source Sans Pro" w:eastAsia="Batang" w:hAnsi="Source Sans Pro" w:cs="Times New Roman"/>
          <w:lang w:eastAsia="ko-KR"/>
        </w:rPr>
        <w:t xml:space="preserve"> or phone 1300 363 992, and visit </w:t>
      </w:r>
      <w:r w:rsidR="00D60017">
        <w:rPr>
          <w:rFonts w:ascii="Source Sans Pro" w:eastAsia="Batang" w:hAnsi="Source Sans Pro" w:cs="Times New Roman"/>
          <w:lang w:eastAsia="ko-KR"/>
        </w:rPr>
        <w:t>their</w:t>
      </w:r>
      <w:r w:rsidRPr="002B6A16">
        <w:rPr>
          <w:rFonts w:ascii="Source Sans Pro" w:eastAsia="Batang" w:hAnsi="Source Sans Pro" w:cs="Times New Roman"/>
          <w:lang w:eastAsia="ko-KR"/>
        </w:rPr>
        <w:t xml:space="preserve"> website for more information: </w:t>
      </w:r>
      <w:hyperlink r:id="rId18" w:history="1">
        <w:r w:rsidRPr="002B6A16">
          <w:rPr>
            <w:rFonts w:ascii="Source Sans Pro" w:eastAsia="Batang" w:hAnsi="Source Sans Pro" w:cs="Times New Roman"/>
            <w:u w:val="single"/>
            <w:lang w:eastAsia="ko-KR"/>
          </w:rPr>
          <w:t>oaic.gov.au</w:t>
        </w:r>
      </w:hyperlink>
    </w:p>
    <w:p w14:paraId="3A198A74" w14:textId="77777777" w:rsidR="002B6A16" w:rsidRPr="002B6A16" w:rsidRDefault="002B6A16" w:rsidP="002B6A16">
      <w:pPr>
        <w:spacing w:after="120" w:line="240" w:lineRule="auto"/>
        <w:rPr>
          <w:rFonts w:ascii="Source Sans Pro" w:eastAsia="Batang" w:hAnsi="Source Sans Pro" w:cs="Times New Roman"/>
          <w:lang w:eastAsia="ko-KR"/>
        </w:rPr>
      </w:pPr>
    </w:p>
    <w:p w14:paraId="5CE0786B" w14:textId="77777777" w:rsidR="00862C9C" w:rsidRDefault="00107F13"/>
    <w:sectPr w:rsidR="00862C9C" w:rsidSect="004071F2">
      <w:headerReference w:type="default" r:id="rId19"/>
      <w:footerReference w:type="default" r:id="rId20"/>
      <w:headerReference w:type="first" r:id="rId21"/>
      <w:footerReference w:type="first" r:id="rId22"/>
      <w:pgSz w:w="11906" w:h="16838" w:code="9"/>
      <w:pgMar w:top="1049" w:right="1985" w:bottom="1418" w:left="1418" w:header="52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26FE5" w14:textId="77777777" w:rsidR="002B6A16" w:rsidRDefault="002B6A16" w:rsidP="002B6A16">
      <w:pPr>
        <w:spacing w:after="0" w:line="240" w:lineRule="auto"/>
      </w:pPr>
      <w:r>
        <w:separator/>
      </w:r>
    </w:p>
  </w:endnote>
  <w:endnote w:type="continuationSeparator" w:id="0">
    <w:p w14:paraId="3BA36F3C" w14:textId="77777777" w:rsidR="002B6A16" w:rsidRDefault="002B6A16" w:rsidP="002B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ource Sans Pro SemiBold">
    <w:panose1 w:val="020B0603030403020204"/>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2581" w14:textId="77777777" w:rsidR="0041022B" w:rsidRPr="0044324C" w:rsidRDefault="00107F13" w:rsidP="0041022B">
    <w:pPr>
      <w:pStyle w:val="Footer"/>
      <w:rPr>
        <w:rStyle w:val="PageNumber1"/>
      </w:rPr>
    </w:pPr>
    <w:r w:rsidRPr="0044324C">
      <w:rPr>
        <w:rStyle w:val="PageNumber1"/>
      </w:rPr>
      <w:fldChar w:fldCharType="begin"/>
    </w:r>
    <w:r w:rsidRPr="0044324C">
      <w:rPr>
        <w:rStyle w:val="PageNumber1"/>
      </w:rPr>
      <w:instrText xml:space="preserve"> PAGE   \* MERGEFORMAT </w:instrText>
    </w:r>
    <w:r w:rsidRPr="0044324C">
      <w:rPr>
        <w:rStyle w:val="PageNumber1"/>
      </w:rPr>
      <w:fldChar w:fldCharType="separate"/>
    </w:r>
    <w:r>
      <w:rPr>
        <w:rStyle w:val="PageNumber1"/>
        <w:noProof/>
      </w:rPr>
      <w:t>2</w:t>
    </w:r>
    <w:r w:rsidRPr="0044324C">
      <w:rPr>
        <w:rStyle w:val="PageNumber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EAD3F" w14:textId="77777777" w:rsidR="0041022B" w:rsidRPr="0044324C" w:rsidRDefault="00107F13" w:rsidP="0041022B">
    <w:pPr>
      <w:pStyle w:val="Footer"/>
      <w:rPr>
        <w:rStyle w:val="PageNumber1"/>
      </w:rPr>
    </w:pPr>
    <w:r w:rsidRPr="0044324C">
      <w:rPr>
        <w:rStyle w:val="PageNumber1"/>
      </w:rPr>
      <w:fldChar w:fldCharType="begin"/>
    </w:r>
    <w:r w:rsidRPr="0044324C">
      <w:rPr>
        <w:rStyle w:val="PageNumber1"/>
      </w:rPr>
      <w:instrText xml:space="preserve"> PAGE   \* MERGEFORMAT </w:instrText>
    </w:r>
    <w:r w:rsidRPr="0044324C">
      <w:rPr>
        <w:rStyle w:val="PageNumber1"/>
      </w:rPr>
      <w:fldChar w:fldCharType="separate"/>
    </w:r>
    <w:r>
      <w:rPr>
        <w:rStyle w:val="PageNumber1"/>
        <w:noProof/>
      </w:rPr>
      <w:t>1</w:t>
    </w:r>
    <w:r w:rsidRPr="0044324C">
      <w:rPr>
        <w:rStyle w:val="PageNumber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5AEB1" w14:textId="77777777" w:rsidR="002B6A16" w:rsidRDefault="002B6A16" w:rsidP="002B6A16">
      <w:pPr>
        <w:spacing w:after="0" w:line="240" w:lineRule="auto"/>
      </w:pPr>
      <w:r>
        <w:separator/>
      </w:r>
    </w:p>
  </w:footnote>
  <w:footnote w:type="continuationSeparator" w:id="0">
    <w:p w14:paraId="5DB93E28" w14:textId="77777777" w:rsidR="002B6A16" w:rsidRDefault="002B6A16" w:rsidP="002B6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B8055" w14:textId="77777777" w:rsidR="004670AF" w:rsidRDefault="00107F13">
    <w:pPr>
      <w:pStyle w:val="Header"/>
    </w:pPr>
    <w:r>
      <w:rPr>
        <w:noProof/>
        <w:lang w:eastAsia="en-AU"/>
      </w:rPr>
      <w:drawing>
        <wp:anchor distT="0" distB="0" distL="114300" distR="114300" simplePos="0" relativeHeight="251661312" behindDoc="1" locked="1" layoutInCell="1" allowOverlap="1" wp14:anchorId="234C0465" wp14:editId="2A538BA8">
          <wp:simplePos x="0" y="0"/>
          <wp:positionH relativeFrom="page">
            <wp:posOffset>-901700</wp:posOffset>
          </wp:positionH>
          <wp:positionV relativeFrom="page">
            <wp:posOffset>31750</wp:posOffset>
          </wp:positionV>
          <wp:extent cx="7559675" cy="106914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ct Sheet BG2.png"/>
                  <pic:cNvPicPr/>
                </pic:nvPicPr>
                <pic:blipFill>
                  <a:blip r:embed="rId1"/>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52470" w14:textId="537F0508" w:rsidR="004670AF" w:rsidRDefault="00107F13">
    <w:pPr>
      <w:pStyle w:val="Header"/>
    </w:pPr>
  </w:p>
  <w:p w14:paraId="4AF0EDEE" w14:textId="7AEF7420" w:rsidR="002B6A16" w:rsidRDefault="002B6A16">
    <w:pPr>
      <w:pStyle w:val="Header"/>
    </w:pPr>
  </w:p>
  <w:p w14:paraId="4F46E855" w14:textId="3C6706A2" w:rsidR="002B6A16" w:rsidRDefault="002B6A16">
    <w:pPr>
      <w:pStyle w:val="Header"/>
    </w:pPr>
  </w:p>
  <w:p w14:paraId="577647CC" w14:textId="6FAD39DE" w:rsidR="002B6A16" w:rsidRDefault="002B6A16">
    <w:pPr>
      <w:pStyle w:val="Header"/>
    </w:pPr>
  </w:p>
  <w:p w14:paraId="6391F4E7" w14:textId="77777777" w:rsidR="002B6A16" w:rsidRDefault="002B6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30CBD"/>
    <w:multiLevelType w:val="hybridMultilevel"/>
    <w:tmpl w:val="E79C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64A49"/>
    <w:multiLevelType w:val="hybridMultilevel"/>
    <w:tmpl w:val="4126A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F37E63"/>
    <w:multiLevelType w:val="hybridMultilevel"/>
    <w:tmpl w:val="4726D11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E77E3"/>
    <w:multiLevelType w:val="hybridMultilevel"/>
    <w:tmpl w:val="1BDE934C"/>
    <w:lvl w:ilvl="0" w:tplc="7284D63A">
      <w:start w:val="1"/>
      <w:numFmt w:val="bullet"/>
      <w:lvlText w:val=""/>
      <w:lvlJc w:val="left"/>
      <w:pPr>
        <w:ind w:left="720" w:hanging="360"/>
      </w:pPr>
      <w:rPr>
        <w:rFonts w:ascii="Symbol" w:hAnsi="Symbol" w:hint="default"/>
        <w:sz w:val="16"/>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16"/>
    <w:rsid w:val="00107F13"/>
    <w:rsid w:val="002B6A16"/>
    <w:rsid w:val="00305AEE"/>
    <w:rsid w:val="003B257F"/>
    <w:rsid w:val="0049014D"/>
    <w:rsid w:val="00B47447"/>
    <w:rsid w:val="00D60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E3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6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16"/>
  </w:style>
  <w:style w:type="paragraph" w:styleId="Header">
    <w:name w:val="header"/>
    <w:basedOn w:val="Normal"/>
    <w:link w:val="HeaderChar"/>
    <w:uiPriority w:val="99"/>
    <w:unhideWhenUsed/>
    <w:rsid w:val="002B6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16"/>
  </w:style>
  <w:style w:type="character" w:customStyle="1" w:styleId="PageNumber1">
    <w:name w:val="Page Number1"/>
    <w:basedOn w:val="DefaultParagraphFont"/>
    <w:uiPriority w:val="99"/>
    <w:semiHidden/>
    <w:rsid w:val="002B6A16"/>
    <w:rPr>
      <w:b w:val="0"/>
      <w:color w:val="000000"/>
    </w:rPr>
  </w:style>
  <w:style w:type="character" w:styleId="Strong">
    <w:name w:val="Strong"/>
    <w:basedOn w:val="DefaultParagraphFont"/>
    <w:uiPriority w:val="22"/>
    <w:rsid w:val="002B6A16"/>
    <w:rPr>
      <w:b/>
      <w:bCs/>
    </w:rPr>
  </w:style>
  <w:style w:type="character" w:styleId="PageNumber">
    <w:name w:val="page number"/>
    <w:basedOn w:val="DefaultParagraphFont"/>
    <w:uiPriority w:val="99"/>
    <w:semiHidden/>
    <w:unhideWhenUsed/>
    <w:rsid w:val="002B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s/foi-essentials/" TargetMode="External"/><Relationship Id="rId13" Type="http://schemas.openxmlformats.org/officeDocument/2006/relationships/hyperlink" Target="https://www.oaic.gov.au/s/foi-essentials/" TargetMode="External"/><Relationship Id="rId18" Type="http://schemas.openxmlformats.org/officeDocument/2006/relationships/hyperlink" Target="http://oaic.gov.a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oaic.gov.au/freedom-of-information/frequently-asked-questions/how-long-does-an-agency-have-to-process-an-freedom-of-information-request/" TargetMode="External"/><Relationship Id="rId12" Type="http://schemas.openxmlformats.org/officeDocument/2006/relationships/hyperlink" Target="https://www.oaic.gov.au/freedom-of-information/foi-guidelines/part-6-conditional-exemptions/" TargetMode="External"/><Relationship Id="rId17" Type="http://schemas.openxmlformats.org/officeDocument/2006/relationships/hyperlink" Target="mailto:enquiries@oaic.gov.au" TargetMode="External"/><Relationship Id="rId2" Type="http://schemas.openxmlformats.org/officeDocument/2006/relationships/styles" Target="styles.xml"/><Relationship Id="rId16" Type="http://schemas.openxmlformats.org/officeDocument/2006/relationships/hyperlink" Target="https://www.oaic.gov.au/updates/videos/12-tips-for-foi-decision-make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aic.gov.au/freedom-of-information/foi-guidelines/part-5-exemptio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oaic.gov.au/assets/freedom-of-information/guidance-and-advice/sample-foi-notices/FOI-sample-notice-access-refusal-decision.rtf" TargetMode="External"/><Relationship Id="rId23" Type="http://schemas.openxmlformats.org/officeDocument/2006/relationships/fontTable" Target="fontTable.xml"/><Relationship Id="rId10" Type="http://schemas.openxmlformats.org/officeDocument/2006/relationships/hyperlink" Target="https://www.oaic.gov.au/assets/freedom-of-information/guidance-and-advice/processing-foi-requests-search-minute-template.doc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aic.gov.au/freedom-of-information/guidance-and-advice/processing-foi-requests-taking-all-reasonable-steps-to-find-documents/" TargetMode="External"/><Relationship Id="rId14" Type="http://schemas.openxmlformats.org/officeDocument/2006/relationships/hyperlink" Target="https://www.oaic.gov.au/freedom-of-information/guidance-and-advice/statement-of-reasons-checklis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2020-12-23T22:55:00Z</dcterms:created>
  <dcterms:modified xsi:type="dcterms:W3CDTF">2020-12-23T22:56:00Z</dcterms:modified>
</cp:coreProperties>
</file>